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828C" w14:textId="77777777" w:rsidR="00000000" w:rsidRDefault="000A3118">
      <w:pPr>
        <w:divId w:val="1210919437"/>
        <w:rPr>
          <w:rFonts w:eastAsia="Times New Roman"/>
          <w:vanish/>
        </w:rPr>
      </w:pPr>
      <w:r>
        <w:rPr>
          <w:rFonts w:eastAsia="Times New Roman"/>
          <w:vanish/>
        </w:rPr>
        <w:t>0000789460falseDecember 312020Q3us-gaap:AccountingStandardsUpdate201613Memberus-gaap:AccountingStandardsUpdate201613Member00007894602020-01-012020-09-30xbrli:shares00007894602020-10-23iso4217:USD00007894602020-09-3000007894602019-12-31</w:t>
      </w:r>
      <w:r>
        <w:rPr>
          <w:rFonts w:eastAsia="Times New Roman"/>
          <w:vanish/>
        </w:rPr>
        <w:t>iso4217:USDxbrli:shares00007894602020-07-012020-09-3000007894602019-07-012019-09-3000007894602019-01-012019-09-300000789460us-gaap:CommonStockMember2019-12-310000789460us-gaap:AdditionalPaidInCapitalMember2019-12-310000789460us-gaap:RetainedEarningsMember2</w:t>
      </w:r>
      <w:r>
        <w:rPr>
          <w:rFonts w:eastAsia="Times New Roman"/>
          <w:vanish/>
        </w:rPr>
        <w:t>019-12-310000789460us-gaap:AccumulatedOtherComprehensiveIncomeMember2019-12-310000789460us-gaap:ParentMember2019-12-310000789460us-gaap:NoncontrollingInterestMember2019-12-310000789460us-gaap:RetainedEarningsMembersrt:CumulativeEffectPeriodOfAdoptionAdjust</w:t>
      </w:r>
      <w:r>
        <w:rPr>
          <w:rFonts w:eastAsia="Times New Roman"/>
          <w:vanish/>
        </w:rPr>
        <w:t>mentMember2019-12-310000789460us-gaap:ParentMembersrt:CumulativeEffectPeriodOfAdoptionAdjustmentMember2019-12-310000789460srt:CumulativeEffectPeriodOfAdoptionAdjustmentMember2019-12-310000789460us-gaap:RetainedEarningsMember2020-01-012020-03-310000789460us</w:t>
      </w:r>
      <w:r>
        <w:rPr>
          <w:rFonts w:eastAsia="Times New Roman"/>
          <w:vanish/>
        </w:rPr>
        <w:t>-gaap:ParentMember2020-01-012020-03-310000789460us-gaap:NoncontrollingInterestMember2020-01-012020-03-3100007894602020-01-012020-03-310000789460us-gaap:AdditionalPaidInCapitalMember2020-01-012020-03-310000789460us-gaap:CommonStockMember2020-01-012020-03-31</w:t>
      </w:r>
      <w:r>
        <w:rPr>
          <w:rFonts w:eastAsia="Times New Roman"/>
          <w:vanish/>
        </w:rPr>
        <w:t>0000789460us-gaap:AccumulatedOtherComprehensiveIncomeMember2020-01-012020-03-310000789460us-gaap:CommonStockMember2020-03-310000789460us-gaap:AdditionalPaidInCapitalMember2020-03-310000789460us-gaap:RetainedEarningsMember2020-03-310000789460us-gaap:Accumul</w:t>
      </w:r>
      <w:r>
        <w:rPr>
          <w:rFonts w:eastAsia="Times New Roman"/>
          <w:vanish/>
        </w:rPr>
        <w:t>atedOtherComprehensiveIncomeMember2020-03-310000789460us-gaap:ParentMember2020-03-310000789460us-gaap:NoncontrollingInterestMember2020-03-3100007894602020-03-310000789460us-gaap:RetainedEarningsMember2020-04-012020-06-300000789460us-gaap:ParentMember2020-0</w:t>
      </w:r>
      <w:r>
        <w:rPr>
          <w:rFonts w:eastAsia="Times New Roman"/>
          <w:vanish/>
        </w:rPr>
        <w:t>4-012020-06-300000789460us-gaap:NoncontrollingInterestMember2020-04-012020-06-3000007894602020-04-012020-06-300000789460us-gaap:AdditionalPaidInCapitalMember2020-04-012020-06-300000789460us-gaap:CommonStockMember2020-04-012020-06-300000789460us-gaap:Accumu</w:t>
      </w:r>
      <w:r>
        <w:rPr>
          <w:rFonts w:eastAsia="Times New Roman"/>
          <w:vanish/>
        </w:rPr>
        <w:t>latedOtherComprehensiveIncomeMember2020-04-012020-06-300000789460us-gaap:CommonStockMember2020-06-300000789460us-gaap:AdditionalPaidInCapitalMember2020-06-300000789460us-gaap:RetainedEarningsMember2020-06-300000789460us-gaap:AccumulatedOtherComprehensiveIn</w:t>
      </w:r>
      <w:r>
        <w:rPr>
          <w:rFonts w:eastAsia="Times New Roman"/>
          <w:vanish/>
        </w:rPr>
        <w:t>comeMember2020-06-300000789460us-gaap:ParentMember2020-06-300000789460us-gaap:NoncontrollingInterestMember2020-06-3000007894602020-06-300000789460us-gaap:RetainedEarningsMember2020-07-012020-09-300000789460us-gaap:ParentMember2020-07-012020-09-300000789460</w:t>
      </w:r>
      <w:r>
        <w:rPr>
          <w:rFonts w:eastAsia="Times New Roman"/>
          <w:vanish/>
        </w:rPr>
        <w:t>us-gaap:NoncontrollingInterestMember2020-07-012020-09-300000789460us-gaap:AdditionalPaidInCapitalMember2020-07-012020-09-300000789460us-gaap:AccumulatedOtherComprehensiveIncomeMember2020-07-012020-09-300000789460us-gaap:CommonStockMember2020-09-30000078946</w:t>
      </w:r>
      <w:r>
        <w:rPr>
          <w:rFonts w:eastAsia="Times New Roman"/>
          <w:vanish/>
        </w:rPr>
        <w:t>0us-gaap:AdditionalPaidInCapitalMember2020-09-300000789460us-gaap:RetainedEarningsMember2020-09-300000789460us-gaap:AccumulatedOtherComprehensiveIncomeMember2020-09-300000789460us-gaap:ParentMember2020-09-300000789460us-gaap:NoncontrollingInterestMember202</w:t>
      </w:r>
      <w:r>
        <w:rPr>
          <w:rFonts w:eastAsia="Times New Roman"/>
          <w:vanish/>
        </w:rPr>
        <w:t>0-09-300000789460us-gaap:CommonStockMember2018-12-310000789460us-gaap:AdditionalPaidInCapitalMember2018-12-310000789460us-gaap:RetainedEarningsMember2018-12-310000789460us-gaap:AccumulatedOtherComprehensiveIncomeMember2018-12-310000789460us-gaap:ParentMemb</w:t>
      </w:r>
      <w:r>
        <w:rPr>
          <w:rFonts w:eastAsia="Times New Roman"/>
          <w:vanish/>
        </w:rPr>
        <w:t>er2018-12-310000789460us-gaap:NoncontrollingInterestMember2018-12-3100007894602018-12-310000789460us-gaap:RetainedEarningsMember2019-01-012019-03-310000789460us-gaap:ParentMember2019-01-012019-03-310000789460us-gaap:NoncontrollingInterestMember2019-01-0120</w:t>
      </w:r>
      <w:r>
        <w:rPr>
          <w:rFonts w:eastAsia="Times New Roman"/>
          <w:vanish/>
        </w:rPr>
        <w:t>19-03-3100007894602019-01-012019-03-310000789460us-gaap:AdditionalPaidInCapitalMember2019-01-012019-03-310000789460us-gaap:CommonStockMember2019-01-012019-03-310000789460us-gaap:AccumulatedOtherComprehensiveIncomeMember2019-01-012019-03-310000789460us-gaap</w:t>
      </w:r>
      <w:r>
        <w:rPr>
          <w:rFonts w:eastAsia="Times New Roman"/>
          <w:vanish/>
        </w:rPr>
        <w:t>:CommonStockMember2019-03-310000789460us-gaap:AdditionalPaidInCapitalMember2019-03-310000789460us-gaap:RetainedEarningsMember2019-03-310000789460us-gaap:AccumulatedOtherComprehensiveIncomeMember2019-03-310000789460us-gaap:ParentMember2019-03-310000789460us</w:t>
      </w:r>
      <w:r>
        <w:rPr>
          <w:rFonts w:eastAsia="Times New Roman"/>
          <w:vanish/>
        </w:rPr>
        <w:t>-gaap:NoncontrollingInterestMember2019-03-3100007894602019-03-310000789460us-gaap:RetainedEarningsMember2019-04-012019-06-300000789460us-gaap:ParentMember2019-04-012019-06-300000789460us-gaap:NoncontrollingInterestMember2019-04-012019-06-3000007894602019-0</w:t>
      </w:r>
      <w:r>
        <w:rPr>
          <w:rFonts w:eastAsia="Times New Roman"/>
          <w:vanish/>
        </w:rPr>
        <w:t>4-012019-06-300000789460us-gaap:AdditionalPaidInCapitalMember2019-04-012019-06-300000789460us-gaap:CommonStockMember2019-04-012019-06-300000789460us-gaap:AccumulatedOtherComprehensiveIncomeMember2019-04-012019-06-300000789460us-gaap:CommonStockMember2019-0</w:t>
      </w:r>
      <w:r>
        <w:rPr>
          <w:rFonts w:eastAsia="Times New Roman"/>
          <w:vanish/>
        </w:rPr>
        <w:t>6-300000789460us-gaap:AdditionalPaidInCapitalMember2019-06-300000789460us-gaap:RetainedEarningsMember2019-06-300000789460us-gaap:AccumulatedOtherComprehensiveIncomeMember2019-06-300000789460us-gaap:ParentMember2019-06-300000789460us-gaap:NoncontrollingInte</w:t>
      </w:r>
      <w:r>
        <w:rPr>
          <w:rFonts w:eastAsia="Times New Roman"/>
          <w:vanish/>
        </w:rPr>
        <w:t>restMember2019-06-3000007894602019-06-300000789460us-gaap:RetainedEarningsMember2019-07-012019-09-300000789460us-gaap:ParentMember2019-07-012019-09-300000789460us-gaap:NoncontrollingInterestMember2019-07-012019-09-300000789460us-gaap:AdditionalPaidInCapita</w:t>
      </w:r>
      <w:r>
        <w:rPr>
          <w:rFonts w:eastAsia="Times New Roman"/>
          <w:vanish/>
        </w:rPr>
        <w:t>lMember2019-07-012019-09-300000789460us-gaap:AccumulatedOtherComprehensiveIncomeMember2019-07-012019-09-300000789460us-gaap:CommonStockMember2019-09-300000789460us-gaap:AdditionalPaidInCapitalMember2019-09-300000789460us-gaap:RetainedEarningsMember2019-09-</w:t>
      </w:r>
      <w:r>
        <w:rPr>
          <w:rFonts w:eastAsia="Times New Roman"/>
          <w:vanish/>
        </w:rPr>
        <w:t>300000789460us-gaap:AccumulatedOtherComprehensiveIncomeMember2019-09-300000789460us-gaap:ParentMember2019-09-300000789460us-gaap:NoncontrollingInterestMember2019-09-3000007894602019-09-3000007894602020-04-092020-04-090000789460us-gaap:SubsequentEventMember</w:t>
      </w:r>
      <w:r>
        <w:rPr>
          <w:rFonts w:eastAsia="Times New Roman"/>
          <w:vanish/>
        </w:rPr>
        <w:t>2020-10-092020-10-0900007894602020-07-022020-07-0200007894602019-04-122019-04-1200007894602019-07-052019-07-0500007894602019-10-112019-10-11xbrli:pure0000789460srt:CumulativeEffectPeriodOfAdoptionAdjustedBalanceMember2019-12-310000789460srt:MaximumMember20</w:t>
      </w:r>
      <w:r>
        <w:rPr>
          <w:rFonts w:eastAsia="Times New Roman"/>
          <w:vanish/>
        </w:rPr>
        <w:t>20-09-300000789460srt:MinimumMemberus-gaap:LondonInterbankOfferedRateLIBORMember2019-12-310000789460us-gaap:LondonInterbankOfferedRateLIBORMembersrt:MaximumMember2019-12-3100007894602019-01-012019-12-310000789460int:MultiServicePaymentSolutionsMemberus-gaa</w:t>
      </w:r>
      <w:r>
        <w:rPr>
          <w:rFonts w:eastAsia="Times New Roman"/>
          <w:vanish/>
        </w:rPr>
        <w:t>p:DisposalGroupNotDiscontinuedOperationsMember2020-01-012020-09-300000789460int:MultiServicePaymentSolutionsMemberus-gaap:DisposalGroupNotDiscontinuedOperationsMember2020-09-300000789460int:MultiServicePaymentSolutionsMemberus-gaap:DisposalGroupNotDisconti</w:t>
      </w:r>
      <w:r>
        <w:rPr>
          <w:rFonts w:eastAsia="Times New Roman"/>
          <w:vanish/>
        </w:rPr>
        <w:t>nuedOperationsMember2020-09-302020-09-300000789460int:UniversalWeatherAndAviationInc.Member2020-09-302020-09-300000789460int:UniversalWeatherAndAviationInc.Member2020-09-300000789460int:UniversalWeatherAndAviationInc.Member2020-01-012020-09-300000789460us-</w:t>
      </w:r>
      <w:r>
        <w:rPr>
          <w:rFonts w:eastAsia="Times New Roman"/>
          <w:vanish/>
        </w:rPr>
        <w:t>gaap:InterestRateSwapMember2020-03-310000789460us-gaap:CommodityContractMemberint:ShortTermDerivativeAssetsNetMemberus-gaap:DesignatedAsHedgingInstrumentMember2020-09-300000789460us-gaap:CommodityContractMemberint:ShortTermDerivativeAssetsNetMemberus-gaap:</w:t>
      </w:r>
      <w:r>
        <w:rPr>
          <w:rFonts w:eastAsia="Times New Roman"/>
          <w:vanish/>
        </w:rPr>
        <w:t>DesignatedAsHedgingInstrumentMember2019-12-310000789460us-gaap:CommodityContractMemberint:IdentifiableIntangibleAndOtherNonCurrentAssetsMemberus-gaap:DesignatedAsHedgingInstrumentMember2020-09-300000789460us-gaap:CommodityContractMemberint:IdentifiableInta</w:t>
      </w:r>
      <w:r>
        <w:rPr>
          <w:rFonts w:eastAsia="Times New Roman"/>
          <w:vanish/>
        </w:rPr>
        <w:t>ngibleAndOtherNonCurrentAssetsMemberus-gaap:DesignatedAsHedgingInstrumentMember2019-12-310000789460int:AccruedExpensesAndOtherCurrentLiabilitiesMemberus-gaap:CommodityContractMemberus-gaap:DesignatedAsHedgingInstrumentMember2020-09-300000789460int:AccruedE</w:t>
      </w:r>
      <w:r>
        <w:rPr>
          <w:rFonts w:eastAsia="Times New Roman"/>
          <w:vanish/>
        </w:rPr>
        <w:t>xpensesAndOtherCurrentLiabilitiesMemberus-gaap:CommodityContractMemberus-gaap:DesignatedAsHedgingInstrumentMember2019-12-310000789460us-gaap:CommodityContractMemberus-gaap:DesignatedAsHedgingInstrumentMemberus-gaap:OtherNoncurrentLiabilitiesMember2020-09-3</w:t>
      </w:r>
      <w:r>
        <w:rPr>
          <w:rFonts w:eastAsia="Times New Roman"/>
          <w:vanish/>
        </w:rPr>
        <w:t>00000789460us-gaap:CommodityContractMemberus-gaap:DesignatedAsHedgingInstrumentMemberus-gaap:OtherNoncurrentLiabilitiesMember2019-12-310000789460us-gaap:CommodityContractMemberus-gaap:DesignatedAsHedgingInstrumentMember2020-09-300000789460us-gaap:Commodity</w:t>
      </w:r>
      <w:r>
        <w:rPr>
          <w:rFonts w:eastAsia="Times New Roman"/>
          <w:vanish/>
        </w:rPr>
        <w:t>ContractMemberus-gaap:DesignatedAsHedgingInstrumentMember2019-12-310000789460us-gaap:InterestRateContractMemberint:ShortTermDerivativeAssetsNetMemberus-gaap:DesignatedAsHedgingInstrumentMember2020-09-300000789460us-gaap:InterestRateContractMemberint:ShortT</w:t>
      </w:r>
      <w:r>
        <w:rPr>
          <w:rFonts w:eastAsia="Times New Roman"/>
          <w:vanish/>
        </w:rPr>
        <w:t>ermDerivativeAssetsNetMemberus-gaap:DesignatedAsHedgingInstrumentMember2019-12-310000789460us-gaap:InterestRateContractMemberint:IdentifiableIntangibleAndOtherNonCurrentAssetsMemberus-gaap:DesignatedAsHedgingInstrumentMember2020-09-300000789460us-gaap:Inte</w:t>
      </w:r>
      <w:r>
        <w:rPr>
          <w:rFonts w:eastAsia="Times New Roman"/>
          <w:vanish/>
        </w:rPr>
        <w:t>restRateContractMemberint:IdentifiableIntangibleAndOtherNonCurrentAssetsMemberus-gaap:DesignatedAsHedgingInstrumentMember2019-12-310000789460us-gaap:InterestRateContractMemberint:AccruedExpensesAndOtherCurrentLiabilitiesMemberus-gaap:DesignatedAsHedgingIns</w:t>
      </w:r>
      <w:r>
        <w:rPr>
          <w:rFonts w:eastAsia="Times New Roman"/>
          <w:vanish/>
        </w:rPr>
        <w:t>trumentMember2020-09-300000789460us-gaap:InterestRateContractMemberint:AccruedExpensesAndOtherCurrentLiabilitiesMemberus-gaap:DesignatedAsHedgingInstrumentMember2019-12-310000789460us-gaap:InterestRateContractMemberus-gaap:DesignatedAsHedgingInstrumentMemb</w:t>
      </w:r>
      <w:r>
        <w:rPr>
          <w:rFonts w:eastAsia="Times New Roman"/>
          <w:vanish/>
        </w:rPr>
        <w:t>erus-gaap:OtherNoncurrentLiabilitiesMember2020-09-300000789460us-gaap:InterestRateContractMemberus-gaap:DesignatedAsHedgingInstrumentMemberus-gaap:OtherNoncurrentLiabilitiesMember2019-12-310000789460us-gaap:DesignatedAsHedgingInstrumentMember2020-09-300000</w:t>
      </w:r>
      <w:r>
        <w:rPr>
          <w:rFonts w:eastAsia="Times New Roman"/>
          <w:vanish/>
        </w:rPr>
        <w:t>789460us-gaap:DesignatedAsHedgingInstrumentMember2019-12-310000789460us-gaap:NondesignatedMemberus-gaap:CommodityContractMemberint:ShortTermDerivativeAssetsNetMember2020-09-300000789460us-gaap:NondesignatedMemberus-gaap:CommodityContractMemberint:ShortTerm</w:t>
      </w:r>
      <w:r>
        <w:rPr>
          <w:rFonts w:eastAsia="Times New Roman"/>
          <w:vanish/>
        </w:rPr>
        <w:t>DerivativeAssetsNetMember2019-12-310000789460us-gaap:NondesignatedMemberus-gaap:CommodityContractMemberint:IdentifiableIntangibleAndOtherNonCurrentAssetsMember2020-09-300000789460us-gaap:NondesignatedMemberus-gaap:CommodityContractMemberint:IdentifiableInt</w:t>
      </w:r>
      <w:r>
        <w:rPr>
          <w:rFonts w:eastAsia="Times New Roman"/>
          <w:vanish/>
        </w:rPr>
        <w:t>angibleAndOtherNonCurrentAssetsMember2019-12-310000789460us-gaap:NondesignatedMemberint:AccruedExpensesAndOtherCurrentLiabilitiesMemberus-gaap:CommodityContractMember2020-09-300000789460us-gaap:NondesignatedMemberint:AccruedExpensesAndOtherCurrentLiabiliti</w:t>
      </w:r>
      <w:r>
        <w:rPr>
          <w:rFonts w:eastAsia="Times New Roman"/>
          <w:vanish/>
        </w:rPr>
        <w:t>esMemberus-gaap:CommodityContractMember2019-12-310000789460us-gaap:NondesignatedMemberus-gaap:CommodityContractMemberus-gaap:OtherNoncurrentLiabilitiesMember2020-09-300000789460us-gaap:NondesignatedMemberus-gaap:CommodityContractMemberus-gaap:OtherNoncurre</w:t>
      </w:r>
      <w:r>
        <w:rPr>
          <w:rFonts w:eastAsia="Times New Roman"/>
          <w:vanish/>
        </w:rPr>
        <w:t>ntLiabilitiesMember2019-12-310000789460us-gaap:NondesignatedMemberus-gaap:CommodityContractMember2020-09-300000789460us-gaap:NondesignatedMemberus-gaap:CommodityContractMember2019-12-310000789460us-gaap:NondesignatedMemberint:ShortTermDerivativeAssetsNetMe</w:t>
      </w:r>
      <w:r>
        <w:rPr>
          <w:rFonts w:eastAsia="Times New Roman"/>
          <w:vanish/>
        </w:rPr>
        <w:t>mberus-gaap:ForeignExchangeContractMember2020-09-300000789460us-gaap:NondesignatedMemberint:ShortTermDerivativeAssetsNetMemberus-gaap:ForeignExchangeContractMember2019-12-310000789460us-gaap:NondesignatedMemberus-gaap:ForeignExchangeContractMemberint:Ident</w:t>
      </w:r>
      <w:r>
        <w:rPr>
          <w:rFonts w:eastAsia="Times New Roman"/>
          <w:vanish/>
        </w:rPr>
        <w:t>ifiableIntangibleAndOtherNonCurrentAssetsMember2020-09-300000789460us-gaap:NondesignatedMemberus-gaap:ForeignExchangeContractMemberint:IdentifiableIntangibleAndOtherNonCurrentAssetsMember2019-12-310000789460us-gaap:NondesignatedMemberint:AccruedExpensesAnd</w:t>
      </w:r>
      <w:r>
        <w:rPr>
          <w:rFonts w:eastAsia="Times New Roman"/>
          <w:vanish/>
        </w:rPr>
        <w:t>OtherCurrentLiabilitiesMemberus-gaap:ForeignExchangeContractMember2020-09-300000789460us-gaap:NondesignatedMemberint:AccruedExpensesAndOtherCurrentLiabilitiesMemberus-gaap:ForeignExchangeContractMember2019-12-310000789460us-gaap:NondesignatedMemberus-gaap:</w:t>
      </w:r>
      <w:r>
        <w:rPr>
          <w:rFonts w:eastAsia="Times New Roman"/>
          <w:vanish/>
        </w:rPr>
        <w:t>ForeignExchangeContractMember2020-09-300000789460us-gaap:NondesignatedMemberus-gaap:ForeignExchangeContractMember2019-12-310000789460us-gaap:NondesignatedMember2020-09-300000789460us-gaap:NondesignatedMember2019-12-31utr:bbl0000789460us-gaap:LongMemberus-g</w:t>
      </w:r>
      <w:r>
        <w:rPr>
          <w:rFonts w:eastAsia="Times New Roman"/>
          <w:vanish/>
        </w:rPr>
        <w:t>aap:CommodityContractMember2020-01-012020-09-300000789460us-gaap:ShortMemberus-gaap:CommodityContractMember2020-01-012020-09-300000789460us-gaap:ShortMembercurrency:USDus-gaap:ForeignExchangeContractMember2020-09-300000789460currency:USDus-gaap:LongMemberu</w:t>
      </w:r>
      <w:r>
        <w:rPr>
          <w:rFonts w:eastAsia="Times New Roman"/>
          <w:vanish/>
        </w:rPr>
        <w:t>s-gaap:ForeignExchangeContractMember2020-09-300000789460us-gaap:SalesMember2020-07-012020-09-300000789460us-gaap:CostOfSalesMember2020-07-012020-09-300000789460int:InterestExpenseAndOtherFinancingCostsMember2020-07-012020-09-300000789460us-gaap:SalesMember</w:t>
      </w:r>
      <w:r>
        <w:rPr>
          <w:rFonts w:eastAsia="Times New Roman"/>
          <w:vanish/>
        </w:rPr>
        <w:t>2019-07-012019-09-300000789460us-gaap:CostOfSalesMember2019-07-012019-09-300000789460int:InterestExpenseAndOtherFinancingCostsMember2019-07-012019-09-300000789460us-gaap:SalesMemberus-gaap:CommodityContractMember2020-07-012020-09-300000789460us-gaap:CostOf</w:t>
      </w:r>
      <w:r>
        <w:rPr>
          <w:rFonts w:eastAsia="Times New Roman"/>
          <w:vanish/>
        </w:rPr>
        <w:t>SalesMemberus-gaap:CommodityContractMember2020-07-012020-09-300000789460us-gaap:CommodityContractMemberint:InterestExpenseAndOtherFinancingCostsMember2020-07-012020-09-300000789460us-gaap:SalesMemberus-gaap:CommodityContractMember2019-07-012019-09-30000078</w:t>
      </w:r>
      <w:r>
        <w:rPr>
          <w:rFonts w:eastAsia="Times New Roman"/>
          <w:vanish/>
        </w:rPr>
        <w:t>9460us-gaap:CostOfSalesMemberus-gaap:CommodityContractMember2019-07-012019-09-300000789460us-gaap:CommodityContractMemberint:InterestExpenseAndOtherFinancingCostsMember2019-07-012019-09-300000789460us-gaap:SalesMemberus-gaap:InterestRateContractMember2020-</w:t>
      </w:r>
      <w:r>
        <w:rPr>
          <w:rFonts w:eastAsia="Times New Roman"/>
          <w:vanish/>
        </w:rPr>
        <w:t>07-012020-09-300000789460us-gaap:CostOfSalesMemberus-gaap:InterestRateContractMember2020-07-012020-09-300000789460us-gaap:InterestRateContractMemberint:InterestExpenseAndOtherFinancingCostsMember2020-07-012020-09-300000789460us-gaap:SalesMemberus-gaap:Inte</w:t>
      </w:r>
      <w:r>
        <w:rPr>
          <w:rFonts w:eastAsia="Times New Roman"/>
          <w:vanish/>
        </w:rPr>
        <w:t>restRateContractMember2019-07-012019-09-300000789460us-gaap:CostOfSalesMemberus-gaap:InterestRateContractMember2019-07-012019-09-300000789460us-gaap:InterestRateContractMemberint:InterestExpenseAndOtherFinancingCostsMember2019-07-012019-09-300000789460us-g</w:t>
      </w:r>
      <w:r>
        <w:rPr>
          <w:rFonts w:eastAsia="Times New Roman"/>
          <w:vanish/>
        </w:rPr>
        <w:t>aap:SalesMember2020-01-012020-09-300000789460us-gaap:CostOfSalesMember2020-01-012020-09-300000789460int:InterestExpenseAndOtherFinancingCostsMember2020-01-012020-09-300000789460us-gaap:SalesMember2019-01-012019-09-300000789460us-gaap:CostOfSalesMember2019-</w:t>
      </w:r>
      <w:r>
        <w:rPr>
          <w:rFonts w:eastAsia="Times New Roman"/>
          <w:vanish/>
        </w:rPr>
        <w:t>01-012019-09-300000789460int:InterestExpenseAndOtherFinancingCostsMember2019-01-012019-09-300000789460us-gaap:SalesMemberus-gaap:CommodityContractMember2020-01-012020-09-300000789460us-gaap:CostOfSalesMemberus-gaap:CommodityContractMember2020-01-012020-09-</w:t>
      </w:r>
      <w:r>
        <w:rPr>
          <w:rFonts w:eastAsia="Times New Roman"/>
          <w:vanish/>
        </w:rPr>
        <w:t>300000789460us-gaap:CommodityContractMemberint:InterestExpenseAndOtherFinancingCostsMember2020-01-012020-09-300000789460us-gaap:SalesMemberus-gaap:CommodityContractMember2019-01-012019-09-300000789460us-gaap:CostOfSalesMemberus-gaap:CommodityContractMember</w:t>
      </w:r>
      <w:r>
        <w:rPr>
          <w:rFonts w:eastAsia="Times New Roman"/>
          <w:vanish/>
        </w:rPr>
        <w:t>2019-01-012019-09-300000789460us-gaap:CommodityContractMemberint:InterestExpenseAndOtherFinancingCostsMember2019-01-012019-09-300000789460us-gaap:SalesMemberus-gaap:InterestRateContractMember2020-01-012020-09-300000789460us-gaap:CostOfSalesMemberus-gaap:In</w:t>
      </w:r>
      <w:r>
        <w:rPr>
          <w:rFonts w:eastAsia="Times New Roman"/>
          <w:vanish/>
        </w:rPr>
        <w:t>terestRateContractMember2020-01-012020-09-300000789460us-gaap:InterestRateContractMemberint:InterestExpenseAndOtherFinancingCostsMember2020-01-012020-09-300000789460us-gaap:SalesMemberus-gaap:InterestRateContractMember2019-01-012019-09-300000789460us-gaap:</w:t>
      </w:r>
      <w:r>
        <w:rPr>
          <w:rFonts w:eastAsia="Times New Roman"/>
          <w:vanish/>
        </w:rPr>
        <w:t>CostOfSalesMemberus-gaap:InterestRateContractMember2019-01-012019-09-300000789460us-gaap:InterestRateContractMemberint:InterestExpenseAndOtherFinancingCostsMember2019-01-012019-09-300000789460us-gaap:SalesMemberus-gaap:CommodityContractMemberus-gaap:Design</w:t>
      </w:r>
      <w:r>
        <w:rPr>
          <w:rFonts w:eastAsia="Times New Roman"/>
          <w:vanish/>
        </w:rPr>
        <w:t>atedAsHedgingInstrumentMember2020-07-012020-09-300000789460us-gaap:SalesMemberus-gaap:CommodityContractMemberus-gaap:DesignatedAsHedgingInstrumentMember2019-07-012019-09-300000789460us-gaap:CostOfSalesMemberus-gaap:CommodityContractMemberus-gaap:Designated</w:t>
      </w:r>
      <w:r>
        <w:rPr>
          <w:rFonts w:eastAsia="Times New Roman"/>
          <w:vanish/>
        </w:rPr>
        <w:t>AsHedgingInstrumentMember2020-07-012020-09-300000789460us-gaap:CostOfSalesMemberus-gaap:CommodityContractMemberus-gaap:DesignatedAsHedgingInstrumentMember2019-07-012019-09-300000789460us-gaap:InterestRateContractMemberint:InterestExpenseAndOtherFinancingCo</w:t>
      </w:r>
      <w:r>
        <w:rPr>
          <w:rFonts w:eastAsia="Times New Roman"/>
          <w:vanish/>
        </w:rPr>
        <w:t>stsMemberus-gaap:DesignatedAsHedgingInstrumentMember2020-07-012020-09-300000789460us-gaap:InterestRateContractMemberint:InterestExpenseAndOtherFinancingCostsMemberus-gaap:DesignatedAsHedgingInstrumentMember2019-07-012019-09-300000789460us-gaap:DesignatedAs</w:t>
      </w:r>
      <w:r>
        <w:rPr>
          <w:rFonts w:eastAsia="Times New Roman"/>
          <w:vanish/>
        </w:rPr>
        <w:t>HedgingInstrumentMember2020-07-012020-09-300000789460us-gaap:DesignatedAsHedgingInstrumentMember2019-07-012019-09-300000789460us-gaap:SalesMemberus-gaap:CommodityContractMemberus-gaap:DesignatedAsHedgingInstrumentMember2020-01-012020-09-300000789460us-gaap</w:t>
      </w:r>
      <w:r>
        <w:rPr>
          <w:rFonts w:eastAsia="Times New Roman"/>
          <w:vanish/>
        </w:rPr>
        <w:t>:SalesMemberus-gaap:CommodityContractMemberus-gaap:DesignatedAsHedgingInstrumentMember2019-01-012019-09-300000789460us-gaap:CostOfSalesMemberus-gaap:CommodityContractMemberus-gaap:DesignatedAsHedgingInstrumentMember2020-01-012020-09-300000789460us-gaap:Cos</w:t>
      </w:r>
      <w:r>
        <w:rPr>
          <w:rFonts w:eastAsia="Times New Roman"/>
          <w:vanish/>
        </w:rPr>
        <w:t>tOfSalesMemberus-gaap:CommodityContractMemberus-gaap:DesignatedAsHedgingInstrumentMember2019-01-012019-09-300000789460us-gaap:InterestRateContractMemberint:InterestExpenseAndOtherFinancingCostsMemberus-gaap:DesignatedAsHedgingInstrumentMember2020-01-012020</w:t>
      </w:r>
      <w:r>
        <w:rPr>
          <w:rFonts w:eastAsia="Times New Roman"/>
          <w:vanish/>
        </w:rPr>
        <w:t>-09-300000789460us-gaap:InterestRateContractMemberint:InterestExpenseAndOtherFinancingCostsMemberus-gaap:DesignatedAsHedgingInstrumentMember2019-01-012019-09-300000789460us-gaap:DesignatedAsHedgingInstrumentMember2020-01-012020-09-300000789460us-gaap:Desig</w:t>
      </w:r>
      <w:r>
        <w:rPr>
          <w:rFonts w:eastAsia="Times New Roman"/>
          <w:vanish/>
        </w:rPr>
        <w:t>natedAsHedgingInstrumentMember2019-01-012019-09-300000789460us-gaap:NondesignatedMemberus-gaap:SalesMemberus-gaap:CommodityContractMember2020-07-012020-09-300000789460us-gaap:NondesignatedMemberus-gaap:SalesMemberus-gaap:CommodityContractMember2019-07-0120</w:t>
      </w:r>
      <w:r>
        <w:rPr>
          <w:rFonts w:eastAsia="Times New Roman"/>
          <w:vanish/>
        </w:rPr>
        <w:t>19-09-300000789460us-gaap:NondesignatedMemberus-gaap:CostOfSalesMemberus-gaap:CommodityContractMember2020-07-012020-09-300000789460us-gaap:NondesignatedMemberus-gaap:CostOfSalesMemberus-gaap:CommodityContractMember2019-07-012019-09-300000789460us-gaap:Nond</w:t>
      </w:r>
      <w:r>
        <w:rPr>
          <w:rFonts w:eastAsia="Times New Roman"/>
          <w:vanish/>
        </w:rPr>
        <w:t>esignatedMemberus-gaap:CommodityContractMember2020-07-012020-09-300000789460us-gaap:NondesignatedMemberus-gaap:CommodityContractMember2019-07-012019-09-300000789460us-gaap:NondesignatedMemberus-gaap:SalesMemberus-gaap:ForeignExchangeContractMember2020-07-0</w:t>
      </w:r>
      <w:r>
        <w:rPr>
          <w:rFonts w:eastAsia="Times New Roman"/>
          <w:vanish/>
        </w:rPr>
        <w:t>12020-09-300000789460us-gaap:NondesignatedMemberus-gaap:SalesMemberus-gaap:ForeignExchangeContractMember2019-07-012019-09-300000789460us-gaap:NondesignatedMemberint:InterestExpenseAndOtherFinancingCostsMemberus-gaap:ForeignExchangeContractMember2020-07-012</w:t>
      </w:r>
      <w:r>
        <w:rPr>
          <w:rFonts w:eastAsia="Times New Roman"/>
          <w:vanish/>
        </w:rPr>
        <w:t>020-09-300000789460us-gaap:NondesignatedMemberint:InterestExpenseAndOtherFinancingCostsMemberus-gaap:ForeignExchangeContractMember2019-07-012019-09-300000789460us-gaap:NondesignatedMemberus-gaap:ForeignExchangeContractMember2020-07-012020-09-300000789460us</w:t>
      </w:r>
      <w:r>
        <w:rPr>
          <w:rFonts w:eastAsia="Times New Roman"/>
          <w:vanish/>
        </w:rPr>
        <w:t>-gaap:NondesignatedMemberus-gaap:ForeignExchangeContractMember2019-07-012019-09-300000789460us-gaap:NondesignatedMember2020-07-012020-09-300000789460us-gaap:NondesignatedMember2019-07-012019-09-300000789460us-gaap:NondesignatedMemberus-gaap:SalesMemberus-g</w:t>
      </w:r>
      <w:r>
        <w:rPr>
          <w:rFonts w:eastAsia="Times New Roman"/>
          <w:vanish/>
        </w:rPr>
        <w:t>aap:CommodityContractMember2020-01-012020-09-300000789460us-gaap:NondesignatedMemberus-gaap:SalesMemberus-gaap:CommodityContractMember2019-01-012019-09-300000789460us-gaap:NondesignatedMemberus-gaap:CostOfSalesMemberus-gaap:CommodityContractMember2020-01-0</w:t>
      </w:r>
      <w:r>
        <w:rPr>
          <w:rFonts w:eastAsia="Times New Roman"/>
          <w:vanish/>
        </w:rPr>
        <w:t>12020-09-300000789460us-gaap:NondesignatedMemberus-gaap:CostOfSalesMemberus-gaap:CommodityContractMember2019-01-012019-09-300000789460us-gaap:NondesignatedMemberus-gaap:CommodityContractMember2020-01-012020-09-300000789460us-gaap:NondesignatedMemberus-gaap</w:t>
      </w:r>
      <w:r>
        <w:rPr>
          <w:rFonts w:eastAsia="Times New Roman"/>
          <w:vanish/>
        </w:rPr>
        <w:t>:CommodityContractMember2019-01-012019-09-300000789460us-gaap:NondesignatedMemberus-gaap:SalesMemberus-gaap:ForeignExchangeContractMember2020-01-012020-09-300000789460us-gaap:NondesignatedMemberus-gaap:SalesMemberus-gaap:ForeignExchangeContractMember2019-0</w:t>
      </w:r>
      <w:r>
        <w:rPr>
          <w:rFonts w:eastAsia="Times New Roman"/>
          <w:vanish/>
        </w:rPr>
        <w:t>1-012019-09-300000789460us-gaap:NondesignatedMemberint:InterestExpenseAndOtherFinancingCostsMemberus-gaap:ForeignExchangeContractMember2020-01-012020-09-300000789460us-gaap:NondesignatedMemberint:InterestExpenseAndOtherFinancingCostsMemberus-gaap:ForeignEx</w:t>
      </w:r>
      <w:r>
        <w:rPr>
          <w:rFonts w:eastAsia="Times New Roman"/>
          <w:vanish/>
        </w:rPr>
        <w:t>changeContractMember2019-01-012019-09-300000789460us-gaap:NondesignatedMemberus-gaap:ForeignExchangeContractMember2020-01-012020-09-300000789460us-gaap:NondesignatedMemberus-gaap:ForeignExchangeContractMember2019-01-012019-09-300000789460us-gaap:Nondesigna</w:t>
      </w:r>
      <w:r>
        <w:rPr>
          <w:rFonts w:eastAsia="Times New Roman"/>
          <w:vanish/>
        </w:rPr>
        <w:t>tedMember2020-01-012020-09-300000789460us-gaap:NondesignatedMember2019-01-012019-09-300000789460int:AviationSegmentMember2019-12-310000789460int:LandSegmentMember2019-12-310000789460int:AviationSegmentMember2020-01-012020-09-300000789460int:LandSegmentMemb</w:t>
      </w:r>
      <w:r>
        <w:rPr>
          <w:rFonts w:eastAsia="Times New Roman"/>
          <w:vanish/>
        </w:rPr>
        <w:t>er2020-01-012020-09-300000789460int:AviationSegmentMember2020-09-300000789460int:LandSegmentMember2020-09-300000789460us-gaap:LineOfCreditMemberus-gaap:RevolvingCreditFacilityMember2020-09-300000789460us-gaap:LineOfCreditMemberus-gaap:RevolvingCreditFacili</w:t>
      </w:r>
      <w:r>
        <w:rPr>
          <w:rFonts w:eastAsia="Times New Roman"/>
          <w:vanish/>
        </w:rPr>
        <w:t>tyMember2019-12-310000789460int:TermLoansMemberus-gaap:SeniorNotesMember2020-09-300000789460int:TermLoansMemberus-gaap:SeniorNotesMember2019-12-310000789460int:OtherDebtMember2020-09-300000789460int:OtherDebtMember2019-12-310000789460us-gaap:FairValueInput</w:t>
      </w:r>
      <w:r>
        <w:rPr>
          <w:rFonts w:eastAsia="Times New Roman"/>
          <w:vanish/>
        </w:rPr>
        <w:t>sLevel2Memberus-gaap:FairValueMeasurementsRecurringMember2020-09-300000789460us-gaap:FairValueInputsLevel2Memberus-gaap:FairValueMeasurementsRecurringMember2019-12-310000789460us-gaap:FairValueInputsLevel1Memberus-gaap:FairValueMeasurementsRecurringMemberu</w:t>
      </w:r>
      <w:r>
        <w:rPr>
          <w:rFonts w:eastAsia="Times New Roman"/>
          <w:vanish/>
        </w:rPr>
        <w:t>s-gaap:CommodityContractMember2020-09-300000789460us-gaap:FairValueInputsLevel2Memberus-gaap:FairValueMeasurementsRecurringMemberus-gaap:CommodityContractMember2020-09-300000789460us-gaap:FairValueMeasurementsRecurringMemberus-gaap:CommodityContractMemberu</w:t>
      </w:r>
      <w:r>
        <w:rPr>
          <w:rFonts w:eastAsia="Times New Roman"/>
          <w:vanish/>
        </w:rPr>
        <w:t>s-gaap:FairValueInputsLevel3Member2020-09-300000789460us-gaap:FairValueMeasurementsRecurringMemberus-gaap:CommodityContractMember2020-09-300000789460us-gaap:FairValueInputsLevel1Memberus-gaap:FairValueMeasurementsRecurringMemberus-gaap:ForeignExchangeContr</w:t>
      </w:r>
      <w:r>
        <w:rPr>
          <w:rFonts w:eastAsia="Times New Roman"/>
          <w:vanish/>
        </w:rPr>
        <w:t>actMember2020-09-300000789460us-gaap:FairValueInputsLevel2Memberus-gaap:FairValueMeasurementsRecurringMemberus-gaap:ForeignExchangeContractMember2020-09-300000789460us-gaap:FairValueMeasurementsRecurringMemberus-gaap:ForeignExchangeContractMemberus-gaap:Fa</w:t>
      </w:r>
      <w:r>
        <w:rPr>
          <w:rFonts w:eastAsia="Times New Roman"/>
          <w:vanish/>
        </w:rPr>
        <w:t>irValueInputsLevel3Member2020-09-300000789460us-gaap:FairValueMeasurementsRecurringMemberus-gaap:ForeignExchangeContractMember2020-09-300000789460us-gaap:CashSurrenderValueMemberus-gaap:FairValueInputsLevel1Memberus-gaap:FairValueMeasurementsRecurringMembe</w:t>
      </w:r>
      <w:r>
        <w:rPr>
          <w:rFonts w:eastAsia="Times New Roman"/>
          <w:vanish/>
        </w:rPr>
        <w:t>r2020-09-300000789460us-gaap:CashSurrenderValueMemberus-gaap:FairValueInputsLevel2Memberus-gaap:FairValueMeasurementsRecurringMember2020-09-300000789460us-gaap:CashSurrenderValueMemberus-gaap:FairValueMeasurementsRecurringMemberus-gaap:FairValueInputsLevel</w:t>
      </w:r>
      <w:r>
        <w:rPr>
          <w:rFonts w:eastAsia="Times New Roman"/>
          <w:vanish/>
        </w:rPr>
        <w:t>3Member2020-09-300000789460us-gaap:CashSurrenderValueMemberus-gaap:FairValueMeasurementsRecurringMember2020-09-300000789460us-gaap:FairValueInputsLevel1Memberus-gaap:FairValueMeasurementsRecurringMember2020-09-300000789460us-gaap:FairValueMeasurementsRecur</w:t>
      </w:r>
      <w:r>
        <w:rPr>
          <w:rFonts w:eastAsia="Times New Roman"/>
          <w:vanish/>
        </w:rPr>
        <w:t>ringMemberus-gaap:FairValueInputsLevel3Member2020-09-300000789460us-gaap:FairValueMeasurementsRecurringMember2020-09-300000789460us-gaap:FairValueInputsLevel1Memberus-gaap:InterestRateContractMemberus-gaap:FairValueMeasurementsRecurringMember2020-09-300000</w:t>
      </w:r>
      <w:r>
        <w:rPr>
          <w:rFonts w:eastAsia="Times New Roman"/>
          <w:vanish/>
        </w:rPr>
        <w:t>789460us-gaap:InterestRateContractMemberus-gaap:FairValueInputsLevel2Memberus-gaap:FairValueMeasurementsRecurringMember2020-09-300000789460us-gaap:InterestRateContractMemberus-gaap:FairValueMeasurementsRecurringMemberus-gaap:FairValueInputsLevel3Member2020</w:t>
      </w:r>
      <w:r>
        <w:rPr>
          <w:rFonts w:eastAsia="Times New Roman"/>
          <w:vanish/>
        </w:rPr>
        <w:t>-09-300000789460us-gaap:InterestRateContractMemberus-gaap:FairValueMeasurementsRecurringMember2020-09-300000789460us-gaap:FairValueInputsLevel1Memberus-gaap:FairValueMeasurementsRecurringMemberus-gaap:CommodityContractMember2019-12-310000789460us-gaap:Fair</w:t>
      </w:r>
      <w:r>
        <w:rPr>
          <w:rFonts w:eastAsia="Times New Roman"/>
          <w:vanish/>
        </w:rPr>
        <w:t>ValueInputsLevel2Memberus-gaap:FairValueMeasurementsRecurringMemberus-gaap:CommodityContractMember2019-12-310000789460us-gaap:FairValueMeasurementsRecurringMemberus-gaap:CommodityContractMemberus-gaap:FairValueInputsLevel3Member2019-12-310000789460us-gaap:</w:t>
      </w:r>
      <w:r>
        <w:rPr>
          <w:rFonts w:eastAsia="Times New Roman"/>
          <w:vanish/>
        </w:rPr>
        <w:t>FairValueMeasurementsRecurringMemberus-gaap:CommodityContractMember2019-12-310000789460us-gaap:FairValueInputsLevel1Memberus-gaap:FairValueMeasurementsRecurringMemberus-gaap:ForeignExchangeContractMember2019-12-310000789460us-gaap:FairValueInputsLevel2Memb</w:t>
      </w:r>
      <w:r>
        <w:rPr>
          <w:rFonts w:eastAsia="Times New Roman"/>
          <w:vanish/>
        </w:rPr>
        <w:t>erus-gaap:FairValueMeasurementsRecurringMemberus-gaap:ForeignExchangeContractMember2019-12-310000789460us-gaap:FairValueMeasurementsRecurringMemberus-gaap:ForeignExchangeContractMemberus-gaap:FairValueInputsLevel3Member2019-12-310000789460us-gaap:FairValue</w:t>
      </w:r>
      <w:r>
        <w:rPr>
          <w:rFonts w:eastAsia="Times New Roman"/>
          <w:vanish/>
        </w:rPr>
        <w:t>MeasurementsRecurringMemberus-gaap:ForeignExchangeContractMember2019-12-310000789460us-gaap:CashSurrenderValueMemberus-gaap:FairValueInputsLevel1Memberus-gaap:FairValueMeasurementsRecurringMember2019-12-310000789460us-gaap:CashSurrenderValueMemberus-gaap:F</w:t>
      </w:r>
      <w:r>
        <w:rPr>
          <w:rFonts w:eastAsia="Times New Roman"/>
          <w:vanish/>
        </w:rPr>
        <w:t>airValueInputsLevel2Memberus-gaap:FairValueMeasurementsRecurringMember2019-12-310000789460us-gaap:CashSurrenderValueMemberus-gaap:FairValueMeasurementsRecurringMemberus-gaap:FairValueInputsLevel3Member2019-12-310000789460us-gaap:CashSurrenderValueMemberus-</w:t>
      </w:r>
      <w:r>
        <w:rPr>
          <w:rFonts w:eastAsia="Times New Roman"/>
          <w:vanish/>
        </w:rPr>
        <w:t>gaap:FairValueMeasurementsRecurringMember2019-12-310000789460us-gaap:FairValueInputsLevel1Memberus-gaap:FairValueMeasurementsRecurringMember2019-12-310000789460us-gaap:FairValueMeasurementsRecurringMemberus-gaap:FairValueInputsLevel3Member2019-12-310000789</w:t>
      </w:r>
      <w:r>
        <w:rPr>
          <w:rFonts w:eastAsia="Times New Roman"/>
          <w:vanish/>
        </w:rPr>
        <w:t>460us-gaap:FairValueMeasurementsRecurringMember2019-12-310000789460us-gaap:CommodityContractMember2020-09-300000789460us-gaap:InterestRateContractMember2020-09-300000789460us-gaap:ForeignExchangeContractMember2020-09-300000789460us-gaap:CommodityContractMe</w:t>
      </w:r>
      <w:r>
        <w:rPr>
          <w:rFonts w:eastAsia="Times New Roman"/>
          <w:vanish/>
        </w:rPr>
        <w:t>mber2019-12-310000789460us-gaap:ForeignExchangeContractMember2019-12-310000789460int:CreditExposureMemberus-gaap:CreditConcentrationRiskMemberint:LargestCounterpartyMember2020-09-300000789460int:DanishTaxAuthorityMemberus-gaap:TaxYear2013Memberus-gaap:Fore</w:t>
      </w:r>
      <w:r>
        <w:rPr>
          <w:rFonts w:eastAsia="Times New Roman"/>
          <w:vanish/>
        </w:rPr>
        <w:t>ignCountryMember2019-04-012019-06-30iso4217:DKK0000789460int:DanishTaxAuthorityMemberus-gaap:TaxYear2014Memberus-gaap:ForeignCountryMember2020-04-302020-04-300000789460int:TaxAuthoritySouthKoreaSRTOMember2017-01-012017-12-31iso4217:KRW0000789460int:Aviatio</w:t>
      </w:r>
      <w:r>
        <w:rPr>
          <w:rFonts w:eastAsia="Times New Roman"/>
          <w:vanish/>
        </w:rPr>
        <w:t>nSegmentMembersrt:AsiaPacificMember2020-07-012020-09-300000789460int:AviationSegmentMembersrt:AsiaPacificMember2019-07-012019-09-300000789460int:AviationSegmentMembersrt:AsiaPacificMember2020-01-012020-09-300000789460int:AviationSegmentMembersrt:AsiaPacifi</w:t>
      </w:r>
      <w:r>
        <w:rPr>
          <w:rFonts w:eastAsia="Times New Roman"/>
          <w:vanish/>
        </w:rPr>
        <w:t>cMember2019-01-012019-09-300000789460srt:AsiaPacificMemberint:LandSegmentMember2020-07-012020-09-300000789460srt:AsiaPacificMemberint:LandSegmentMember2019-07-012019-09-300000789460srt:AsiaPacificMemberint:LandSegmentMember2020-01-012020-09-300000789460srt</w:t>
      </w:r>
      <w:r>
        <w:rPr>
          <w:rFonts w:eastAsia="Times New Roman"/>
          <w:vanish/>
        </w:rPr>
        <w:t>:AsiaPacificMemberint:LandSegmentMember2019-01-012019-09-300000789460srt:AsiaPacificMemberint:MarineSegmentMember2020-07-012020-09-300000789460srt:AsiaPacificMemberint:MarineSegmentMember2019-07-012019-09-300000789460srt:AsiaPacificMemberint:MarineSegmentM</w:t>
      </w:r>
      <w:r>
        <w:rPr>
          <w:rFonts w:eastAsia="Times New Roman"/>
          <w:vanish/>
        </w:rPr>
        <w:t>ember2020-01-012020-09-300000789460srt:AsiaPacificMemberint:MarineSegmentMember2019-01-012019-09-300000789460srt:AsiaPacificMember2020-07-012020-09-300000789460srt:AsiaPacificMember2019-07-012019-09-300000789460srt:AsiaPacificMember2020-01-012020-09-300000</w:t>
      </w:r>
      <w:r>
        <w:rPr>
          <w:rFonts w:eastAsia="Times New Roman"/>
          <w:vanish/>
        </w:rPr>
        <w:t>789460srt:AsiaPacificMember2019-01-012019-09-300000789460int:AviationSegmentMemberus-gaap:EMEAMember2020-07-012020-09-300000789460int:AviationSegmentMemberus-gaap:EMEAMember2019-07-012019-09-300000789460int:AviationSegmentMemberus-gaap:EMEAMember2020-01-01</w:t>
      </w:r>
      <w:r>
        <w:rPr>
          <w:rFonts w:eastAsia="Times New Roman"/>
          <w:vanish/>
        </w:rPr>
        <w:t>2020-09-300000789460int:AviationSegmentMemberus-gaap:EMEAMember2019-01-012019-09-300000789460us-gaap:EMEAMemberint:LandSegmentMember2020-07-012020-09-300000789460us-gaap:EMEAMemberint:LandSegmentMember2019-07-012019-09-300000789460us-gaap:EMEAMemberint:Lan</w:t>
      </w:r>
      <w:r>
        <w:rPr>
          <w:rFonts w:eastAsia="Times New Roman"/>
          <w:vanish/>
        </w:rPr>
        <w:t>dSegmentMember2020-01-012020-09-300000789460us-gaap:EMEAMemberint:LandSegmentMember2019-01-012019-09-300000789460us-gaap:EMEAMemberint:MarineSegmentMember2020-07-012020-09-300000789460us-gaap:EMEAMemberint:MarineSegmentMember2019-07-012019-09-300000789460u</w:t>
      </w:r>
      <w:r>
        <w:rPr>
          <w:rFonts w:eastAsia="Times New Roman"/>
          <w:vanish/>
        </w:rPr>
        <w:t>s-gaap:EMEAMemberint:MarineSegmentMember2020-01-012020-09-300000789460us-gaap:EMEAMemberint:MarineSegmentMember2019-01-012019-09-300000789460us-gaap:EMEAMember2020-07-012020-09-300000789460us-gaap:EMEAMember2019-07-012019-09-300000789460us-gaap:EMEAMember2</w:t>
      </w:r>
      <w:r>
        <w:rPr>
          <w:rFonts w:eastAsia="Times New Roman"/>
          <w:vanish/>
        </w:rPr>
        <w:t>020-01-012020-09-300000789460us-gaap:EMEAMember2019-01-012019-09-300000789460srt:LatinAmericaMemberint:AviationSegmentMember2020-07-012020-09-300000789460srt:LatinAmericaMemberint:AviationSegmentMember2019-07-012019-09-300000789460srt:LatinAmericaMemberint</w:t>
      </w:r>
      <w:r>
        <w:rPr>
          <w:rFonts w:eastAsia="Times New Roman"/>
          <w:vanish/>
        </w:rPr>
        <w:t>:AviationSegmentMember2020-01-012020-09-300000789460srt:LatinAmericaMemberint:AviationSegmentMember2019-01-012019-09-300000789460srt:LatinAmericaMemberint:LandSegmentMember2020-07-012020-09-300000789460srt:LatinAmericaMemberint:LandSegmentMember2019-07-012</w:t>
      </w:r>
      <w:r>
        <w:rPr>
          <w:rFonts w:eastAsia="Times New Roman"/>
          <w:vanish/>
        </w:rPr>
        <w:t>019-09-300000789460srt:LatinAmericaMemberint:LandSegmentMember2020-01-012020-09-300000789460srt:LatinAmericaMemberint:LandSegmentMember2019-01-012019-09-300000789460srt:LatinAmericaMemberint:MarineSegmentMember2020-07-012020-09-300000789460srt:LatinAmerica</w:t>
      </w:r>
      <w:r>
        <w:rPr>
          <w:rFonts w:eastAsia="Times New Roman"/>
          <w:vanish/>
        </w:rPr>
        <w:t>Memberint:MarineSegmentMember2019-07-012019-09-300000789460srt:LatinAmericaMemberint:MarineSegmentMember2020-01-012020-09-300000789460srt:LatinAmericaMemberint:MarineSegmentMember2019-01-012019-09-300000789460srt:LatinAmericaMember2020-07-012020-09-3000007</w:t>
      </w:r>
      <w:r>
        <w:rPr>
          <w:rFonts w:eastAsia="Times New Roman"/>
          <w:vanish/>
        </w:rPr>
        <w:t>89460srt:LatinAmericaMember2019-07-012019-09-300000789460srt:LatinAmericaMember2020-01-012020-09-300000789460srt:LatinAmericaMember2019-01-012019-09-300000789460int:AviationSegmentMembersrt:NorthAmericaMember2020-07-012020-09-300000789460int:AviationSegmen</w:t>
      </w:r>
      <w:r>
        <w:rPr>
          <w:rFonts w:eastAsia="Times New Roman"/>
          <w:vanish/>
        </w:rPr>
        <w:t>tMembersrt:NorthAmericaMember2019-07-012019-09-300000789460int:AviationSegmentMembersrt:NorthAmericaMember2020-01-012020-09-300000789460int:AviationSegmentMembersrt:NorthAmericaMember2019-01-012019-09-300000789460srt:NorthAmericaMemberint:LandSegmentMember</w:t>
      </w:r>
      <w:r>
        <w:rPr>
          <w:rFonts w:eastAsia="Times New Roman"/>
          <w:vanish/>
        </w:rPr>
        <w:t>2020-07-012020-09-300000789460srt:NorthAmericaMemberint:LandSegmentMember2019-07-012019-09-300000789460srt:NorthAmericaMemberint:LandSegmentMember2020-01-012020-09-300000789460srt:NorthAmericaMemberint:LandSegmentMember2019-01-012019-09-300000789460int:Mar</w:t>
      </w:r>
      <w:r>
        <w:rPr>
          <w:rFonts w:eastAsia="Times New Roman"/>
          <w:vanish/>
        </w:rPr>
        <w:t>ineSegmentMembersrt:NorthAmericaMember2020-07-012020-09-300000789460int:MarineSegmentMembersrt:NorthAmericaMember2019-07-012019-09-300000789460int:MarineSegmentMembersrt:NorthAmericaMember2020-01-012020-09-300000789460int:MarineSegmentMembersrt:NorthAmeric</w:t>
      </w:r>
      <w:r>
        <w:rPr>
          <w:rFonts w:eastAsia="Times New Roman"/>
          <w:vanish/>
        </w:rPr>
        <w:t>aMember2019-01-012019-09-300000789460srt:NorthAmericaMember2020-07-012020-09-300000789460srt:NorthAmericaMember2019-07-012019-09-300000789460srt:NorthAmericaMember2020-01-012020-09-300000789460srt:NorthAmericaMember2019-01-012019-09-30int:segment0000789460</w:t>
      </w:r>
      <w:r>
        <w:rPr>
          <w:rFonts w:eastAsia="Times New Roman"/>
          <w:vanish/>
        </w:rPr>
        <w:t>int:AviationSegmentMember2020-07-012020-09-300000789460int:AviationSegmentMember2019-07-012019-09-300000789460int:AviationSegmentMember2019-01-012019-09-300000789460int:LandSegmentMember2020-07-012020-09-300000789460int:LandSegmentMember2019-07-012019-09-3</w:t>
      </w:r>
      <w:r>
        <w:rPr>
          <w:rFonts w:eastAsia="Times New Roman"/>
          <w:vanish/>
        </w:rPr>
        <w:t>00000789460int:LandSegmentMember2019-01-012019-09-300000789460int:MarineSegmentMember2020-07-012020-09-300000789460int:MarineSegmentMember2019-07-012019-09-300000789460int:MarineSegmentMember2020-01-012020-09-300000789460int:MarineSegmentMember2019-01-0120</w:t>
      </w:r>
      <w:r>
        <w:rPr>
          <w:rFonts w:eastAsia="Times New Roman"/>
          <w:vanish/>
        </w:rPr>
        <w:t>19-09-300000789460int:AviationSegmentMemberus-gaap:OperatingSegmentsMember2020-07-012020-09-300000789460int:AviationSegmentMemberus-gaap:OperatingSegmentsMember2019-07-012019-09-300000789460int:AviationSegmentMemberus-gaap:OperatingSegmentsMember2020-01-01</w:t>
      </w:r>
      <w:r>
        <w:rPr>
          <w:rFonts w:eastAsia="Times New Roman"/>
          <w:vanish/>
        </w:rPr>
        <w:t>2020-09-300000789460int:AviationSegmentMemberus-gaap:OperatingSegmentsMember2019-01-012019-09-300000789460us-gaap:OperatingSegmentsMemberint:LandSegmentMember2020-07-012020-09-300000789460us-gaap:OperatingSegmentsMemberint:LandSegmentMember2019-07-012019-0</w:t>
      </w:r>
      <w:r>
        <w:rPr>
          <w:rFonts w:eastAsia="Times New Roman"/>
          <w:vanish/>
        </w:rPr>
        <w:t>9-300000789460us-gaap:OperatingSegmentsMemberint:LandSegmentMember2020-01-012020-09-300000789460us-gaap:OperatingSegmentsMemberint:LandSegmentMember2019-01-012019-09-300000789460us-gaap:OperatingSegmentsMemberint:MarineSegmentMember2020-07-012020-09-300000</w:t>
      </w:r>
      <w:r>
        <w:rPr>
          <w:rFonts w:eastAsia="Times New Roman"/>
          <w:vanish/>
        </w:rPr>
        <w:t>789460us-gaap:OperatingSegmentsMemberint:MarineSegmentMember2019-07-012019-09-300000789460us-gaap:OperatingSegmentsMemberint:MarineSegmentMember2020-01-012020-09-300000789460us-gaap:OperatingSegmentsMemberint:MarineSegmentMember2019-01-012019-09-3000007894</w:t>
      </w:r>
      <w:r>
        <w:rPr>
          <w:rFonts w:eastAsia="Times New Roman"/>
          <w:vanish/>
        </w:rPr>
        <w:t>60us-gaap:OperatingSegmentsMember2020-07-012020-09-300000789460us-gaap:OperatingSegmentsMember2019-07-012019-09-300000789460us-gaap:OperatingSegmentsMember2020-01-012020-09-300000789460us-gaap:OperatingSegmentsMember2019-01-012019-09-300000789460us-gaap:Co</w:t>
      </w:r>
      <w:r>
        <w:rPr>
          <w:rFonts w:eastAsia="Times New Roman"/>
          <w:vanish/>
        </w:rPr>
        <w:t>rporateNonSegmentMember2020-07-012020-09-300000789460us-gaap:CorporateNonSegmentMember2019-07-012019-09-300000789460us-gaap:CorporateNonSegmentMember2020-01-012020-09-300000789460us-gaap:CorporateNonSegmentMember2019-01-012019-09-300000789460int:MarineSegm</w:t>
      </w:r>
      <w:r>
        <w:rPr>
          <w:rFonts w:eastAsia="Times New Roman"/>
          <w:vanish/>
        </w:rPr>
        <w:t>entMember2020-09-300000789460int:MarineSegmentMember2019-12-310000789460int:AviationSegmentMemberus-gaap:OperatingSegmentsMember2020-09-300000789460int:AviationSegmentMemberus-gaap:OperatingSegmentsMember2019-12-310000789460us-gaap:OperatingSegmentsMemberi</w:t>
      </w:r>
      <w:r>
        <w:rPr>
          <w:rFonts w:eastAsia="Times New Roman"/>
          <w:vanish/>
        </w:rPr>
        <w:t>nt:LandSegmentMember2020-09-300000789460us-gaap:OperatingSegmentsMemberint:LandSegmentMember2019-12-310000789460us-gaap:OperatingSegmentsMemberint:MarineSegmentMember2020-09-300000789460us-gaap:OperatingSegmentsMemberint:MarineSegmentMember2019-12-31000078</w:t>
      </w:r>
      <w:r>
        <w:rPr>
          <w:rFonts w:eastAsia="Times New Roman"/>
          <w:vanish/>
        </w:rPr>
        <w:t>9460us-gaap:CorporateNonSegmentMember2020-09-300000789460us-gaap:CorporateNonSegmentMember2019-12-310000789460int:TaxAuthoritySouthKoreaSRTOMemberint:TaxAuthorityAssessmentMember2016-01-012016-12-310000789460int:TaxAuthoritySouthKoreaSRTOMemberint:TaxAutho</w:t>
      </w:r>
      <w:r>
        <w:rPr>
          <w:rFonts w:eastAsia="Times New Roman"/>
          <w:vanish/>
        </w:rPr>
        <w:t>rityAssessmentMember2016-12-310000789460int:TaxAuthorityAdditionalAssessmentMemberint:TaxAuthoritySouthKoreaSRTOMember2017-04-012017-06-300000789460int:TaxAuthorityAdditionalAssessmentMemberint:TaxAuthoritySouthKoreaSRTOMember2017-06-300000789460int:TaxAut</w:t>
      </w:r>
      <w:r>
        <w:rPr>
          <w:rFonts w:eastAsia="Times New Roman"/>
          <w:vanish/>
        </w:rPr>
        <w:t>horityAssessmentMemberint:StateAndMunicipalTaxAuthoritiesAndSecretariatOfTheFederalRevenueBureauOfBrazilMember2020-09-30iso4217:BRL</w:t>
      </w:r>
    </w:p>
    <w:p w14:paraId="59860D20" w14:textId="77777777" w:rsidR="00000000" w:rsidRDefault="000A3118">
      <w:pPr>
        <w:divId w:val="1288197052"/>
        <w:rPr>
          <w:rFonts w:eastAsia="Times New Roman"/>
        </w:rPr>
      </w:pPr>
    </w:p>
    <w:p w14:paraId="06B25D6B" w14:textId="77777777" w:rsidR="00000000" w:rsidRDefault="000A3118">
      <w:pPr>
        <w:jc w:val="center"/>
        <w:rPr>
          <w:rFonts w:eastAsia="Times New Roman"/>
        </w:rPr>
      </w:pPr>
      <w:r>
        <w:rPr>
          <w:rFonts w:eastAsia="Times New Roman"/>
          <w:b/>
          <w:bCs/>
          <w:color w:val="000000"/>
          <w:sz w:val="36"/>
          <w:szCs w:val="36"/>
        </w:rPr>
        <w:t>UNITED STATES</w:t>
      </w:r>
    </w:p>
    <w:p w14:paraId="03B68EB8" w14:textId="77777777" w:rsidR="00000000" w:rsidRDefault="000A3118">
      <w:pPr>
        <w:jc w:val="center"/>
        <w:rPr>
          <w:rFonts w:eastAsia="Times New Roman"/>
        </w:rPr>
      </w:pPr>
      <w:r>
        <w:rPr>
          <w:rFonts w:eastAsia="Times New Roman"/>
          <w:b/>
          <w:bCs/>
          <w:color w:val="000000"/>
          <w:sz w:val="36"/>
          <w:szCs w:val="36"/>
        </w:rPr>
        <w:t>SECURITIES AND EXCHANGE COMMISSION</w:t>
      </w:r>
    </w:p>
    <w:p w14:paraId="0D8DC8D7" w14:textId="77777777" w:rsidR="00000000" w:rsidRDefault="000A3118">
      <w:pPr>
        <w:jc w:val="center"/>
        <w:rPr>
          <w:rFonts w:eastAsia="Times New Roman"/>
        </w:rPr>
      </w:pPr>
      <w:r>
        <w:rPr>
          <w:rFonts w:eastAsia="Times New Roman"/>
          <w:b/>
          <w:bCs/>
          <w:color w:val="000000"/>
          <w:sz w:val="20"/>
          <w:szCs w:val="20"/>
        </w:rPr>
        <w:t>Washington, DC 20549</w:t>
      </w:r>
    </w:p>
    <w:p w14:paraId="135EA917" w14:textId="77777777" w:rsidR="00000000" w:rsidRDefault="000A3118">
      <w:pPr>
        <w:jc w:val="center"/>
        <w:rPr>
          <w:rFonts w:eastAsia="Times New Roman"/>
        </w:rPr>
      </w:pPr>
      <w:r>
        <w:rPr>
          <w:rFonts w:eastAsia="Times New Roman"/>
          <w:color w:val="000000"/>
          <w:sz w:val="16"/>
          <w:szCs w:val="16"/>
        </w:rPr>
        <w:t> </w:t>
      </w:r>
    </w:p>
    <w:p w14:paraId="318987AF" w14:textId="77777777" w:rsidR="00000000" w:rsidRDefault="000A3118">
      <w:pPr>
        <w:jc w:val="center"/>
        <w:rPr>
          <w:rFonts w:eastAsia="Times New Roman"/>
        </w:rPr>
      </w:pPr>
      <w:r>
        <w:rPr>
          <w:rFonts w:eastAsia="Times New Roman"/>
          <w:b/>
          <w:bCs/>
          <w:color w:val="000000"/>
          <w:sz w:val="36"/>
          <w:szCs w:val="36"/>
        </w:rPr>
        <w:t xml:space="preserve">FORM 10-Q </w:t>
      </w:r>
    </w:p>
    <w:p w14:paraId="0427247D" w14:textId="77777777" w:rsidR="00000000" w:rsidRDefault="000A3118">
      <w:pPr>
        <w:ind w:firstLine="720"/>
        <w:jc w:val="center"/>
        <w:rPr>
          <w:rFonts w:eastAsia="Times New Roman"/>
        </w:rPr>
      </w:pPr>
      <w:r>
        <w:rPr>
          <w:rFonts w:eastAsia="Times New Roman"/>
          <w:color w:val="000000"/>
          <w:sz w:val="16"/>
          <w:szCs w:val="16"/>
        </w:rPr>
        <w:t> </w:t>
      </w:r>
    </w:p>
    <w:p w14:paraId="6CAF6FB4" w14:textId="77777777" w:rsidR="00000000" w:rsidRDefault="000A3118">
      <w:pPr>
        <w:divId w:val="1003164371"/>
        <w:rPr>
          <w:rFonts w:eastAsia="Times New Roman"/>
        </w:rPr>
      </w:pPr>
      <w:r>
        <w:rPr>
          <w:rFonts w:eastAsia="Times New Roman"/>
          <w:b/>
          <w:bCs/>
          <w:color w:val="000000"/>
          <w:sz w:val="20"/>
          <w:szCs w:val="20"/>
        </w:rPr>
        <w:t>(Mark One)</w:t>
      </w:r>
    </w:p>
    <w:p w14:paraId="215D313F" w14:textId="77777777" w:rsidR="00000000" w:rsidRDefault="000A3118">
      <w:pPr>
        <w:ind w:firstLine="720"/>
        <w:divId w:val="730153830"/>
        <w:rPr>
          <w:rFonts w:eastAsia="Times New Roman"/>
        </w:rPr>
      </w:pPr>
      <w:r>
        <w:rPr>
          <w:rFonts w:eastAsia="Times New Roman"/>
          <w:color w:val="000000"/>
          <w:sz w:val="16"/>
          <w:szCs w:val="16"/>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196"/>
        <w:gridCol w:w="36"/>
        <w:gridCol w:w="37"/>
        <w:gridCol w:w="7964"/>
        <w:gridCol w:w="36"/>
      </w:tblGrid>
      <w:tr w:rsidR="00000000" w14:paraId="760A513F" w14:textId="77777777">
        <w:trPr>
          <w:divId w:val="230971878"/>
        </w:trPr>
        <w:tc>
          <w:tcPr>
            <w:tcW w:w="5" w:type="pct"/>
            <w:vAlign w:val="center"/>
            <w:hideMark/>
          </w:tcPr>
          <w:p w14:paraId="0F37043F" w14:textId="77777777" w:rsidR="00000000" w:rsidRDefault="000A3118">
            <w:pPr>
              <w:ind w:firstLine="720"/>
              <w:rPr>
                <w:rFonts w:eastAsia="Times New Roman"/>
              </w:rPr>
            </w:pPr>
          </w:p>
        </w:tc>
        <w:tc>
          <w:tcPr>
            <w:tcW w:w="121" w:type="pct"/>
            <w:vAlign w:val="center"/>
            <w:hideMark/>
          </w:tcPr>
          <w:p w14:paraId="4CAAADDE" w14:textId="77777777" w:rsidR="00000000" w:rsidRDefault="000A3118">
            <w:pPr>
              <w:rPr>
                <w:rFonts w:eastAsia="Times New Roman"/>
                <w:sz w:val="20"/>
                <w:szCs w:val="20"/>
              </w:rPr>
            </w:pPr>
          </w:p>
        </w:tc>
        <w:tc>
          <w:tcPr>
            <w:tcW w:w="5" w:type="pct"/>
            <w:vAlign w:val="center"/>
            <w:hideMark/>
          </w:tcPr>
          <w:p w14:paraId="4ADCF457" w14:textId="77777777" w:rsidR="00000000" w:rsidRDefault="000A3118">
            <w:pPr>
              <w:rPr>
                <w:rFonts w:eastAsia="Times New Roman"/>
                <w:sz w:val="20"/>
                <w:szCs w:val="20"/>
              </w:rPr>
            </w:pPr>
          </w:p>
        </w:tc>
        <w:tc>
          <w:tcPr>
            <w:tcW w:w="50" w:type="pct"/>
            <w:vAlign w:val="center"/>
            <w:hideMark/>
          </w:tcPr>
          <w:p w14:paraId="19968D84" w14:textId="77777777" w:rsidR="00000000" w:rsidRDefault="000A3118">
            <w:pPr>
              <w:rPr>
                <w:rFonts w:eastAsia="Times New Roman"/>
                <w:sz w:val="20"/>
                <w:szCs w:val="20"/>
              </w:rPr>
            </w:pPr>
          </w:p>
        </w:tc>
        <w:tc>
          <w:tcPr>
            <w:tcW w:w="4813" w:type="pct"/>
            <w:vAlign w:val="center"/>
            <w:hideMark/>
          </w:tcPr>
          <w:p w14:paraId="3FBFC79C" w14:textId="77777777" w:rsidR="00000000" w:rsidRDefault="000A3118">
            <w:pPr>
              <w:rPr>
                <w:rFonts w:eastAsia="Times New Roman"/>
                <w:sz w:val="20"/>
                <w:szCs w:val="20"/>
              </w:rPr>
            </w:pPr>
          </w:p>
        </w:tc>
        <w:tc>
          <w:tcPr>
            <w:tcW w:w="5" w:type="pct"/>
            <w:vAlign w:val="center"/>
            <w:hideMark/>
          </w:tcPr>
          <w:p w14:paraId="3B599087" w14:textId="77777777" w:rsidR="00000000" w:rsidRDefault="000A3118">
            <w:pPr>
              <w:rPr>
                <w:rFonts w:eastAsia="Times New Roman"/>
                <w:sz w:val="20"/>
                <w:szCs w:val="20"/>
              </w:rPr>
            </w:pPr>
          </w:p>
        </w:tc>
      </w:tr>
      <w:tr w:rsidR="00000000" w14:paraId="215DAEE4" w14:textId="77777777">
        <w:trPr>
          <w:divId w:val="230971878"/>
        </w:trPr>
        <w:tc>
          <w:tcPr>
            <w:tcW w:w="0" w:type="auto"/>
            <w:gridSpan w:val="3"/>
            <w:tcMar>
              <w:top w:w="30" w:type="dxa"/>
              <w:left w:w="20" w:type="dxa"/>
              <w:bottom w:w="30" w:type="dxa"/>
              <w:right w:w="20" w:type="dxa"/>
            </w:tcMar>
            <w:vAlign w:val="center"/>
            <w:hideMark/>
          </w:tcPr>
          <w:p w14:paraId="04DBE5A9" w14:textId="77777777" w:rsidR="00000000" w:rsidRDefault="000A3118">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03063CF8" w14:textId="77777777" w:rsidR="00000000" w:rsidRDefault="000A3118">
            <w:pPr>
              <w:rPr>
                <w:rFonts w:eastAsia="Times New Roman"/>
              </w:rPr>
            </w:pPr>
            <w:r>
              <w:rPr>
                <w:rFonts w:eastAsia="Times New Roman"/>
                <w:b/>
                <w:bCs/>
                <w:color w:val="000000"/>
                <w:sz w:val="20"/>
                <w:szCs w:val="20"/>
              </w:rPr>
              <w:t>QUARTERLY REP</w:t>
            </w:r>
            <w:r>
              <w:rPr>
                <w:rFonts w:eastAsia="Times New Roman"/>
                <w:b/>
                <w:bCs/>
                <w:color w:val="000000"/>
                <w:sz w:val="20"/>
                <w:szCs w:val="20"/>
              </w:rPr>
              <w:t>ORT PURSUANT TO SECTION 13 OR 15(d) OF THE SECURITIES EXCHANGE ACT OF 1934</w:t>
            </w:r>
          </w:p>
        </w:tc>
      </w:tr>
    </w:tbl>
    <w:p w14:paraId="220B2E89" w14:textId="77777777" w:rsidR="00000000" w:rsidRDefault="000A3118">
      <w:pPr>
        <w:ind w:firstLine="720"/>
        <w:divId w:val="2144957145"/>
        <w:rPr>
          <w:rFonts w:eastAsia="Times New Roman"/>
        </w:rPr>
      </w:pPr>
      <w:r>
        <w:rPr>
          <w:rFonts w:eastAsia="Times New Roman"/>
          <w:color w:val="000000"/>
          <w:sz w:val="16"/>
          <w:szCs w:val="16"/>
        </w:rPr>
        <w:t> </w:t>
      </w:r>
    </w:p>
    <w:p w14:paraId="2204EFC0" w14:textId="77777777" w:rsidR="00000000" w:rsidRDefault="000A3118">
      <w:pPr>
        <w:jc w:val="center"/>
        <w:rPr>
          <w:rFonts w:eastAsia="Times New Roman"/>
        </w:rPr>
      </w:pPr>
      <w:r>
        <w:rPr>
          <w:rFonts w:eastAsia="Times New Roman"/>
          <w:color w:val="000000"/>
          <w:sz w:val="20"/>
          <w:szCs w:val="20"/>
        </w:rPr>
        <w:t xml:space="preserve">For the quarterly period ended September 30, 2020 </w:t>
      </w:r>
    </w:p>
    <w:p w14:paraId="326E5225" w14:textId="77777777" w:rsidR="00000000" w:rsidRDefault="000A3118">
      <w:pPr>
        <w:ind w:firstLine="720"/>
        <w:jc w:val="center"/>
        <w:rPr>
          <w:rFonts w:eastAsia="Times New Roman"/>
        </w:rPr>
      </w:pPr>
    </w:p>
    <w:p w14:paraId="4D523486" w14:textId="77777777" w:rsidR="00000000" w:rsidRDefault="000A3118">
      <w:pPr>
        <w:ind w:firstLine="720"/>
        <w:jc w:val="center"/>
        <w:rPr>
          <w:rFonts w:eastAsia="Times New Roman"/>
        </w:rPr>
      </w:pPr>
      <w:r>
        <w:rPr>
          <w:rFonts w:eastAsia="Times New Roman"/>
          <w:b/>
          <w:bCs/>
          <w:color w:val="000000"/>
          <w:sz w:val="20"/>
          <w:szCs w:val="20"/>
        </w:rPr>
        <w:t>OR</w:t>
      </w:r>
      <w:r>
        <w:rPr>
          <w:rFonts w:eastAsia="Times New Roman"/>
          <w:b/>
          <w:bCs/>
          <w:color w:val="000000"/>
        </w:rPr>
        <w:t> </w:t>
      </w:r>
    </w:p>
    <w:tbl>
      <w:tblPr>
        <w:tblW w:w="4875" w:type="pct"/>
        <w:tblCellMar>
          <w:top w:w="15" w:type="dxa"/>
          <w:left w:w="15" w:type="dxa"/>
          <w:bottom w:w="15" w:type="dxa"/>
          <w:right w:w="15" w:type="dxa"/>
        </w:tblCellMar>
        <w:tblLook w:val="04A0" w:firstRow="1" w:lastRow="0" w:firstColumn="1" w:lastColumn="0" w:noHBand="0" w:noVBand="1"/>
      </w:tblPr>
      <w:tblGrid>
        <w:gridCol w:w="37"/>
        <w:gridCol w:w="198"/>
        <w:gridCol w:w="36"/>
        <w:gridCol w:w="37"/>
        <w:gridCol w:w="7754"/>
        <w:gridCol w:w="36"/>
      </w:tblGrid>
      <w:tr w:rsidR="00000000" w14:paraId="408E8EEE" w14:textId="77777777">
        <w:trPr>
          <w:divId w:val="595136722"/>
        </w:trPr>
        <w:tc>
          <w:tcPr>
            <w:tcW w:w="5" w:type="pct"/>
            <w:vAlign w:val="center"/>
            <w:hideMark/>
          </w:tcPr>
          <w:p w14:paraId="65B5E5C6" w14:textId="77777777" w:rsidR="00000000" w:rsidRDefault="000A3118">
            <w:pPr>
              <w:ind w:firstLine="720"/>
              <w:jc w:val="center"/>
              <w:rPr>
                <w:rFonts w:eastAsia="Times New Roman"/>
              </w:rPr>
            </w:pPr>
          </w:p>
        </w:tc>
        <w:tc>
          <w:tcPr>
            <w:tcW w:w="125" w:type="pct"/>
            <w:vAlign w:val="center"/>
            <w:hideMark/>
          </w:tcPr>
          <w:p w14:paraId="0E3CC8C1" w14:textId="77777777" w:rsidR="00000000" w:rsidRDefault="000A3118">
            <w:pPr>
              <w:rPr>
                <w:rFonts w:eastAsia="Times New Roman"/>
                <w:sz w:val="20"/>
                <w:szCs w:val="20"/>
              </w:rPr>
            </w:pPr>
          </w:p>
        </w:tc>
        <w:tc>
          <w:tcPr>
            <w:tcW w:w="5" w:type="pct"/>
            <w:vAlign w:val="center"/>
            <w:hideMark/>
          </w:tcPr>
          <w:p w14:paraId="4CEE5633" w14:textId="77777777" w:rsidR="00000000" w:rsidRDefault="000A3118">
            <w:pPr>
              <w:rPr>
                <w:rFonts w:eastAsia="Times New Roman"/>
                <w:sz w:val="20"/>
                <w:szCs w:val="20"/>
              </w:rPr>
            </w:pPr>
          </w:p>
        </w:tc>
        <w:tc>
          <w:tcPr>
            <w:tcW w:w="50" w:type="pct"/>
            <w:vAlign w:val="center"/>
            <w:hideMark/>
          </w:tcPr>
          <w:p w14:paraId="6E6DC44E" w14:textId="77777777" w:rsidR="00000000" w:rsidRDefault="000A3118">
            <w:pPr>
              <w:rPr>
                <w:rFonts w:eastAsia="Times New Roman"/>
                <w:sz w:val="20"/>
                <w:szCs w:val="20"/>
              </w:rPr>
            </w:pPr>
          </w:p>
        </w:tc>
        <w:tc>
          <w:tcPr>
            <w:tcW w:w="4809" w:type="pct"/>
            <w:vAlign w:val="center"/>
            <w:hideMark/>
          </w:tcPr>
          <w:p w14:paraId="0410E61E" w14:textId="77777777" w:rsidR="00000000" w:rsidRDefault="000A3118">
            <w:pPr>
              <w:rPr>
                <w:rFonts w:eastAsia="Times New Roman"/>
                <w:sz w:val="20"/>
                <w:szCs w:val="20"/>
              </w:rPr>
            </w:pPr>
          </w:p>
        </w:tc>
        <w:tc>
          <w:tcPr>
            <w:tcW w:w="5" w:type="pct"/>
            <w:vAlign w:val="center"/>
            <w:hideMark/>
          </w:tcPr>
          <w:p w14:paraId="1758B117" w14:textId="77777777" w:rsidR="00000000" w:rsidRDefault="000A3118">
            <w:pPr>
              <w:rPr>
                <w:rFonts w:eastAsia="Times New Roman"/>
                <w:sz w:val="20"/>
                <w:szCs w:val="20"/>
              </w:rPr>
            </w:pPr>
          </w:p>
        </w:tc>
      </w:tr>
      <w:tr w:rsidR="00000000" w14:paraId="59045DCC" w14:textId="77777777">
        <w:trPr>
          <w:divId w:val="595136722"/>
        </w:trPr>
        <w:tc>
          <w:tcPr>
            <w:tcW w:w="0" w:type="auto"/>
            <w:gridSpan w:val="3"/>
            <w:tcMar>
              <w:top w:w="30" w:type="dxa"/>
              <w:left w:w="20" w:type="dxa"/>
              <w:bottom w:w="30" w:type="dxa"/>
              <w:right w:w="20" w:type="dxa"/>
            </w:tcMar>
            <w:vAlign w:val="bottom"/>
            <w:hideMark/>
          </w:tcPr>
          <w:p w14:paraId="380E168E" w14:textId="77777777" w:rsidR="00000000" w:rsidRDefault="000A3118">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0F84141D" w14:textId="77777777" w:rsidR="00000000" w:rsidRDefault="000A3118">
            <w:pPr>
              <w:rPr>
                <w:rFonts w:eastAsia="Times New Roman"/>
              </w:rPr>
            </w:pPr>
            <w:r>
              <w:rPr>
                <w:rFonts w:eastAsia="Times New Roman"/>
                <w:b/>
                <w:bCs/>
                <w:color w:val="000000"/>
                <w:sz w:val="20"/>
                <w:szCs w:val="20"/>
              </w:rPr>
              <w:t>TRANSITION REPORT PURSUANT TO SECTION 13 OR 15(d) </w:t>
            </w:r>
            <w:r>
              <w:rPr>
                <w:rFonts w:eastAsia="Times New Roman"/>
                <w:b/>
                <w:bCs/>
                <w:color w:val="000000"/>
                <w:sz w:val="20"/>
                <w:szCs w:val="20"/>
              </w:rPr>
              <w:t>OF THE SECURITIES EXCHANGE ACT OF 1934</w:t>
            </w:r>
          </w:p>
        </w:tc>
      </w:tr>
    </w:tbl>
    <w:p w14:paraId="178F3CF8" w14:textId="77777777" w:rsidR="00000000" w:rsidRDefault="000A3118">
      <w:pPr>
        <w:divId w:val="1232080290"/>
        <w:rPr>
          <w:rFonts w:eastAsia="Times New Roman"/>
        </w:rPr>
      </w:pPr>
      <w:r>
        <w:rPr>
          <w:rFonts w:eastAsia="Times New Roman"/>
          <w:color w:val="000000"/>
          <w:sz w:val="16"/>
          <w:szCs w:val="16"/>
        </w:rPr>
        <w:t> </w:t>
      </w:r>
    </w:p>
    <w:p w14:paraId="6D22B21C" w14:textId="77777777" w:rsidR="00000000" w:rsidRDefault="000A3118">
      <w:pPr>
        <w:jc w:val="center"/>
        <w:rPr>
          <w:rFonts w:eastAsia="Times New Roman"/>
        </w:rPr>
      </w:pPr>
      <w:r>
        <w:rPr>
          <w:rFonts w:eastAsia="Times New Roman"/>
          <w:color w:val="000000"/>
          <w:sz w:val="20"/>
          <w:szCs w:val="20"/>
        </w:rPr>
        <w:t>For the transition period from __________ to ___________   </w:t>
      </w:r>
      <w:r>
        <w:rPr>
          <w:rFonts w:eastAsia="Times New Roman"/>
          <w:b/>
          <w:bCs/>
          <w:color w:val="000000"/>
          <w:sz w:val="20"/>
          <w:szCs w:val="20"/>
        </w:rPr>
        <w:t>                  </w:t>
      </w:r>
    </w:p>
    <w:p w14:paraId="6717C8F7" w14:textId="77777777" w:rsidR="00000000" w:rsidRDefault="000A3118">
      <w:pPr>
        <w:jc w:val="center"/>
        <w:rPr>
          <w:rFonts w:eastAsia="Times New Roman"/>
        </w:rPr>
      </w:pPr>
      <w:r>
        <w:rPr>
          <w:rFonts w:eastAsia="Times New Roman"/>
          <w:color w:val="000000"/>
          <w:sz w:val="16"/>
          <w:szCs w:val="16"/>
        </w:rPr>
        <w:t> </w:t>
      </w:r>
    </w:p>
    <w:p w14:paraId="1685A20C" w14:textId="77777777" w:rsidR="00000000" w:rsidRDefault="000A3118">
      <w:pPr>
        <w:jc w:val="center"/>
        <w:divId w:val="2134058013"/>
        <w:rPr>
          <w:rFonts w:eastAsia="Times New Roman"/>
        </w:rPr>
      </w:pPr>
      <w:r>
        <w:rPr>
          <w:rFonts w:eastAsia="Times New Roman"/>
          <w:b/>
          <w:bCs/>
          <w:color w:val="000000"/>
          <w:sz w:val="20"/>
          <w:szCs w:val="20"/>
        </w:rPr>
        <w:t xml:space="preserve">COMMISSION FILE NUMBER 1-9533 </w:t>
      </w:r>
    </w:p>
    <w:p w14:paraId="1FA65292" w14:textId="77777777" w:rsidR="00000000" w:rsidRDefault="000A3118">
      <w:pPr>
        <w:jc w:val="center"/>
        <w:divId w:val="1903517438"/>
        <w:rPr>
          <w:rFonts w:eastAsia="Times New Roman"/>
        </w:rPr>
      </w:pPr>
      <w:r>
        <w:rPr>
          <w:rFonts w:eastAsia="Times New Roman"/>
          <w:noProof/>
        </w:rPr>
        <w:drawing>
          <wp:inline distT="0" distB="0" distL="0" distR="0" wp14:anchorId="5A5741AE" wp14:editId="607F9763">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ABA64F5" w14:textId="77777777" w:rsidR="00000000" w:rsidRDefault="000A3118">
      <w:pPr>
        <w:jc w:val="center"/>
        <w:rPr>
          <w:rFonts w:eastAsia="Times New Roman"/>
        </w:rPr>
      </w:pPr>
      <w:r>
        <w:rPr>
          <w:rFonts w:eastAsia="Times New Roman"/>
          <w:b/>
          <w:bCs/>
          <w:color w:val="000000"/>
          <w:sz w:val="36"/>
          <w:szCs w:val="36"/>
        </w:rPr>
        <w:t>WORLD FUEL SERVICES CORPORATION</w:t>
      </w:r>
    </w:p>
    <w:p w14:paraId="6BBFF480" w14:textId="77777777" w:rsidR="00000000" w:rsidRDefault="000A3118">
      <w:pPr>
        <w:jc w:val="center"/>
        <w:rPr>
          <w:rFonts w:eastAsia="Times New Roman"/>
        </w:rPr>
      </w:pPr>
      <w:r>
        <w:rPr>
          <w:rFonts w:eastAsia="Times New Roman"/>
          <w:color w:val="000000"/>
          <w:sz w:val="20"/>
          <w:szCs w:val="20"/>
        </w:rPr>
        <w:t>(Exact name of registrant as specified in its charter)</w:t>
      </w:r>
    </w:p>
    <w:tbl>
      <w:tblPr>
        <w:tblW w:w="4777" w:type="pct"/>
        <w:jc w:val="center"/>
        <w:tblCellMar>
          <w:top w:w="15" w:type="dxa"/>
          <w:left w:w="15" w:type="dxa"/>
          <w:bottom w:w="15" w:type="dxa"/>
          <w:right w:w="15" w:type="dxa"/>
        </w:tblCellMar>
        <w:tblLook w:val="04A0" w:firstRow="1" w:lastRow="0" w:firstColumn="1" w:lastColumn="0" w:noHBand="0" w:noVBand="1"/>
      </w:tblPr>
      <w:tblGrid>
        <w:gridCol w:w="40"/>
        <w:gridCol w:w="2035"/>
        <w:gridCol w:w="36"/>
        <w:gridCol w:w="37"/>
        <w:gridCol w:w="1117"/>
        <w:gridCol w:w="37"/>
        <w:gridCol w:w="37"/>
        <w:gridCol w:w="51"/>
        <w:gridCol w:w="37"/>
        <w:gridCol w:w="84"/>
        <w:gridCol w:w="247"/>
        <w:gridCol w:w="37"/>
        <w:gridCol w:w="36"/>
        <w:gridCol w:w="62"/>
        <w:gridCol w:w="36"/>
        <w:gridCol w:w="93"/>
        <w:gridCol w:w="555"/>
        <w:gridCol w:w="36"/>
        <w:gridCol w:w="92"/>
        <w:gridCol w:w="573"/>
        <w:gridCol w:w="36"/>
        <w:gridCol w:w="91"/>
        <w:gridCol w:w="440"/>
        <w:gridCol w:w="36"/>
        <w:gridCol w:w="41"/>
        <w:gridCol w:w="1978"/>
        <w:gridCol w:w="36"/>
      </w:tblGrid>
      <w:tr w:rsidR="00000000" w14:paraId="6E61C7B4" w14:textId="77777777">
        <w:trPr>
          <w:divId w:val="1779517977"/>
          <w:jc w:val="center"/>
        </w:trPr>
        <w:tc>
          <w:tcPr>
            <w:tcW w:w="50" w:type="pct"/>
            <w:vAlign w:val="center"/>
            <w:hideMark/>
          </w:tcPr>
          <w:p w14:paraId="3E13C91D" w14:textId="77777777" w:rsidR="00000000" w:rsidRDefault="000A3118">
            <w:pPr>
              <w:jc w:val="center"/>
              <w:rPr>
                <w:rFonts w:eastAsia="Times New Roman"/>
              </w:rPr>
            </w:pPr>
          </w:p>
        </w:tc>
        <w:tc>
          <w:tcPr>
            <w:tcW w:w="1347" w:type="pct"/>
            <w:vAlign w:val="center"/>
            <w:hideMark/>
          </w:tcPr>
          <w:p w14:paraId="181725B2" w14:textId="77777777" w:rsidR="00000000" w:rsidRDefault="000A3118">
            <w:pPr>
              <w:rPr>
                <w:rFonts w:eastAsia="Times New Roman"/>
                <w:sz w:val="20"/>
                <w:szCs w:val="20"/>
              </w:rPr>
            </w:pPr>
          </w:p>
        </w:tc>
        <w:tc>
          <w:tcPr>
            <w:tcW w:w="5" w:type="pct"/>
            <w:vAlign w:val="center"/>
            <w:hideMark/>
          </w:tcPr>
          <w:p w14:paraId="4B0DCE11" w14:textId="77777777" w:rsidR="00000000" w:rsidRDefault="000A3118">
            <w:pPr>
              <w:rPr>
                <w:rFonts w:eastAsia="Times New Roman"/>
                <w:sz w:val="20"/>
                <w:szCs w:val="20"/>
              </w:rPr>
            </w:pPr>
          </w:p>
        </w:tc>
        <w:tc>
          <w:tcPr>
            <w:tcW w:w="50" w:type="pct"/>
            <w:vAlign w:val="center"/>
            <w:hideMark/>
          </w:tcPr>
          <w:p w14:paraId="6BA7490D" w14:textId="77777777" w:rsidR="00000000" w:rsidRDefault="000A3118">
            <w:pPr>
              <w:rPr>
                <w:rFonts w:eastAsia="Times New Roman"/>
                <w:sz w:val="20"/>
                <w:szCs w:val="20"/>
              </w:rPr>
            </w:pPr>
          </w:p>
        </w:tc>
        <w:tc>
          <w:tcPr>
            <w:tcW w:w="766" w:type="pct"/>
            <w:vAlign w:val="center"/>
            <w:hideMark/>
          </w:tcPr>
          <w:p w14:paraId="0BAA60A0" w14:textId="77777777" w:rsidR="00000000" w:rsidRDefault="000A3118">
            <w:pPr>
              <w:rPr>
                <w:rFonts w:eastAsia="Times New Roman"/>
                <w:sz w:val="20"/>
                <w:szCs w:val="20"/>
              </w:rPr>
            </w:pPr>
          </w:p>
        </w:tc>
        <w:tc>
          <w:tcPr>
            <w:tcW w:w="5" w:type="pct"/>
            <w:vAlign w:val="center"/>
            <w:hideMark/>
          </w:tcPr>
          <w:p w14:paraId="224998FE" w14:textId="77777777" w:rsidR="00000000" w:rsidRDefault="000A3118">
            <w:pPr>
              <w:rPr>
                <w:rFonts w:eastAsia="Times New Roman"/>
                <w:sz w:val="20"/>
                <w:szCs w:val="20"/>
              </w:rPr>
            </w:pPr>
          </w:p>
        </w:tc>
        <w:tc>
          <w:tcPr>
            <w:tcW w:w="5" w:type="pct"/>
            <w:vAlign w:val="center"/>
            <w:hideMark/>
          </w:tcPr>
          <w:p w14:paraId="7C7F0AF5" w14:textId="77777777" w:rsidR="00000000" w:rsidRDefault="000A3118">
            <w:pPr>
              <w:rPr>
                <w:rFonts w:eastAsia="Times New Roman"/>
                <w:sz w:val="20"/>
                <w:szCs w:val="20"/>
              </w:rPr>
            </w:pPr>
          </w:p>
        </w:tc>
        <w:tc>
          <w:tcPr>
            <w:tcW w:w="77" w:type="pct"/>
            <w:vAlign w:val="center"/>
            <w:hideMark/>
          </w:tcPr>
          <w:p w14:paraId="30D44C2C" w14:textId="77777777" w:rsidR="00000000" w:rsidRDefault="000A3118">
            <w:pPr>
              <w:rPr>
                <w:rFonts w:eastAsia="Times New Roman"/>
                <w:sz w:val="20"/>
                <w:szCs w:val="20"/>
              </w:rPr>
            </w:pPr>
          </w:p>
        </w:tc>
        <w:tc>
          <w:tcPr>
            <w:tcW w:w="5" w:type="pct"/>
            <w:vAlign w:val="center"/>
            <w:hideMark/>
          </w:tcPr>
          <w:p w14:paraId="5B7AEE81" w14:textId="77777777" w:rsidR="00000000" w:rsidRDefault="000A3118">
            <w:pPr>
              <w:rPr>
                <w:rFonts w:eastAsia="Times New Roman"/>
                <w:sz w:val="20"/>
                <w:szCs w:val="20"/>
              </w:rPr>
            </w:pPr>
          </w:p>
        </w:tc>
        <w:tc>
          <w:tcPr>
            <w:tcW w:w="50" w:type="pct"/>
            <w:vAlign w:val="center"/>
            <w:hideMark/>
          </w:tcPr>
          <w:p w14:paraId="161C9F63" w14:textId="77777777" w:rsidR="00000000" w:rsidRDefault="000A3118">
            <w:pPr>
              <w:rPr>
                <w:rFonts w:eastAsia="Times New Roman"/>
                <w:sz w:val="20"/>
                <w:szCs w:val="20"/>
              </w:rPr>
            </w:pPr>
          </w:p>
        </w:tc>
        <w:tc>
          <w:tcPr>
            <w:tcW w:w="148" w:type="pct"/>
            <w:vAlign w:val="center"/>
            <w:hideMark/>
          </w:tcPr>
          <w:p w14:paraId="631B483E" w14:textId="77777777" w:rsidR="00000000" w:rsidRDefault="000A3118">
            <w:pPr>
              <w:rPr>
                <w:rFonts w:eastAsia="Times New Roman"/>
                <w:sz w:val="20"/>
                <w:szCs w:val="20"/>
              </w:rPr>
            </w:pPr>
          </w:p>
        </w:tc>
        <w:tc>
          <w:tcPr>
            <w:tcW w:w="5" w:type="pct"/>
            <w:vAlign w:val="center"/>
            <w:hideMark/>
          </w:tcPr>
          <w:p w14:paraId="28AF63F7" w14:textId="77777777" w:rsidR="00000000" w:rsidRDefault="000A3118">
            <w:pPr>
              <w:rPr>
                <w:rFonts w:eastAsia="Times New Roman"/>
                <w:sz w:val="20"/>
                <w:szCs w:val="20"/>
              </w:rPr>
            </w:pPr>
          </w:p>
        </w:tc>
        <w:tc>
          <w:tcPr>
            <w:tcW w:w="5" w:type="pct"/>
            <w:vAlign w:val="center"/>
            <w:hideMark/>
          </w:tcPr>
          <w:p w14:paraId="6B9AD4B8" w14:textId="77777777" w:rsidR="00000000" w:rsidRDefault="000A3118">
            <w:pPr>
              <w:rPr>
                <w:rFonts w:eastAsia="Times New Roman"/>
                <w:sz w:val="20"/>
                <w:szCs w:val="20"/>
              </w:rPr>
            </w:pPr>
          </w:p>
        </w:tc>
        <w:tc>
          <w:tcPr>
            <w:tcW w:w="84" w:type="pct"/>
            <w:vAlign w:val="center"/>
            <w:hideMark/>
          </w:tcPr>
          <w:p w14:paraId="2DDF7674" w14:textId="77777777" w:rsidR="00000000" w:rsidRDefault="000A3118">
            <w:pPr>
              <w:rPr>
                <w:rFonts w:eastAsia="Times New Roman"/>
                <w:sz w:val="20"/>
                <w:szCs w:val="20"/>
              </w:rPr>
            </w:pPr>
          </w:p>
        </w:tc>
        <w:tc>
          <w:tcPr>
            <w:tcW w:w="5" w:type="pct"/>
            <w:vAlign w:val="center"/>
            <w:hideMark/>
          </w:tcPr>
          <w:p w14:paraId="70D01149" w14:textId="77777777" w:rsidR="00000000" w:rsidRDefault="000A3118">
            <w:pPr>
              <w:rPr>
                <w:rFonts w:eastAsia="Times New Roman"/>
                <w:sz w:val="20"/>
                <w:szCs w:val="20"/>
              </w:rPr>
            </w:pPr>
          </w:p>
        </w:tc>
        <w:tc>
          <w:tcPr>
            <w:tcW w:w="50" w:type="pct"/>
            <w:vAlign w:val="center"/>
            <w:hideMark/>
          </w:tcPr>
          <w:p w14:paraId="793412DB" w14:textId="77777777" w:rsidR="00000000" w:rsidRDefault="000A3118">
            <w:pPr>
              <w:rPr>
                <w:rFonts w:eastAsia="Times New Roman"/>
                <w:sz w:val="20"/>
                <w:szCs w:val="20"/>
              </w:rPr>
            </w:pPr>
          </w:p>
        </w:tc>
        <w:tc>
          <w:tcPr>
            <w:tcW w:w="301" w:type="pct"/>
            <w:vAlign w:val="center"/>
            <w:hideMark/>
          </w:tcPr>
          <w:p w14:paraId="5DC446C8" w14:textId="77777777" w:rsidR="00000000" w:rsidRDefault="000A3118">
            <w:pPr>
              <w:rPr>
                <w:rFonts w:eastAsia="Times New Roman"/>
                <w:sz w:val="20"/>
                <w:szCs w:val="20"/>
              </w:rPr>
            </w:pPr>
          </w:p>
        </w:tc>
        <w:tc>
          <w:tcPr>
            <w:tcW w:w="5" w:type="pct"/>
            <w:vAlign w:val="center"/>
            <w:hideMark/>
          </w:tcPr>
          <w:p w14:paraId="4DDC3DCC" w14:textId="77777777" w:rsidR="00000000" w:rsidRDefault="000A3118">
            <w:pPr>
              <w:rPr>
                <w:rFonts w:eastAsia="Times New Roman"/>
                <w:sz w:val="20"/>
                <w:szCs w:val="20"/>
              </w:rPr>
            </w:pPr>
          </w:p>
        </w:tc>
        <w:tc>
          <w:tcPr>
            <w:tcW w:w="50" w:type="pct"/>
            <w:vAlign w:val="center"/>
            <w:hideMark/>
          </w:tcPr>
          <w:p w14:paraId="153B9E78" w14:textId="77777777" w:rsidR="00000000" w:rsidRDefault="000A3118">
            <w:pPr>
              <w:rPr>
                <w:rFonts w:eastAsia="Times New Roman"/>
                <w:sz w:val="20"/>
                <w:szCs w:val="20"/>
              </w:rPr>
            </w:pPr>
          </w:p>
        </w:tc>
        <w:tc>
          <w:tcPr>
            <w:tcW w:w="315" w:type="pct"/>
            <w:vAlign w:val="center"/>
            <w:hideMark/>
          </w:tcPr>
          <w:p w14:paraId="2B3B0F87" w14:textId="77777777" w:rsidR="00000000" w:rsidRDefault="000A3118">
            <w:pPr>
              <w:rPr>
                <w:rFonts w:eastAsia="Times New Roman"/>
                <w:sz w:val="20"/>
                <w:szCs w:val="20"/>
              </w:rPr>
            </w:pPr>
          </w:p>
        </w:tc>
        <w:tc>
          <w:tcPr>
            <w:tcW w:w="5" w:type="pct"/>
            <w:vAlign w:val="center"/>
            <w:hideMark/>
          </w:tcPr>
          <w:p w14:paraId="13CF6EC9" w14:textId="77777777" w:rsidR="00000000" w:rsidRDefault="000A3118">
            <w:pPr>
              <w:rPr>
                <w:rFonts w:eastAsia="Times New Roman"/>
                <w:sz w:val="20"/>
                <w:szCs w:val="20"/>
              </w:rPr>
            </w:pPr>
          </w:p>
        </w:tc>
        <w:tc>
          <w:tcPr>
            <w:tcW w:w="50" w:type="pct"/>
            <w:vAlign w:val="center"/>
            <w:hideMark/>
          </w:tcPr>
          <w:p w14:paraId="17D9C61A" w14:textId="77777777" w:rsidR="00000000" w:rsidRDefault="000A3118">
            <w:pPr>
              <w:rPr>
                <w:rFonts w:eastAsia="Times New Roman"/>
                <w:sz w:val="20"/>
                <w:szCs w:val="20"/>
              </w:rPr>
            </w:pPr>
          </w:p>
        </w:tc>
        <w:tc>
          <w:tcPr>
            <w:tcW w:w="242" w:type="pct"/>
            <w:vAlign w:val="center"/>
            <w:hideMark/>
          </w:tcPr>
          <w:p w14:paraId="189185F3" w14:textId="77777777" w:rsidR="00000000" w:rsidRDefault="000A3118">
            <w:pPr>
              <w:rPr>
                <w:rFonts w:eastAsia="Times New Roman"/>
                <w:sz w:val="20"/>
                <w:szCs w:val="20"/>
              </w:rPr>
            </w:pPr>
          </w:p>
        </w:tc>
        <w:tc>
          <w:tcPr>
            <w:tcW w:w="5" w:type="pct"/>
            <w:vAlign w:val="center"/>
            <w:hideMark/>
          </w:tcPr>
          <w:p w14:paraId="21CC7F17" w14:textId="77777777" w:rsidR="00000000" w:rsidRDefault="000A3118">
            <w:pPr>
              <w:rPr>
                <w:rFonts w:eastAsia="Times New Roman"/>
                <w:sz w:val="20"/>
                <w:szCs w:val="20"/>
              </w:rPr>
            </w:pPr>
          </w:p>
        </w:tc>
        <w:tc>
          <w:tcPr>
            <w:tcW w:w="50" w:type="pct"/>
            <w:vAlign w:val="center"/>
            <w:hideMark/>
          </w:tcPr>
          <w:p w14:paraId="3D345798" w14:textId="77777777" w:rsidR="00000000" w:rsidRDefault="000A3118">
            <w:pPr>
              <w:rPr>
                <w:rFonts w:eastAsia="Times New Roman"/>
                <w:sz w:val="20"/>
                <w:szCs w:val="20"/>
              </w:rPr>
            </w:pPr>
          </w:p>
        </w:tc>
        <w:tc>
          <w:tcPr>
            <w:tcW w:w="1311" w:type="pct"/>
            <w:vAlign w:val="center"/>
            <w:hideMark/>
          </w:tcPr>
          <w:p w14:paraId="1C112B93" w14:textId="77777777" w:rsidR="00000000" w:rsidRDefault="000A3118">
            <w:pPr>
              <w:rPr>
                <w:rFonts w:eastAsia="Times New Roman"/>
                <w:sz w:val="20"/>
                <w:szCs w:val="20"/>
              </w:rPr>
            </w:pPr>
          </w:p>
        </w:tc>
        <w:tc>
          <w:tcPr>
            <w:tcW w:w="5" w:type="pct"/>
            <w:vAlign w:val="center"/>
            <w:hideMark/>
          </w:tcPr>
          <w:p w14:paraId="59C17992" w14:textId="77777777" w:rsidR="00000000" w:rsidRDefault="000A3118">
            <w:pPr>
              <w:rPr>
                <w:rFonts w:eastAsia="Times New Roman"/>
                <w:sz w:val="20"/>
                <w:szCs w:val="20"/>
              </w:rPr>
            </w:pPr>
          </w:p>
        </w:tc>
      </w:tr>
      <w:tr w:rsidR="00000000" w14:paraId="4432D769" w14:textId="77777777">
        <w:trPr>
          <w:divId w:val="1779517977"/>
          <w:jc w:val="center"/>
        </w:trPr>
        <w:tc>
          <w:tcPr>
            <w:tcW w:w="0" w:type="auto"/>
            <w:gridSpan w:val="3"/>
            <w:tcMar>
              <w:top w:w="30" w:type="dxa"/>
              <w:left w:w="20" w:type="dxa"/>
              <w:bottom w:w="30" w:type="dxa"/>
              <w:right w:w="20" w:type="dxa"/>
            </w:tcMar>
            <w:vAlign w:val="center"/>
            <w:hideMark/>
          </w:tcPr>
          <w:p w14:paraId="38373349" w14:textId="77777777" w:rsidR="00000000" w:rsidRDefault="000A3118">
            <w:pPr>
              <w:jc w:val="center"/>
              <w:rPr>
                <w:rFonts w:eastAsia="Times New Roman"/>
              </w:rPr>
            </w:pPr>
            <w:r>
              <w:rPr>
                <w:rFonts w:eastAsia="Times New Roman"/>
                <w:b/>
                <w:bCs/>
                <w:color w:val="000000"/>
                <w:sz w:val="20"/>
                <w:szCs w:val="20"/>
              </w:rPr>
              <w:t>Florida</w:t>
            </w:r>
          </w:p>
        </w:tc>
        <w:tc>
          <w:tcPr>
            <w:tcW w:w="0" w:type="auto"/>
            <w:gridSpan w:val="12"/>
            <w:tcMar>
              <w:top w:w="30" w:type="dxa"/>
              <w:left w:w="20" w:type="dxa"/>
              <w:bottom w:w="30" w:type="dxa"/>
              <w:right w:w="20" w:type="dxa"/>
            </w:tcMar>
            <w:vAlign w:val="center"/>
            <w:hideMark/>
          </w:tcPr>
          <w:p w14:paraId="38B74AC4" w14:textId="77777777" w:rsidR="00000000" w:rsidRDefault="000A3118">
            <w:pPr>
              <w:jc w:val="right"/>
              <w:rPr>
                <w:rFonts w:eastAsia="Times New Roman"/>
              </w:rPr>
            </w:pPr>
            <w:r>
              <w:rPr>
                <w:rFonts w:eastAsia="Times New Roman"/>
                <w:b/>
                <w:bCs/>
                <w:color w:val="000000"/>
                <w:sz w:val="20"/>
                <w:szCs w:val="20"/>
              </w:rPr>
              <w:t>9800 N.W. 41st Street,</w:t>
            </w:r>
          </w:p>
        </w:tc>
        <w:tc>
          <w:tcPr>
            <w:tcW w:w="0" w:type="auto"/>
            <w:gridSpan w:val="3"/>
            <w:tcMar>
              <w:top w:w="30" w:type="dxa"/>
              <w:left w:w="20" w:type="dxa"/>
              <w:bottom w:w="30" w:type="dxa"/>
              <w:right w:w="20" w:type="dxa"/>
            </w:tcMar>
            <w:vAlign w:val="center"/>
            <w:hideMark/>
          </w:tcPr>
          <w:p w14:paraId="6ABC1379" w14:textId="77777777" w:rsidR="00000000" w:rsidRDefault="000A3118">
            <w:pPr>
              <w:jc w:val="center"/>
              <w:rPr>
                <w:rFonts w:eastAsia="Times New Roman"/>
              </w:rPr>
            </w:pPr>
            <w:r>
              <w:rPr>
                <w:rFonts w:eastAsia="Times New Roman"/>
                <w:b/>
                <w:bCs/>
                <w:color w:val="000000"/>
                <w:sz w:val="20"/>
                <w:szCs w:val="20"/>
              </w:rPr>
              <w:t>Miami,</w:t>
            </w:r>
          </w:p>
        </w:tc>
        <w:tc>
          <w:tcPr>
            <w:tcW w:w="0" w:type="auto"/>
            <w:gridSpan w:val="3"/>
            <w:tcMar>
              <w:top w:w="30" w:type="dxa"/>
              <w:left w:w="20" w:type="dxa"/>
              <w:bottom w:w="30" w:type="dxa"/>
              <w:right w:w="20" w:type="dxa"/>
            </w:tcMar>
            <w:vAlign w:val="center"/>
            <w:hideMark/>
          </w:tcPr>
          <w:p w14:paraId="4C43F3BB" w14:textId="77777777" w:rsidR="00000000" w:rsidRDefault="000A3118">
            <w:pPr>
              <w:rPr>
                <w:rFonts w:eastAsia="Times New Roman"/>
              </w:rPr>
            </w:pPr>
            <w:r>
              <w:rPr>
                <w:rFonts w:eastAsia="Times New Roman"/>
                <w:b/>
                <w:bCs/>
                <w:color w:val="000000"/>
                <w:sz w:val="20"/>
                <w:szCs w:val="20"/>
              </w:rPr>
              <w:t>Florida</w:t>
            </w:r>
          </w:p>
        </w:tc>
        <w:tc>
          <w:tcPr>
            <w:tcW w:w="0" w:type="auto"/>
            <w:gridSpan w:val="3"/>
            <w:tcMar>
              <w:top w:w="30" w:type="dxa"/>
              <w:left w:w="20" w:type="dxa"/>
              <w:bottom w:w="30" w:type="dxa"/>
              <w:right w:w="20" w:type="dxa"/>
            </w:tcMar>
            <w:vAlign w:val="center"/>
            <w:hideMark/>
          </w:tcPr>
          <w:p w14:paraId="65EA208D" w14:textId="77777777" w:rsidR="00000000" w:rsidRDefault="000A3118">
            <w:pPr>
              <w:rPr>
                <w:rFonts w:eastAsia="Times New Roman"/>
              </w:rPr>
            </w:pPr>
            <w:r>
              <w:rPr>
                <w:rFonts w:eastAsia="Times New Roman"/>
                <w:b/>
                <w:bCs/>
                <w:color w:val="000000"/>
                <w:sz w:val="20"/>
                <w:szCs w:val="20"/>
              </w:rPr>
              <w:t>33178</w:t>
            </w:r>
          </w:p>
        </w:tc>
        <w:tc>
          <w:tcPr>
            <w:tcW w:w="0" w:type="auto"/>
            <w:gridSpan w:val="3"/>
            <w:tcMar>
              <w:top w:w="30" w:type="dxa"/>
              <w:left w:w="20" w:type="dxa"/>
              <w:bottom w:w="30" w:type="dxa"/>
              <w:right w:w="20" w:type="dxa"/>
            </w:tcMar>
            <w:vAlign w:val="center"/>
            <w:hideMark/>
          </w:tcPr>
          <w:p w14:paraId="61EFB655" w14:textId="77777777" w:rsidR="00000000" w:rsidRDefault="000A3118">
            <w:pPr>
              <w:jc w:val="center"/>
              <w:rPr>
                <w:rFonts w:eastAsia="Times New Roman"/>
              </w:rPr>
            </w:pPr>
            <w:r>
              <w:rPr>
                <w:rFonts w:eastAsia="Times New Roman"/>
                <w:b/>
                <w:bCs/>
                <w:color w:val="000000"/>
                <w:sz w:val="20"/>
                <w:szCs w:val="20"/>
              </w:rPr>
              <w:t>59-2459427</w:t>
            </w:r>
          </w:p>
        </w:tc>
      </w:tr>
      <w:tr w:rsidR="00000000" w14:paraId="645564C2" w14:textId="77777777">
        <w:trPr>
          <w:divId w:val="1779517977"/>
          <w:jc w:val="center"/>
        </w:trPr>
        <w:tc>
          <w:tcPr>
            <w:tcW w:w="0" w:type="auto"/>
            <w:gridSpan w:val="3"/>
            <w:tcMar>
              <w:top w:w="30" w:type="dxa"/>
              <w:left w:w="20" w:type="dxa"/>
              <w:bottom w:w="30" w:type="dxa"/>
              <w:right w:w="20" w:type="dxa"/>
            </w:tcMar>
            <w:vAlign w:val="center"/>
            <w:hideMark/>
          </w:tcPr>
          <w:p w14:paraId="6D7EACA3" w14:textId="77777777" w:rsidR="00000000" w:rsidRDefault="000A3118">
            <w:pPr>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r>
            <w:r>
              <w:rPr>
                <w:rFonts w:eastAsia="Times New Roman"/>
                <w:color w:val="000000"/>
                <w:sz w:val="20"/>
                <w:szCs w:val="20"/>
              </w:rPr>
              <w:t>incorporation or organization)</w:t>
            </w:r>
          </w:p>
        </w:tc>
        <w:tc>
          <w:tcPr>
            <w:tcW w:w="0" w:type="auto"/>
            <w:gridSpan w:val="21"/>
            <w:tcMar>
              <w:top w:w="30" w:type="dxa"/>
              <w:left w:w="20" w:type="dxa"/>
              <w:bottom w:w="30" w:type="dxa"/>
              <w:right w:w="20" w:type="dxa"/>
            </w:tcMar>
            <w:vAlign w:val="center"/>
            <w:hideMark/>
          </w:tcPr>
          <w:p w14:paraId="2FB1CCB9" w14:textId="77777777" w:rsidR="00000000" w:rsidRDefault="000A3118">
            <w:pPr>
              <w:jc w:val="center"/>
              <w:rPr>
                <w:rFonts w:eastAsia="Times New Roman"/>
              </w:rPr>
            </w:pPr>
            <w:r>
              <w:rPr>
                <w:rFonts w:eastAsia="Times New Roman"/>
                <w:color w:val="000000"/>
                <w:sz w:val="20"/>
                <w:szCs w:val="20"/>
              </w:rPr>
              <w:t>(Address of Principal Executive Offices) (Zip Code)</w:t>
            </w:r>
          </w:p>
        </w:tc>
        <w:tc>
          <w:tcPr>
            <w:tcW w:w="0" w:type="auto"/>
            <w:gridSpan w:val="3"/>
            <w:tcMar>
              <w:top w:w="30" w:type="dxa"/>
              <w:left w:w="20" w:type="dxa"/>
              <w:bottom w:w="30" w:type="dxa"/>
              <w:right w:w="20" w:type="dxa"/>
            </w:tcMar>
            <w:vAlign w:val="center"/>
            <w:hideMark/>
          </w:tcPr>
          <w:p w14:paraId="53079113" w14:textId="77777777" w:rsidR="00000000" w:rsidRDefault="000A3118">
            <w:pPr>
              <w:jc w:val="center"/>
              <w:rPr>
                <w:rFonts w:eastAsia="Times New Roman"/>
              </w:rPr>
            </w:pPr>
            <w:r>
              <w:rPr>
                <w:rFonts w:eastAsia="Times New Roman"/>
                <w:color w:val="000000"/>
                <w:sz w:val="20"/>
                <w:szCs w:val="20"/>
              </w:rPr>
              <w:t>(I.R.S. Employer</w:t>
            </w:r>
            <w:r>
              <w:rPr>
                <w:rFonts w:eastAsia="Times New Roman"/>
                <w:color w:val="000000"/>
                <w:sz w:val="20"/>
                <w:szCs w:val="20"/>
              </w:rPr>
              <w:br/>
              <w:t>Identification No.)</w:t>
            </w:r>
          </w:p>
        </w:tc>
      </w:tr>
      <w:tr w:rsidR="00000000" w14:paraId="4665488A" w14:textId="77777777">
        <w:trPr>
          <w:divId w:val="1779517977"/>
          <w:jc w:val="center"/>
        </w:trPr>
        <w:tc>
          <w:tcPr>
            <w:tcW w:w="0" w:type="auto"/>
            <w:gridSpan w:val="3"/>
            <w:tcMar>
              <w:top w:w="30" w:type="dxa"/>
              <w:left w:w="20" w:type="dxa"/>
              <w:bottom w:w="30" w:type="dxa"/>
              <w:right w:w="20" w:type="dxa"/>
            </w:tcMar>
            <w:vAlign w:val="center"/>
            <w:hideMark/>
          </w:tcPr>
          <w:p w14:paraId="3B076508" w14:textId="77777777" w:rsidR="00000000" w:rsidRDefault="000A3118">
            <w:pPr>
              <w:jc w:val="cente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center"/>
            <w:hideMark/>
          </w:tcPr>
          <w:p w14:paraId="25BBB5BB" w14:textId="77777777" w:rsidR="00000000" w:rsidRDefault="000A3118">
            <w:pPr>
              <w:jc w:val="center"/>
              <w:rPr>
                <w:rFonts w:eastAsia="Times New Roman"/>
              </w:rPr>
            </w:pPr>
            <w:r>
              <w:rPr>
                <w:rFonts w:eastAsia="Times New Roman"/>
                <w:color w:val="000000"/>
                <w:sz w:val="20"/>
                <w:szCs w:val="20"/>
              </w:rPr>
              <w:t>Registrant’s telephone number, including area code:</w:t>
            </w:r>
          </w:p>
        </w:tc>
        <w:tc>
          <w:tcPr>
            <w:tcW w:w="0" w:type="auto"/>
            <w:gridSpan w:val="3"/>
            <w:tcMar>
              <w:top w:w="30" w:type="dxa"/>
              <w:left w:w="20" w:type="dxa"/>
              <w:bottom w:w="30" w:type="dxa"/>
              <w:right w:w="20" w:type="dxa"/>
            </w:tcMar>
            <w:vAlign w:val="center"/>
            <w:hideMark/>
          </w:tcPr>
          <w:p w14:paraId="2D3787E6" w14:textId="77777777" w:rsidR="00000000" w:rsidRDefault="000A3118">
            <w:pPr>
              <w:jc w:val="center"/>
              <w:rPr>
                <w:rFonts w:eastAsia="Times New Roman"/>
              </w:rPr>
            </w:pPr>
            <w:r>
              <w:rPr>
                <w:rFonts w:eastAsia="Times New Roman"/>
                <w:color w:val="000000"/>
                <w:sz w:val="20"/>
                <w:szCs w:val="20"/>
              </w:rPr>
              <w:t> </w:t>
            </w:r>
          </w:p>
        </w:tc>
      </w:tr>
      <w:tr w:rsidR="00000000" w14:paraId="5BB23798" w14:textId="77777777">
        <w:trPr>
          <w:divId w:val="1779517977"/>
          <w:jc w:val="center"/>
        </w:trPr>
        <w:tc>
          <w:tcPr>
            <w:tcW w:w="0" w:type="auto"/>
            <w:gridSpan w:val="3"/>
            <w:tcMar>
              <w:top w:w="0" w:type="dxa"/>
              <w:left w:w="20" w:type="dxa"/>
              <w:bottom w:w="0" w:type="dxa"/>
              <w:right w:w="20" w:type="dxa"/>
            </w:tcMar>
            <w:vAlign w:val="center"/>
            <w:hideMark/>
          </w:tcPr>
          <w:p w14:paraId="369CA2A3"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32180C26"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center"/>
            <w:hideMark/>
          </w:tcPr>
          <w:p w14:paraId="5F96EBD7" w14:textId="77777777" w:rsidR="00000000" w:rsidRDefault="000A3118">
            <w:pPr>
              <w:jc w:val="right"/>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vAlign w:val="center"/>
            <w:hideMark/>
          </w:tcPr>
          <w:p w14:paraId="3BE26F5F" w14:textId="77777777" w:rsidR="00000000" w:rsidRDefault="000A3118">
            <w:pPr>
              <w:jc w:val="center"/>
              <w:rPr>
                <w:rFonts w:eastAsia="Times New Roman"/>
              </w:rPr>
            </w:pPr>
            <w:r>
              <w:rPr>
                <w:rFonts w:eastAsia="Times New Roman"/>
                <w:b/>
                <w:bCs/>
                <w:color w:val="000000"/>
                <w:sz w:val="20"/>
                <w:szCs w:val="20"/>
              </w:rPr>
              <w:t>305</w:t>
            </w:r>
          </w:p>
        </w:tc>
        <w:tc>
          <w:tcPr>
            <w:tcW w:w="0" w:type="auto"/>
            <w:gridSpan w:val="3"/>
            <w:tcMar>
              <w:top w:w="30" w:type="dxa"/>
              <w:left w:w="20" w:type="dxa"/>
              <w:bottom w:w="30" w:type="dxa"/>
              <w:right w:w="20" w:type="dxa"/>
            </w:tcMar>
            <w:vAlign w:val="center"/>
            <w:hideMark/>
          </w:tcPr>
          <w:p w14:paraId="78D7684C" w14:textId="77777777" w:rsidR="00000000" w:rsidRDefault="000A3118">
            <w:pPr>
              <w:rPr>
                <w:rFonts w:eastAsia="Times New Roman"/>
              </w:rPr>
            </w:pPr>
            <w:r>
              <w:rPr>
                <w:rFonts w:eastAsia="Times New Roman"/>
                <w:b/>
                <w:bCs/>
                <w:color w:val="000000"/>
                <w:sz w:val="20"/>
                <w:szCs w:val="20"/>
              </w:rPr>
              <w:t>)</w:t>
            </w:r>
          </w:p>
        </w:tc>
        <w:tc>
          <w:tcPr>
            <w:tcW w:w="0" w:type="auto"/>
            <w:gridSpan w:val="9"/>
            <w:tcMar>
              <w:top w:w="30" w:type="dxa"/>
              <w:left w:w="20" w:type="dxa"/>
              <w:bottom w:w="30" w:type="dxa"/>
              <w:right w:w="20" w:type="dxa"/>
            </w:tcMar>
            <w:vAlign w:val="center"/>
            <w:hideMark/>
          </w:tcPr>
          <w:p w14:paraId="7AC9352D" w14:textId="77777777" w:rsidR="00000000" w:rsidRDefault="000A3118">
            <w:pPr>
              <w:rPr>
                <w:rFonts w:eastAsia="Times New Roman"/>
              </w:rPr>
            </w:pPr>
            <w:r>
              <w:rPr>
                <w:rFonts w:eastAsia="Times New Roman"/>
                <w:b/>
                <w:bCs/>
                <w:color w:val="000000"/>
                <w:sz w:val="20"/>
                <w:szCs w:val="20"/>
              </w:rPr>
              <w:t>428-8000</w:t>
            </w:r>
          </w:p>
        </w:tc>
        <w:tc>
          <w:tcPr>
            <w:tcW w:w="0" w:type="auto"/>
            <w:gridSpan w:val="3"/>
            <w:tcMar>
              <w:top w:w="0" w:type="dxa"/>
              <w:left w:w="20" w:type="dxa"/>
              <w:bottom w:w="0" w:type="dxa"/>
              <w:right w:w="20" w:type="dxa"/>
            </w:tcMar>
            <w:vAlign w:val="center"/>
            <w:hideMark/>
          </w:tcPr>
          <w:p w14:paraId="1409EC12" w14:textId="77777777" w:rsidR="00000000" w:rsidRDefault="000A3118">
            <w:pPr>
              <w:rPr>
                <w:rFonts w:eastAsia="Times New Roman"/>
              </w:rPr>
            </w:pPr>
          </w:p>
        </w:tc>
      </w:tr>
      <w:tr w:rsidR="00000000" w14:paraId="3FE3FA3C" w14:textId="77777777">
        <w:trPr>
          <w:divId w:val="1779517977"/>
          <w:jc w:val="center"/>
        </w:trPr>
        <w:tc>
          <w:tcPr>
            <w:tcW w:w="0" w:type="auto"/>
            <w:gridSpan w:val="3"/>
            <w:tcMar>
              <w:top w:w="0" w:type="dxa"/>
              <w:left w:w="20" w:type="dxa"/>
              <w:bottom w:w="0" w:type="dxa"/>
              <w:right w:w="20" w:type="dxa"/>
            </w:tcMar>
            <w:vAlign w:val="center"/>
            <w:hideMark/>
          </w:tcPr>
          <w:p w14:paraId="5F0B9FE1" w14:textId="77777777" w:rsidR="00000000" w:rsidRDefault="000A3118">
            <w:pPr>
              <w:rPr>
                <w:rFonts w:eastAsia="Times New Roman"/>
                <w:sz w:val="20"/>
                <w:szCs w:val="20"/>
              </w:rPr>
            </w:pPr>
          </w:p>
        </w:tc>
        <w:tc>
          <w:tcPr>
            <w:tcW w:w="0" w:type="auto"/>
            <w:gridSpan w:val="21"/>
            <w:tcMar>
              <w:top w:w="30" w:type="dxa"/>
              <w:left w:w="20" w:type="dxa"/>
              <w:bottom w:w="30" w:type="dxa"/>
              <w:right w:w="20" w:type="dxa"/>
            </w:tcMar>
            <w:vAlign w:val="center"/>
            <w:hideMark/>
          </w:tcPr>
          <w:p w14:paraId="5C015686" w14:textId="77777777" w:rsidR="00000000" w:rsidRDefault="000A3118">
            <w:pPr>
              <w:jc w:val="center"/>
              <w:rPr>
                <w:rFonts w:eastAsia="Times New Roman"/>
              </w:rPr>
            </w:pPr>
            <w:r>
              <w:rPr>
                <w:rFonts w:eastAsia="Times New Roman"/>
                <w:color w:val="000000"/>
                <w:sz w:val="20"/>
                <w:szCs w:val="20"/>
              </w:rPr>
              <w:t>Securities registered pursuant to Section 12(b) of the Act</w:t>
            </w:r>
          </w:p>
        </w:tc>
        <w:tc>
          <w:tcPr>
            <w:tcW w:w="0" w:type="auto"/>
            <w:gridSpan w:val="3"/>
            <w:tcMar>
              <w:top w:w="0" w:type="dxa"/>
              <w:left w:w="20" w:type="dxa"/>
              <w:bottom w:w="0" w:type="dxa"/>
              <w:right w:w="20" w:type="dxa"/>
            </w:tcMar>
            <w:vAlign w:val="center"/>
            <w:hideMark/>
          </w:tcPr>
          <w:p w14:paraId="3A614013" w14:textId="77777777" w:rsidR="00000000" w:rsidRDefault="000A3118">
            <w:pPr>
              <w:jc w:val="center"/>
              <w:rPr>
                <w:rFonts w:eastAsia="Times New Roman"/>
              </w:rPr>
            </w:pPr>
          </w:p>
        </w:tc>
      </w:tr>
      <w:tr w:rsidR="00000000" w14:paraId="1DAC0EB8" w14:textId="77777777">
        <w:trPr>
          <w:divId w:val="1779517977"/>
          <w:jc w:val="center"/>
        </w:trPr>
        <w:tc>
          <w:tcPr>
            <w:tcW w:w="0" w:type="auto"/>
            <w:gridSpan w:val="3"/>
            <w:tcMar>
              <w:top w:w="30" w:type="dxa"/>
              <w:left w:w="20" w:type="dxa"/>
              <w:bottom w:w="30" w:type="dxa"/>
              <w:right w:w="20" w:type="dxa"/>
            </w:tcMar>
            <w:vAlign w:val="center"/>
            <w:hideMark/>
          </w:tcPr>
          <w:p w14:paraId="2803A7C4" w14:textId="77777777" w:rsidR="00000000" w:rsidRDefault="000A3118">
            <w:pPr>
              <w:jc w:val="center"/>
              <w:rPr>
                <w:rFonts w:eastAsia="Times New Roman"/>
              </w:rPr>
            </w:pPr>
            <w:r>
              <w:rPr>
                <w:rFonts w:eastAsia="Times New Roman"/>
                <w:color w:val="000000"/>
                <w:sz w:val="20"/>
                <w:szCs w:val="20"/>
              </w:rPr>
              <w:t>Title of each class</w:t>
            </w:r>
          </w:p>
        </w:tc>
        <w:tc>
          <w:tcPr>
            <w:tcW w:w="0" w:type="auto"/>
            <w:gridSpan w:val="21"/>
            <w:tcMar>
              <w:top w:w="30" w:type="dxa"/>
              <w:left w:w="20" w:type="dxa"/>
              <w:bottom w:w="30" w:type="dxa"/>
              <w:right w:w="20" w:type="dxa"/>
            </w:tcMar>
            <w:vAlign w:val="center"/>
            <w:hideMark/>
          </w:tcPr>
          <w:p w14:paraId="2F47C71F" w14:textId="77777777" w:rsidR="00000000" w:rsidRDefault="000A3118">
            <w:pPr>
              <w:jc w:val="center"/>
              <w:rPr>
                <w:rFonts w:eastAsia="Times New Roman"/>
              </w:rPr>
            </w:pPr>
            <w:r>
              <w:rPr>
                <w:rFonts w:eastAsia="Times New Roman"/>
                <w:color w:val="000000"/>
                <w:sz w:val="20"/>
                <w:szCs w:val="20"/>
              </w:rPr>
              <w:t>Trading Symbol (s)</w:t>
            </w:r>
          </w:p>
        </w:tc>
        <w:tc>
          <w:tcPr>
            <w:tcW w:w="0" w:type="auto"/>
            <w:gridSpan w:val="3"/>
            <w:tcMar>
              <w:top w:w="30" w:type="dxa"/>
              <w:left w:w="20" w:type="dxa"/>
              <w:bottom w:w="30" w:type="dxa"/>
              <w:right w:w="20" w:type="dxa"/>
            </w:tcMar>
            <w:vAlign w:val="center"/>
            <w:hideMark/>
          </w:tcPr>
          <w:p w14:paraId="6FAEBD96" w14:textId="77777777" w:rsidR="00000000" w:rsidRDefault="000A3118">
            <w:pPr>
              <w:jc w:val="center"/>
              <w:rPr>
                <w:rFonts w:eastAsia="Times New Roman"/>
              </w:rPr>
            </w:pPr>
            <w:r>
              <w:rPr>
                <w:rFonts w:eastAsia="Times New Roman"/>
                <w:color w:val="000000"/>
                <w:sz w:val="20"/>
                <w:szCs w:val="20"/>
              </w:rPr>
              <w:t>Name of each exchange on which registered</w:t>
            </w:r>
          </w:p>
        </w:tc>
      </w:tr>
      <w:tr w:rsidR="00000000" w14:paraId="5EE091A4" w14:textId="77777777">
        <w:trPr>
          <w:divId w:val="1779517977"/>
          <w:jc w:val="center"/>
        </w:trPr>
        <w:tc>
          <w:tcPr>
            <w:tcW w:w="0" w:type="auto"/>
            <w:gridSpan w:val="3"/>
            <w:tcMar>
              <w:top w:w="30" w:type="dxa"/>
              <w:left w:w="20" w:type="dxa"/>
              <w:bottom w:w="30" w:type="dxa"/>
              <w:right w:w="20" w:type="dxa"/>
            </w:tcMar>
            <w:vAlign w:val="center"/>
            <w:hideMark/>
          </w:tcPr>
          <w:p w14:paraId="6CBD599F" w14:textId="77777777" w:rsidR="00000000" w:rsidRDefault="000A3118">
            <w:pPr>
              <w:jc w:val="center"/>
              <w:rPr>
                <w:rFonts w:eastAsia="Times New Roman"/>
              </w:rPr>
            </w:pPr>
            <w:r>
              <w:rPr>
                <w:rFonts w:eastAsia="Times New Roman"/>
                <w:color w:val="000000"/>
                <w:sz w:val="20"/>
                <w:szCs w:val="20"/>
              </w:rPr>
              <w:t>Common Stock , $0.01 par value</w:t>
            </w:r>
          </w:p>
        </w:tc>
        <w:tc>
          <w:tcPr>
            <w:tcW w:w="0" w:type="auto"/>
            <w:gridSpan w:val="21"/>
            <w:tcMar>
              <w:top w:w="30" w:type="dxa"/>
              <w:left w:w="20" w:type="dxa"/>
              <w:bottom w:w="30" w:type="dxa"/>
              <w:right w:w="20" w:type="dxa"/>
            </w:tcMar>
            <w:vAlign w:val="center"/>
            <w:hideMark/>
          </w:tcPr>
          <w:p w14:paraId="37240C1E" w14:textId="77777777" w:rsidR="00000000" w:rsidRDefault="000A3118">
            <w:pPr>
              <w:jc w:val="center"/>
              <w:rPr>
                <w:rFonts w:eastAsia="Times New Roman"/>
              </w:rPr>
            </w:pPr>
            <w:r>
              <w:rPr>
                <w:rFonts w:eastAsia="Times New Roman"/>
                <w:color w:val="000000"/>
                <w:sz w:val="20"/>
                <w:szCs w:val="20"/>
              </w:rPr>
              <w:t>INT</w:t>
            </w:r>
          </w:p>
        </w:tc>
        <w:tc>
          <w:tcPr>
            <w:tcW w:w="0" w:type="auto"/>
            <w:gridSpan w:val="3"/>
            <w:tcMar>
              <w:top w:w="30" w:type="dxa"/>
              <w:left w:w="20" w:type="dxa"/>
              <w:bottom w:w="30" w:type="dxa"/>
              <w:right w:w="20" w:type="dxa"/>
            </w:tcMar>
            <w:vAlign w:val="center"/>
            <w:hideMark/>
          </w:tcPr>
          <w:p w14:paraId="7CF1AF57" w14:textId="77777777" w:rsidR="00000000" w:rsidRDefault="000A3118">
            <w:pPr>
              <w:jc w:val="center"/>
              <w:rPr>
                <w:rFonts w:eastAsia="Times New Roman"/>
              </w:rPr>
            </w:pPr>
            <w:r>
              <w:rPr>
                <w:rFonts w:eastAsia="Times New Roman"/>
                <w:color w:val="000000"/>
                <w:sz w:val="20"/>
                <w:szCs w:val="20"/>
              </w:rPr>
              <w:t>New York Stock Exchange</w:t>
            </w:r>
          </w:p>
        </w:tc>
      </w:tr>
    </w:tbl>
    <w:p w14:paraId="6840364A" w14:textId="77777777" w:rsidR="00000000" w:rsidRDefault="000A3118">
      <w:pPr>
        <w:ind w:firstLine="720"/>
        <w:divId w:val="1237982948"/>
        <w:rPr>
          <w:rFonts w:eastAsia="Times New Roman"/>
        </w:rPr>
      </w:pPr>
      <w:r>
        <w:rPr>
          <w:rFonts w:eastAsia="Times New Roman"/>
          <w:color w:val="000000"/>
          <w:sz w:val="20"/>
          <w:szCs w:val="20"/>
        </w:rPr>
        <w:t> </w:t>
      </w:r>
    </w:p>
    <w:p w14:paraId="026F9C70" w14:textId="77777777" w:rsidR="00000000" w:rsidRDefault="000A3118">
      <w:pPr>
        <w:jc w:val="center"/>
        <w:rPr>
          <w:rFonts w:eastAsia="Times New Roman"/>
        </w:rPr>
      </w:pPr>
    </w:p>
    <w:p w14:paraId="0ED12937" w14:textId="77777777" w:rsidR="00000000" w:rsidRDefault="000A3118">
      <w:pPr>
        <w:jc w:val="both"/>
        <w:rPr>
          <w:rFonts w:eastAsia="Times New Roman"/>
        </w:rPr>
      </w:pPr>
      <w:r>
        <w:rPr>
          <w:rFonts w:eastAsia="Times New Roman"/>
          <w:color w:val="000000"/>
          <w:sz w:val="20"/>
          <w:szCs w:val="20"/>
        </w:rPr>
        <w:t>    Indicate by check mark whether the registrant: (1) has filed all reports required to be filed by Section 13 or 15(d) </w:t>
      </w:r>
      <w:r>
        <w:rPr>
          <w:rFonts w:eastAsia="Times New Roman"/>
          <w:color w:val="000000"/>
          <w:sz w:val="20"/>
          <w:szCs w:val="20"/>
        </w:rPr>
        <w:t xml:space="preserve">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0926E320" w14:textId="77777777" w:rsidR="00000000" w:rsidRDefault="000A3118">
      <w:pPr>
        <w:ind w:firstLine="1080"/>
        <w:jc w:val="both"/>
        <w:rPr>
          <w:rFonts w:eastAsia="Times New Roman"/>
        </w:rPr>
      </w:pPr>
      <w:r>
        <w:rPr>
          <w:rFonts w:eastAsia="Times New Roman"/>
          <w:color w:val="000000"/>
          <w:sz w:val="16"/>
          <w:szCs w:val="16"/>
        </w:rPr>
        <w:t> </w:t>
      </w:r>
    </w:p>
    <w:p w14:paraId="33E3F953" w14:textId="77777777" w:rsidR="00000000" w:rsidRDefault="000A3118">
      <w:pPr>
        <w:ind w:firstLine="360"/>
        <w:jc w:val="both"/>
        <w:rPr>
          <w:rFonts w:eastAsia="Times New Roman"/>
        </w:rPr>
      </w:pPr>
      <w:r>
        <w:rPr>
          <w:rFonts w:eastAsia="Times New Roman"/>
          <w:color w:val="000000"/>
          <w:sz w:val="20"/>
          <w:szCs w:val="20"/>
        </w:rPr>
        <w:t>Indicate b</w:t>
      </w:r>
      <w:r>
        <w:rPr>
          <w:rFonts w:eastAsia="Times New Roman"/>
          <w:color w:val="000000"/>
          <w:sz w:val="20"/>
          <w:szCs w:val="20"/>
        </w:rPr>
        <w:t>y check mark whether the registrant has submitted electronically every Interactive Data File required to be submitted pursuant to Rule 405 of Regulation S-T (§ 232.405 of this chapter) during the preceding 12 months (or for such shorter period that the reg</w:t>
      </w:r>
      <w:r>
        <w:rPr>
          <w:rFonts w:eastAsia="Times New Roman"/>
          <w:color w:val="000000"/>
          <w:sz w:val="20"/>
          <w:szCs w:val="20"/>
        </w:rPr>
        <w:t xml:space="preserve">istrant was required to submit such files).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4BE0AF8E" w14:textId="77777777" w:rsidR="00000000" w:rsidRDefault="000A3118">
      <w:pPr>
        <w:ind w:firstLine="1080"/>
        <w:jc w:val="both"/>
        <w:rPr>
          <w:rFonts w:eastAsia="Times New Roman"/>
        </w:rPr>
      </w:pPr>
      <w:r>
        <w:rPr>
          <w:rFonts w:eastAsia="Times New Roman"/>
          <w:color w:val="000000"/>
          <w:sz w:val="16"/>
          <w:szCs w:val="16"/>
        </w:rPr>
        <w:t> </w:t>
      </w:r>
    </w:p>
    <w:p w14:paraId="05BBC297" w14:textId="77777777" w:rsidR="00000000" w:rsidRDefault="000A3118">
      <w:pPr>
        <w:ind w:firstLine="360"/>
        <w:jc w:val="both"/>
        <w:rPr>
          <w:rFonts w:eastAsia="Times New Roman"/>
        </w:rPr>
      </w:pPr>
      <w:r>
        <w:rPr>
          <w:rFonts w:eastAsia="Times New Roman"/>
          <w:color w:val="000000"/>
          <w:sz w:val="20"/>
          <w:szCs w:val="20"/>
        </w:rPr>
        <w:lastRenderedPageBreak/>
        <w:t>Indicate by check mark whether the registrant is a large accelerated filer, an accelerated filer, a non-accelerated filer, or a smaller reporting company.  See the definitions of “large accelerat</w:t>
      </w:r>
      <w:r>
        <w:rPr>
          <w:rFonts w:eastAsia="Times New Roman"/>
          <w:color w:val="000000"/>
          <w:sz w:val="20"/>
          <w:szCs w:val="20"/>
        </w:rPr>
        <w:t xml:space="preserve">ed filer,” “accelerated filer” and “smaller reporting company” in Rule 12b-2 of the Exchange Act.  Large accelerated filer </w:t>
      </w:r>
      <w:r>
        <w:rPr>
          <w:rFonts w:ascii="Wingdings" w:eastAsia="Times New Roman" w:hAnsi="Wingdings"/>
          <w:color w:val="000000"/>
          <w:sz w:val="20"/>
          <w:szCs w:val="20"/>
        </w:rPr>
        <w:t>þ</w:t>
      </w:r>
      <w:r>
        <w:rPr>
          <w:rFonts w:eastAsia="Times New Roman"/>
          <w:color w:val="000000"/>
          <w:sz w:val="20"/>
          <w:szCs w:val="20"/>
        </w:rPr>
        <w:t xml:space="preserve">   Accelerated filer </w:t>
      </w:r>
      <w:r>
        <w:rPr>
          <w:rFonts w:ascii="Segoe UI Symbol" w:eastAsia="Times New Roman" w:hAnsi="Segoe UI Symbol" w:cs="Segoe UI Symbol"/>
          <w:color w:val="000000"/>
          <w:sz w:val="20"/>
          <w:szCs w:val="20"/>
        </w:rPr>
        <w:t>☐</w:t>
      </w:r>
      <w:r>
        <w:rPr>
          <w:rFonts w:eastAsia="Times New Roman"/>
          <w:color w:val="000000"/>
          <w:sz w:val="20"/>
          <w:szCs w:val="20"/>
        </w:rPr>
        <w:t xml:space="preserve">   Non-accelerated filer </w:t>
      </w:r>
      <w:r>
        <w:rPr>
          <w:rFonts w:ascii="Segoe UI Symbol" w:eastAsia="Times New Roman" w:hAnsi="Segoe UI Symbol" w:cs="Segoe UI Symbol"/>
          <w:color w:val="000000"/>
          <w:sz w:val="20"/>
          <w:szCs w:val="20"/>
        </w:rPr>
        <w:t>☐</w:t>
      </w:r>
      <w:r>
        <w:rPr>
          <w:rFonts w:eastAsia="Times New Roman"/>
          <w:color w:val="000000"/>
          <w:sz w:val="20"/>
          <w:szCs w:val="20"/>
        </w:rPr>
        <w:t xml:space="preserve">   Smaller reporting company </w:t>
      </w:r>
      <w:r>
        <w:rPr>
          <w:rFonts w:ascii="Segoe UI Symbol" w:eastAsia="Times New Roman" w:hAnsi="Segoe UI Symbol" w:cs="Segoe UI Symbol"/>
          <w:color w:val="000000"/>
          <w:sz w:val="20"/>
          <w:szCs w:val="20"/>
        </w:rPr>
        <w:t>☐</w:t>
      </w:r>
      <w:r>
        <w:rPr>
          <w:rFonts w:eastAsia="Times New Roman"/>
          <w:color w:val="000000"/>
          <w:sz w:val="20"/>
          <w:szCs w:val="20"/>
        </w:rPr>
        <w:t xml:space="preserve"> Emerging growth company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14:paraId="0F24D2D5" w14:textId="77777777" w:rsidR="00000000" w:rsidRDefault="000A3118">
      <w:pPr>
        <w:ind w:firstLine="720"/>
        <w:jc w:val="both"/>
        <w:rPr>
          <w:rFonts w:eastAsia="Times New Roman"/>
        </w:rPr>
      </w:pPr>
      <w:r>
        <w:rPr>
          <w:rFonts w:eastAsia="Times New Roman"/>
          <w:color w:val="000000"/>
          <w:sz w:val="16"/>
          <w:szCs w:val="16"/>
        </w:rPr>
        <w:t> </w:t>
      </w:r>
    </w:p>
    <w:p w14:paraId="12B8DCCB" w14:textId="77777777" w:rsidR="00000000" w:rsidRDefault="000A3118">
      <w:pPr>
        <w:divId w:val="300619531"/>
        <w:rPr>
          <w:rFonts w:eastAsia="Times New Roman"/>
        </w:rPr>
      </w:pPr>
    </w:p>
    <w:p w14:paraId="58FB200D" w14:textId="77777777" w:rsidR="00000000" w:rsidRDefault="000A3118">
      <w:pPr>
        <w:rPr>
          <w:rFonts w:eastAsia="Times New Roman"/>
        </w:rPr>
      </w:pPr>
      <w:r>
        <w:rPr>
          <w:rFonts w:eastAsia="Times New Roman"/>
        </w:rPr>
        <w:pict w14:anchorId="19DF8F61">
          <v:rect id="_x0000_i1026" style="width:0;height:1.5pt" o:hralign="center" o:hrstd="t" o:hr="t" fillcolor="#a0a0a0" stroked="f"/>
        </w:pict>
      </w:r>
    </w:p>
    <w:p w14:paraId="3509776D" w14:textId="77777777" w:rsidR="00000000" w:rsidRDefault="000A3118">
      <w:pPr>
        <w:divId w:val="321782779"/>
        <w:rPr>
          <w:rFonts w:eastAsia="Times New Roman"/>
        </w:rPr>
      </w:pPr>
    </w:p>
    <w:p w14:paraId="47376F3B" w14:textId="77777777" w:rsidR="00000000" w:rsidRDefault="000A3118">
      <w:pPr>
        <w:ind w:firstLine="360"/>
        <w:divId w:val="1547449512"/>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w:t>
      </w:r>
      <w:r>
        <w:rPr>
          <w:rFonts w:eastAsia="Times New Roman"/>
          <w:color w:val="000000"/>
          <w:sz w:val="20"/>
          <w:szCs w:val="20"/>
        </w:rPr>
        <w:t xml:space="preserve">hange Act. </w:t>
      </w:r>
      <w:r>
        <w:rPr>
          <w:rFonts w:ascii="Segoe UI Symbol" w:eastAsia="Times New Roman" w:hAnsi="Segoe UI Symbol" w:cs="Segoe UI Symbol"/>
          <w:color w:val="000000"/>
          <w:sz w:val="20"/>
          <w:szCs w:val="20"/>
        </w:rPr>
        <w:t>☐</w:t>
      </w:r>
    </w:p>
    <w:p w14:paraId="34B31415" w14:textId="77777777" w:rsidR="00000000" w:rsidRDefault="000A3118">
      <w:pPr>
        <w:jc w:val="both"/>
        <w:rPr>
          <w:rFonts w:eastAsia="Times New Roman"/>
        </w:rPr>
      </w:pPr>
    </w:p>
    <w:p w14:paraId="551647D0" w14:textId="77777777" w:rsidR="00000000" w:rsidRDefault="000A3118">
      <w:pPr>
        <w:ind w:firstLine="360"/>
        <w:jc w:val="both"/>
        <w:rPr>
          <w:rFonts w:eastAsia="Times New Roman"/>
        </w:rPr>
      </w:pPr>
      <w:r>
        <w:rPr>
          <w:rFonts w:eastAsia="Times New Roman"/>
          <w:color w:val="000000"/>
          <w:sz w:val="20"/>
          <w:szCs w:val="20"/>
        </w:rPr>
        <w:t xml:space="preserve">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Wingdings" w:eastAsia="Times New Roman" w:hAnsi="Wingdings"/>
          <w:color w:val="000000"/>
          <w:sz w:val="20"/>
          <w:szCs w:val="20"/>
        </w:rPr>
        <w:t>þ</w:t>
      </w:r>
    </w:p>
    <w:p w14:paraId="52CDDCC4" w14:textId="77777777" w:rsidR="00000000" w:rsidRDefault="000A3118">
      <w:pPr>
        <w:ind w:firstLine="720"/>
        <w:jc w:val="both"/>
        <w:rPr>
          <w:rFonts w:eastAsia="Times New Roman"/>
        </w:rPr>
      </w:pPr>
      <w:r>
        <w:rPr>
          <w:rFonts w:eastAsia="Times New Roman"/>
          <w:color w:val="000000"/>
          <w:sz w:val="16"/>
          <w:szCs w:val="16"/>
        </w:rPr>
        <w:t> </w:t>
      </w:r>
    </w:p>
    <w:p w14:paraId="3E9B1BC0" w14:textId="77777777" w:rsidR="00000000" w:rsidRDefault="000A3118">
      <w:pPr>
        <w:ind w:firstLine="360"/>
        <w:jc w:val="both"/>
        <w:rPr>
          <w:rFonts w:eastAsia="Times New Roman"/>
        </w:rPr>
      </w:pPr>
      <w:r>
        <w:rPr>
          <w:rFonts w:eastAsia="Times New Roman"/>
          <w:color w:val="000000"/>
          <w:sz w:val="20"/>
          <w:szCs w:val="20"/>
        </w:rPr>
        <w:t xml:space="preserve">The registrant had a total of 63,501,980 </w:t>
      </w:r>
      <w:r>
        <w:rPr>
          <w:rFonts w:eastAsia="Times New Roman"/>
          <w:color w:val="000000"/>
          <w:sz w:val="20"/>
          <w:szCs w:val="20"/>
        </w:rPr>
        <w:t>shares of common stock, par value $0.01 per share, issued and outstanding as of October 23, 2020.</w:t>
      </w:r>
    </w:p>
    <w:p w14:paraId="5F8478B4" w14:textId="77777777" w:rsidR="00000000" w:rsidRDefault="000A3118">
      <w:pPr>
        <w:divId w:val="383649870"/>
        <w:rPr>
          <w:rFonts w:eastAsia="Times New Roman"/>
        </w:rPr>
      </w:pPr>
    </w:p>
    <w:p w14:paraId="78177711" w14:textId="77777777" w:rsidR="00000000" w:rsidRDefault="000A3118">
      <w:pPr>
        <w:divId w:val="348332998"/>
        <w:rPr>
          <w:rFonts w:eastAsia="Times New Roman"/>
        </w:rPr>
      </w:pPr>
    </w:p>
    <w:p w14:paraId="373FB3AC" w14:textId="77777777" w:rsidR="00000000" w:rsidRDefault="000A3118">
      <w:pPr>
        <w:rPr>
          <w:rFonts w:eastAsia="Times New Roman"/>
        </w:rPr>
      </w:pPr>
      <w:r>
        <w:rPr>
          <w:rFonts w:eastAsia="Times New Roman"/>
        </w:rPr>
        <w:pict w14:anchorId="308C2A9F">
          <v:rect id="_x0000_i1027" style="width:0;height:1.5pt" o:hralign="center" o:hrstd="t" o:hr="t" fillcolor="#a0a0a0" stroked="f"/>
        </w:pict>
      </w:r>
    </w:p>
    <w:p w14:paraId="21DCA7ED" w14:textId="77777777" w:rsidR="00000000" w:rsidRDefault="000A3118">
      <w:pPr>
        <w:divId w:val="173881634"/>
        <w:rPr>
          <w:rFonts w:eastAsia="Times New Roman"/>
        </w:rPr>
      </w:pPr>
    </w:p>
    <w:p w14:paraId="2922EBCB" w14:textId="77777777" w:rsidR="00000000" w:rsidRDefault="000A3118">
      <w:pPr>
        <w:jc w:val="center"/>
        <w:rPr>
          <w:rFonts w:eastAsia="Times New Roman"/>
        </w:rPr>
      </w:pPr>
      <w:r>
        <w:rPr>
          <w:rFonts w:eastAsia="Times New Roman"/>
          <w:b/>
          <w:bCs/>
          <w:color w:val="000000"/>
          <w:sz w:val="20"/>
          <w:szCs w:val="20"/>
        </w:rPr>
        <w:t>Table of Contents</w:t>
      </w:r>
    </w:p>
    <w:p w14:paraId="3BBC832B" w14:textId="77777777" w:rsidR="00000000" w:rsidRDefault="000A3118">
      <w:pPr>
        <w:jc w:val="center"/>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91"/>
        <w:gridCol w:w="496"/>
        <w:gridCol w:w="36"/>
        <w:gridCol w:w="55"/>
        <w:gridCol w:w="560"/>
        <w:gridCol w:w="36"/>
        <w:gridCol w:w="56"/>
        <w:gridCol w:w="6551"/>
        <w:gridCol w:w="39"/>
        <w:gridCol w:w="56"/>
        <w:gridCol w:w="294"/>
        <w:gridCol w:w="36"/>
      </w:tblGrid>
      <w:tr w:rsidR="00000000" w14:paraId="32CF5685" w14:textId="77777777">
        <w:trPr>
          <w:divId w:val="211232319"/>
        </w:trPr>
        <w:tc>
          <w:tcPr>
            <w:tcW w:w="50" w:type="pct"/>
            <w:vAlign w:val="center"/>
            <w:hideMark/>
          </w:tcPr>
          <w:p w14:paraId="4A00D9D8" w14:textId="77777777" w:rsidR="00000000" w:rsidRDefault="000A3118">
            <w:pPr>
              <w:jc w:val="center"/>
              <w:rPr>
                <w:rFonts w:eastAsia="Times New Roman"/>
              </w:rPr>
            </w:pPr>
          </w:p>
        </w:tc>
        <w:tc>
          <w:tcPr>
            <w:tcW w:w="273" w:type="pct"/>
            <w:vAlign w:val="center"/>
            <w:hideMark/>
          </w:tcPr>
          <w:p w14:paraId="1DB2096A" w14:textId="77777777" w:rsidR="00000000" w:rsidRDefault="000A3118">
            <w:pPr>
              <w:rPr>
                <w:rFonts w:eastAsia="Times New Roman"/>
                <w:sz w:val="20"/>
                <w:szCs w:val="20"/>
              </w:rPr>
            </w:pPr>
          </w:p>
        </w:tc>
        <w:tc>
          <w:tcPr>
            <w:tcW w:w="5" w:type="pct"/>
            <w:vAlign w:val="center"/>
            <w:hideMark/>
          </w:tcPr>
          <w:p w14:paraId="521FE818" w14:textId="77777777" w:rsidR="00000000" w:rsidRDefault="000A3118">
            <w:pPr>
              <w:rPr>
                <w:rFonts w:eastAsia="Times New Roman"/>
                <w:sz w:val="20"/>
                <w:szCs w:val="20"/>
              </w:rPr>
            </w:pPr>
          </w:p>
        </w:tc>
        <w:tc>
          <w:tcPr>
            <w:tcW w:w="50" w:type="pct"/>
            <w:vAlign w:val="center"/>
            <w:hideMark/>
          </w:tcPr>
          <w:p w14:paraId="2D17D097" w14:textId="77777777" w:rsidR="00000000" w:rsidRDefault="000A3118">
            <w:pPr>
              <w:rPr>
                <w:rFonts w:eastAsia="Times New Roman"/>
                <w:sz w:val="20"/>
                <w:szCs w:val="20"/>
              </w:rPr>
            </w:pPr>
          </w:p>
        </w:tc>
        <w:tc>
          <w:tcPr>
            <w:tcW w:w="354" w:type="pct"/>
            <w:vAlign w:val="center"/>
            <w:hideMark/>
          </w:tcPr>
          <w:p w14:paraId="05A9EB9A" w14:textId="77777777" w:rsidR="00000000" w:rsidRDefault="000A3118">
            <w:pPr>
              <w:rPr>
                <w:rFonts w:eastAsia="Times New Roman"/>
                <w:sz w:val="20"/>
                <w:szCs w:val="20"/>
              </w:rPr>
            </w:pPr>
          </w:p>
        </w:tc>
        <w:tc>
          <w:tcPr>
            <w:tcW w:w="5" w:type="pct"/>
            <w:vAlign w:val="center"/>
            <w:hideMark/>
          </w:tcPr>
          <w:p w14:paraId="62C03601" w14:textId="77777777" w:rsidR="00000000" w:rsidRDefault="000A3118">
            <w:pPr>
              <w:rPr>
                <w:rFonts w:eastAsia="Times New Roman"/>
                <w:sz w:val="20"/>
                <w:szCs w:val="20"/>
              </w:rPr>
            </w:pPr>
          </w:p>
        </w:tc>
        <w:tc>
          <w:tcPr>
            <w:tcW w:w="50" w:type="pct"/>
            <w:vAlign w:val="center"/>
            <w:hideMark/>
          </w:tcPr>
          <w:p w14:paraId="02E4B403" w14:textId="77777777" w:rsidR="00000000" w:rsidRDefault="000A3118">
            <w:pPr>
              <w:rPr>
                <w:rFonts w:eastAsia="Times New Roman"/>
                <w:sz w:val="20"/>
                <w:szCs w:val="20"/>
              </w:rPr>
            </w:pPr>
          </w:p>
        </w:tc>
        <w:tc>
          <w:tcPr>
            <w:tcW w:w="3958" w:type="pct"/>
            <w:vAlign w:val="center"/>
            <w:hideMark/>
          </w:tcPr>
          <w:p w14:paraId="1ADA7CEE" w14:textId="77777777" w:rsidR="00000000" w:rsidRDefault="000A3118">
            <w:pPr>
              <w:rPr>
                <w:rFonts w:eastAsia="Times New Roman"/>
                <w:sz w:val="20"/>
                <w:szCs w:val="20"/>
              </w:rPr>
            </w:pPr>
          </w:p>
        </w:tc>
        <w:tc>
          <w:tcPr>
            <w:tcW w:w="5" w:type="pct"/>
            <w:vAlign w:val="center"/>
            <w:hideMark/>
          </w:tcPr>
          <w:p w14:paraId="4AF785E3" w14:textId="77777777" w:rsidR="00000000" w:rsidRDefault="000A3118">
            <w:pPr>
              <w:rPr>
                <w:rFonts w:eastAsia="Times New Roman"/>
                <w:sz w:val="20"/>
                <w:szCs w:val="20"/>
              </w:rPr>
            </w:pPr>
          </w:p>
        </w:tc>
        <w:tc>
          <w:tcPr>
            <w:tcW w:w="50" w:type="pct"/>
            <w:vAlign w:val="center"/>
            <w:hideMark/>
          </w:tcPr>
          <w:p w14:paraId="14D834A0" w14:textId="77777777" w:rsidR="00000000" w:rsidRDefault="000A3118">
            <w:pPr>
              <w:rPr>
                <w:rFonts w:eastAsia="Times New Roman"/>
                <w:sz w:val="20"/>
                <w:szCs w:val="20"/>
              </w:rPr>
            </w:pPr>
          </w:p>
        </w:tc>
        <w:tc>
          <w:tcPr>
            <w:tcW w:w="193" w:type="pct"/>
            <w:vAlign w:val="center"/>
            <w:hideMark/>
          </w:tcPr>
          <w:p w14:paraId="4567ABD3" w14:textId="77777777" w:rsidR="00000000" w:rsidRDefault="000A3118">
            <w:pPr>
              <w:rPr>
                <w:rFonts w:eastAsia="Times New Roman"/>
                <w:sz w:val="20"/>
                <w:szCs w:val="20"/>
              </w:rPr>
            </w:pPr>
          </w:p>
        </w:tc>
        <w:tc>
          <w:tcPr>
            <w:tcW w:w="5" w:type="pct"/>
            <w:vAlign w:val="center"/>
            <w:hideMark/>
          </w:tcPr>
          <w:p w14:paraId="3537A55B" w14:textId="77777777" w:rsidR="00000000" w:rsidRDefault="000A3118">
            <w:pPr>
              <w:rPr>
                <w:rFonts w:eastAsia="Times New Roman"/>
                <w:sz w:val="20"/>
                <w:szCs w:val="20"/>
              </w:rPr>
            </w:pPr>
          </w:p>
        </w:tc>
      </w:tr>
      <w:tr w:rsidR="00000000" w14:paraId="3C9E1658" w14:textId="77777777">
        <w:trPr>
          <w:divId w:val="211232319"/>
        </w:trPr>
        <w:tc>
          <w:tcPr>
            <w:tcW w:w="0" w:type="auto"/>
            <w:gridSpan w:val="3"/>
            <w:tcMar>
              <w:top w:w="30" w:type="dxa"/>
              <w:left w:w="20" w:type="dxa"/>
              <w:bottom w:w="30" w:type="dxa"/>
              <w:right w:w="20" w:type="dxa"/>
            </w:tcMar>
            <w:vAlign w:val="bottom"/>
            <w:hideMark/>
          </w:tcPr>
          <w:p w14:paraId="57370A93" w14:textId="77777777" w:rsidR="00000000" w:rsidRDefault="000A3118">
            <w:pPr>
              <w:divId w:val="1232036549"/>
              <w:rPr>
                <w:rFonts w:eastAsia="Times New Roman"/>
              </w:rPr>
            </w:pPr>
            <w:hyperlink w:anchor="i07dfab43642542caa102b1019720d3b2_13" w:history="1">
              <w:r>
                <w:rPr>
                  <w:rStyle w:val="a3"/>
                  <w:rFonts w:eastAsia="Times New Roman"/>
                  <w:color w:val="0E32E1"/>
                  <w:sz w:val="20"/>
                  <w:szCs w:val="20"/>
                </w:rPr>
                <w:t>Part I.</w:t>
              </w:r>
            </w:hyperlink>
          </w:p>
        </w:tc>
        <w:tc>
          <w:tcPr>
            <w:tcW w:w="0" w:type="auto"/>
            <w:gridSpan w:val="6"/>
            <w:tcMar>
              <w:top w:w="30" w:type="dxa"/>
              <w:left w:w="20" w:type="dxa"/>
              <w:bottom w:w="30" w:type="dxa"/>
              <w:right w:w="20" w:type="dxa"/>
            </w:tcMar>
            <w:vAlign w:val="bottom"/>
            <w:hideMark/>
          </w:tcPr>
          <w:p w14:paraId="759D9692" w14:textId="77777777" w:rsidR="00000000" w:rsidRDefault="000A3118">
            <w:pPr>
              <w:divId w:val="957375987"/>
              <w:rPr>
                <w:rFonts w:eastAsia="Times New Roman"/>
              </w:rPr>
            </w:pPr>
            <w:hyperlink w:anchor="i07dfab43642542caa102b1019720d3b2_13" w:history="1">
              <w:r>
                <w:rPr>
                  <w:rStyle w:val="a3"/>
                  <w:rFonts w:eastAsia="Times New Roman"/>
                  <w:color w:val="0E32E1"/>
                  <w:sz w:val="20"/>
                  <w:szCs w:val="20"/>
                </w:rPr>
                <w:t>Financial Information</w:t>
              </w:r>
            </w:hyperlink>
          </w:p>
        </w:tc>
        <w:tc>
          <w:tcPr>
            <w:tcW w:w="0" w:type="auto"/>
            <w:gridSpan w:val="3"/>
            <w:tcMar>
              <w:top w:w="0" w:type="dxa"/>
              <w:left w:w="20" w:type="dxa"/>
              <w:bottom w:w="0" w:type="dxa"/>
              <w:right w:w="20" w:type="dxa"/>
            </w:tcMar>
            <w:vAlign w:val="center"/>
            <w:hideMark/>
          </w:tcPr>
          <w:p w14:paraId="39A651D4" w14:textId="77777777" w:rsidR="00000000" w:rsidRDefault="000A3118">
            <w:pPr>
              <w:rPr>
                <w:rFonts w:eastAsia="Times New Roman"/>
              </w:rPr>
            </w:pPr>
          </w:p>
        </w:tc>
      </w:tr>
      <w:tr w:rsidR="00000000" w14:paraId="44F6E126" w14:textId="77777777">
        <w:trPr>
          <w:divId w:val="211232319"/>
        </w:trPr>
        <w:tc>
          <w:tcPr>
            <w:tcW w:w="0" w:type="auto"/>
            <w:gridSpan w:val="3"/>
            <w:tcMar>
              <w:top w:w="30" w:type="dxa"/>
              <w:left w:w="20" w:type="dxa"/>
              <w:bottom w:w="30" w:type="dxa"/>
              <w:right w:w="20" w:type="dxa"/>
            </w:tcMar>
            <w:hideMark/>
          </w:tcPr>
          <w:p w14:paraId="17CC1021" w14:textId="77777777" w:rsidR="00000000" w:rsidRDefault="000A3118">
            <w:pPr>
              <w:rPr>
                <w:rFonts w:eastAsia="Times New Roman"/>
              </w:rPr>
            </w:pPr>
            <w:r>
              <w:rPr>
                <w:rFonts w:eastAsia="Times New Roman"/>
                <w:color w:val="0E32E1"/>
                <w:sz w:val="20"/>
                <w:szCs w:val="20"/>
              </w:rPr>
              <w:t> </w:t>
            </w:r>
          </w:p>
        </w:tc>
        <w:tc>
          <w:tcPr>
            <w:tcW w:w="0" w:type="auto"/>
            <w:gridSpan w:val="6"/>
            <w:tcMar>
              <w:top w:w="30" w:type="dxa"/>
              <w:left w:w="20" w:type="dxa"/>
              <w:bottom w:w="30" w:type="dxa"/>
              <w:right w:w="20" w:type="dxa"/>
            </w:tcMar>
            <w:hideMark/>
          </w:tcPr>
          <w:p w14:paraId="0A937385" w14:textId="77777777" w:rsidR="00000000" w:rsidRDefault="000A3118">
            <w:pPr>
              <w:rPr>
                <w:rFonts w:eastAsia="Times New Roman"/>
              </w:rPr>
            </w:pPr>
            <w:r>
              <w:rPr>
                <w:rFonts w:eastAsia="Times New Roman"/>
                <w:color w:val="0E32E1"/>
                <w:sz w:val="20"/>
                <w:szCs w:val="20"/>
              </w:rPr>
              <w:t> </w:t>
            </w:r>
          </w:p>
        </w:tc>
        <w:tc>
          <w:tcPr>
            <w:tcW w:w="0" w:type="auto"/>
            <w:gridSpan w:val="3"/>
            <w:tcMar>
              <w:top w:w="0" w:type="dxa"/>
              <w:left w:w="20" w:type="dxa"/>
              <w:bottom w:w="0" w:type="dxa"/>
              <w:right w:w="20" w:type="dxa"/>
            </w:tcMar>
            <w:vAlign w:val="center"/>
            <w:hideMark/>
          </w:tcPr>
          <w:p w14:paraId="55C36B44" w14:textId="77777777" w:rsidR="00000000" w:rsidRDefault="000A3118">
            <w:pPr>
              <w:rPr>
                <w:rFonts w:eastAsia="Times New Roman"/>
              </w:rPr>
            </w:pPr>
          </w:p>
        </w:tc>
      </w:tr>
      <w:tr w:rsidR="00000000" w14:paraId="6430F92A" w14:textId="77777777">
        <w:trPr>
          <w:divId w:val="211232319"/>
        </w:trPr>
        <w:tc>
          <w:tcPr>
            <w:tcW w:w="0" w:type="auto"/>
            <w:gridSpan w:val="3"/>
            <w:tcMar>
              <w:top w:w="0" w:type="dxa"/>
              <w:left w:w="20" w:type="dxa"/>
              <w:bottom w:w="0" w:type="dxa"/>
              <w:right w:w="20" w:type="dxa"/>
            </w:tcMar>
            <w:vAlign w:val="center"/>
            <w:hideMark/>
          </w:tcPr>
          <w:p w14:paraId="4E2859A7"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hideMark/>
          </w:tcPr>
          <w:p w14:paraId="7D043641" w14:textId="77777777" w:rsidR="00000000" w:rsidRDefault="000A3118">
            <w:pPr>
              <w:divId w:val="1085538385"/>
              <w:rPr>
                <w:rFonts w:eastAsia="Times New Roman"/>
              </w:rPr>
            </w:pPr>
            <w:hyperlink w:anchor="i07dfab43642542caa102b1019720d3b2_13" w:history="1">
              <w:r>
                <w:rPr>
                  <w:rStyle w:val="a3"/>
                  <w:rFonts w:eastAsia="Times New Roman"/>
                  <w:color w:val="0E32E1"/>
                  <w:sz w:val="20"/>
                  <w:szCs w:val="20"/>
                </w:rPr>
                <w:t>Item 1.</w:t>
              </w:r>
            </w:hyperlink>
          </w:p>
        </w:tc>
        <w:tc>
          <w:tcPr>
            <w:tcW w:w="0" w:type="auto"/>
            <w:gridSpan w:val="3"/>
            <w:shd w:val="clear" w:color="auto" w:fill="FFFFFF"/>
            <w:tcMar>
              <w:top w:w="30" w:type="dxa"/>
              <w:left w:w="20" w:type="dxa"/>
              <w:bottom w:w="30" w:type="dxa"/>
              <w:right w:w="20" w:type="dxa"/>
            </w:tcMar>
            <w:hideMark/>
          </w:tcPr>
          <w:p w14:paraId="25A24C9B" w14:textId="77777777" w:rsidR="00000000" w:rsidRDefault="000A3118">
            <w:pPr>
              <w:divId w:val="417752183"/>
              <w:rPr>
                <w:rFonts w:eastAsia="Times New Roman"/>
              </w:rPr>
            </w:pPr>
            <w:hyperlink w:anchor="i07dfab43642542caa102b1019720d3b2_13" w:history="1">
              <w:r>
                <w:rPr>
                  <w:rStyle w:val="a3"/>
                  <w:rFonts w:eastAsia="Times New Roman"/>
                  <w:color w:val="0E32E1"/>
                  <w:sz w:val="20"/>
                  <w:szCs w:val="20"/>
                </w:rPr>
                <w:t>Financial Statements (Unaudited)</w:t>
              </w:r>
            </w:hyperlink>
          </w:p>
        </w:tc>
        <w:tc>
          <w:tcPr>
            <w:tcW w:w="0" w:type="auto"/>
            <w:gridSpan w:val="3"/>
            <w:tcMar>
              <w:top w:w="0" w:type="dxa"/>
              <w:left w:w="20" w:type="dxa"/>
              <w:bottom w:w="0" w:type="dxa"/>
              <w:right w:w="20" w:type="dxa"/>
            </w:tcMar>
            <w:vAlign w:val="center"/>
            <w:hideMark/>
          </w:tcPr>
          <w:p w14:paraId="5E61ACD9" w14:textId="77777777" w:rsidR="00000000" w:rsidRDefault="000A3118">
            <w:pPr>
              <w:rPr>
                <w:rFonts w:eastAsia="Times New Roman"/>
              </w:rPr>
            </w:pPr>
          </w:p>
        </w:tc>
      </w:tr>
      <w:tr w:rsidR="00000000" w14:paraId="66A91529" w14:textId="77777777">
        <w:trPr>
          <w:divId w:val="211232319"/>
        </w:trPr>
        <w:tc>
          <w:tcPr>
            <w:tcW w:w="0" w:type="auto"/>
            <w:gridSpan w:val="3"/>
            <w:tcMar>
              <w:top w:w="0" w:type="dxa"/>
              <w:left w:w="20" w:type="dxa"/>
              <w:bottom w:w="0" w:type="dxa"/>
              <w:right w:w="20" w:type="dxa"/>
            </w:tcMar>
            <w:vAlign w:val="center"/>
            <w:hideMark/>
          </w:tcPr>
          <w:p w14:paraId="45D3B585"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65E7936B" w14:textId="77777777" w:rsidR="00000000" w:rsidRDefault="000A3118">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000F637D" w14:textId="77777777" w:rsidR="00000000" w:rsidRDefault="000A3118">
            <w:pPr>
              <w:divId w:val="1080759300"/>
              <w:rPr>
                <w:rFonts w:eastAsia="Times New Roman"/>
              </w:rPr>
            </w:pPr>
            <w:hyperlink w:anchor="i07dfab43642542caa102b1019720d3b2_13" w:history="1">
              <w:r>
                <w:rPr>
                  <w:rStyle w:val="a3"/>
                  <w:rFonts w:eastAsia="Times New Roman"/>
                  <w:color w:val="0E32E1"/>
                  <w:sz w:val="20"/>
                  <w:szCs w:val="20"/>
                </w:rPr>
                <w:t xml:space="preserve">Consolidated Balance Sheets as of </w:t>
              </w:r>
            </w:hyperlink>
            <w:r>
              <w:rPr>
                <w:rFonts w:eastAsia="Times New Roman"/>
                <w:color w:val="0E32E1"/>
                <w:sz w:val="20"/>
                <w:szCs w:val="20"/>
                <w:u w:val="single"/>
              </w:rPr>
              <w:t>September 30, 2020</w:t>
            </w:r>
            <w:hyperlink w:anchor="i07dfab43642542caa102b1019720d3b2_13" w:history="1">
              <w:r>
                <w:rPr>
                  <w:rStyle w:val="a3"/>
                  <w:rFonts w:eastAsia="Times New Roman"/>
                  <w:color w:val="0E32E1"/>
                  <w:sz w:val="20"/>
                  <w:szCs w:val="20"/>
                </w:rPr>
                <w:t xml:space="preserve"> and </w:t>
              </w:r>
            </w:hyperlink>
            <w:r>
              <w:rPr>
                <w:rFonts w:eastAsia="Times New Roman"/>
                <w:color w:val="0E32E1"/>
                <w:sz w:val="20"/>
                <w:szCs w:val="20"/>
                <w:u w:val="single"/>
              </w:rPr>
              <w:t>December 31, 2019</w:t>
            </w:r>
          </w:p>
        </w:tc>
        <w:tc>
          <w:tcPr>
            <w:tcW w:w="0" w:type="auto"/>
            <w:gridSpan w:val="3"/>
            <w:tcMar>
              <w:top w:w="30" w:type="dxa"/>
              <w:left w:w="20" w:type="dxa"/>
              <w:bottom w:w="30" w:type="dxa"/>
              <w:right w:w="20" w:type="dxa"/>
            </w:tcMar>
            <w:hideMark/>
          </w:tcPr>
          <w:p w14:paraId="6968704C" w14:textId="77777777" w:rsidR="00000000" w:rsidRDefault="000A3118">
            <w:pPr>
              <w:jc w:val="center"/>
              <w:rPr>
                <w:rFonts w:eastAsia="Times New Roman"/>
              </w:rPr>
            </w:pPr>
            <w:hyperlink w:anchor="i07dfab43642542caa102b1019720d3b2_13" w:history="1">
              <w:r>
                <w:rPr>
                  <w:rStyle w:val="a3"/>
                  <w:rFonts w:eastAsia="Times New Roman"/>
                  <w:color w:val="0E32E1"/>
                  <w:sz w:val="20"/>
                  <w:szCs w:val="20"/>
                </w:rPr>
                <w:t>1</w:t>
              </w:r>
            </w:hyperlink>
          </w:p>
        </w:tc>
      </w:tr>
      <w:tr w:rsidR="00000000" w14:paraId="15A047EF" w14:textId="77777777">
        <w:trPr>
          <w:divId w:val="211232319"/>
        </w:trPr>
        <w:tc>
          <w:tcPr>
            <w:tcW w:w="0" w:type="auto"/>
            <w:gridSpan w:val="3"/>
            <w:tcMar>
              <w:top w:w="0" w:type="dxa"/>
              <w:left w:w="20" w:type="dxa"/>
              <w:bottom w:w="0" w:type="dxa"/>
              <w:right w:w="20" w:type="dxa"/>
            </w:tcMar>
            <w:vAlign w:val="center"/>
            <w:hideMark/>
          </w:tcPr>
          <w:p w14:paraId="7F9DAF8A"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5F6445AE" w14:textId="77777777" w:rsidR="00000000" w:rsidRDefault="000A3118">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24D20A7D" w14:textId="77777777" w:rsidR="00000000" w:rsidRDefault="000A3118">
            <w:pPr>
              <w:divId w:val="1934629198"/>
              <w:rPr>
                <w:rFonts w:eastAsia="Times New Roman"/>
              </w:rPr>
            </w:pPr>
            <w:hyperlink w:anchor="i07dfab43642542caa102b1019720d3b2_16" w:history="1">
              <w:r>
                <w:rPr>
                  <w:rStyle w:val="a3"/>
                  <w:rFonts w:eastAsia="Times New Roman"/>
                  <w:color w:val="0E32E1"/>
                  <w:sz w:val="20"/>
                  <w:szCs w:val="20"/>
                </w:rPr>
                <w:t xml:space="preserve">Consolidated Statements of Income and Comprehensive Income for the </w:t>
              </w:r>
            </w:hyperlink>
            <w:r>
              <w:rPr>
                <w:rFonts w:eastAsia="Times New Roman"/>
                <w:color w:val="0E32E1"/>
                <w:sz w:val="20"/>
                <w:szCs w:val="20"/>
                <w:u w:val="single"/>
              </w:rPr>
              <w:t>Three and Nine</w:t>
            </w:r>
            <w:hyperlink w:anchor="i07dfab43642542caa102b1019720d3b2_16" w:history="1">
              <w:r>
                <w:rPr>
                  <w:rStyle w:val="a3"/>
                  <w:rFonts w:eastAsia="Times New Roman"/>
                  <w:color w:val="0E32E1"/>
                  <w:sz w:val="20"/>
                  <w:szCs w:val="20"/>
                </w:rPr>
                <w:t xml:space="preserve"> Months Ended </w:t>
              </w:r>
            </w:hyperlink>
            <w:r>
              <w:rPr>
                <w:rFonts w:eastAsia="Times New Roman"/>
                <w:color w:val="0E32E1"/>
                <w:sz w:val="20"/>
                <w:szCs w:val="20"/>
                <w:u w:val="single"/>
              </w:rPr>
              <w:t>September 30, 2020</w:t>
            </w:r>
            <w:hyperlink w:anchor="i07dfab43642542caa102b1019720d3b2_16" w:history="1">
              <w:r>
                <w:rPr>
                  <w:rStyle w:val="a3"/>
                  <w:rFonts w:eastAsia="Times New Roman"/>
                  <w:color w:val="0E32E1"/>
                  <w:sz w:val="20"/>
                  <w:szCs w:val="20"/>
                </w:rPr>
                <w:t xml:space="preserve"> and </w:t>
              </w:r>
            </w:hyperlink>
            <w:r>
              <w:rPr>
                <w:rFonts w:eastAsia="Times New Roman"/>
                <w:color w:val="0E32E1"/>
                <w:sz w:val="20"/>
                <w:szCs w:val="20"/>
                <w:u w:val="single"/>
              </w:rPr>
              <w:t>2019</w:t>
            </w:r>
          </w:p>
        </w:tc>
        <w:tc>
          <w:tcPr>
            <w:tcW w:w="0" w:type="auto"/>
            <w:gridSpan w:val="3"/>
            <w:tcMar>
              <w:top w:w="30" w:type="dxa"/>
              <w:left w:w="20" w:type="dxa"/>
              <w:bottom w:w="30" w:type="dxa"/>
              <w:right w:w="20" w:type="dxa"/>
            </w:tcMar>
            <w:hideMark/>
          </w:tcPr>
          <w:p w14:paraId="28E934EE" w14:textId="77777777" w:rsidR="00000000" w:rsidRDefault="000A3118">
            <w:pPr>
              <w:jc w:val="center"/>
              <w:rPr>
                <w:rFonts w:eastAsia="Times New Roman"/>
              </w:rPr>
            </w:pPr>
            <w:hyperlink w:anchor="i07dfab43642542caa102b1019720d3b2_16" w:history="1">
              <w:r>
                <w:rPr>
                  <w:rStyle w:val="a3"/>
                  <w:rFonts w:eastAsia="Times New Roman"/>
                  <w:color w:val="0E32E1"/>
                  <w:sz w:val="20"/>
                  <w:szCs w:val="20"/>
                </w:rPr>
                <w:t>2</w:t>
              </w:r>
            </w:hyperlink>
          </w:p>
        </w:tc>
      </w:tr>
      <w:tr w:rsidR="00000000" w14:paraId="743A28B4" w14:textId="77777777">
        <w:trPr>
          <w:divId w:val="211232319"/>
        </w:trPr>
        <w:tc>
          <w:tcPr>
            <w:tcW w:w="0" w:type="auto"/>
            <w:gridSpan w:val="3"/>
            <w:tcMar>
              <w:top w:w="0" w:type="dxa"/>
              <w:left w:w="20" w:type="dxa"/>
              <w:bottom w:w="0" w:type="dxa"/>
              <w:right w:w="20" w:type="dxa"/>
            </w:tcMar>
            <w:vAlign w:val="center"/>
            <w:hideMark/>
          </w:tcPr>
          <w:p w14:paraId="40F45B83"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79679990" w14:textId="77777777" w:rsidR="00000000" w:rsidRDefault="000A3118">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167B1583" w14:textId="77777777" w:rsidR="00000000" w:rsidRDefault="000A3118">
            <w:pPr>
              <w:divId w:val="1676611581"/>
              <w:rPr>
                <w:rFonts w:eastAsia="Times New Roman"/>
              </w:rPr>
            </w:pPr>
            <w:hyperlink w:anchor="i07dfab43642542caa102b1019720d3b2_19" w:history="1">
              <w:r>
                <w:rPr>
                  <w:rStyle w:val="a3"/>
                  <w:rFonts w:eastAsia="Times New Roman"/>
                  <w:color w:val="0E32E1"/>
                  <w:sz w:val="20"/>
                  <w:szCs w:val="20"/>
                </w:rPr>
                <w:t xml:space="preserve">Consolidated Statements of Shareholders’ Equity for the </w:t>
              </w:r>
            </w:hyperlink>
            <w:r>
              <w:rPr>
                <w:rFonts w:eastAsia="Times New Roman"/>
                <w:color w:val="0E32E1"/>
                <w:sz w:val="20"/>
                <w:szCs w:val="20"/>
                <w:u w:val="single"/>
              </w:rPr>
              <w:t>Three and Nine</w:t>
            </w:r>
            <w:hyperlink w:anchor="i07dfab43642542caa102b1019720d3b2_19" w:history="1">
              <w:r>
                <w:rPr>
                  <w:rStyle w:val="a3"/>
                  <w:rFonts w:eastAsia="Times New Roman"/>
                  <w:color w:val="0E32E1"/>
                  <w:sz w:val="20"/>
                  <w:szCs w:val="20"/>
                </w:rPr>
                <w:t xml:space="preserve"> Months Ended </w:t>
              </w:r>
            </w:hyperlink>
            <w:r>
              <w:rPr>
                <w:rFonts w:eastAsia="Times New Roman"/>
                <w:color w:val="0E32E1"/>
                <w:sz w:val="20"/>
                <w:szCs w:val="20"/>
                <w:u w:val="single"/>
              </w:rPr>
              <w:t>September 30, 2020</w:t>
            </w:r>
            <w:hyperlink w:anchor="i07dfab43642542caa102b1019720d3b2_19" w:history="1">
              <w:r>
                <w:rPr>
                  <w:rStyle w:val="a3"/>
                  <w:rFonts w:eastAsia="Times New Roman"/>
                  <w:color w:val="0E32E1"/>
                  <w:sz w:val="20"/>
                  <w:szCs w:val="20"/>
                </w:rPr>
                <w:t xml:space="preserve"> and </w:t>
              </w:r>
            </w:hyperlink>
            <w:r>
              <w:rPr>
                <w:rFonts w:eastAsia="Times New Roman"/>
                <w:color w:val="0E32E1"/>
                <w:sz w:val="20"/>
                <w:szCs w:val="20"/>
                <w:u w:val="single"/>
              </w:rPr>
              <w:t>2019</w:t>
            </w:r>
          </w:p>
        </w:tc>
        <w:tc>
          <w:tcPr>
            <w:tcW w:w="0" w:type="auto"/>
            <w:gridSpan w:val="3"/>
            <w:tcMar>
              <w:top w:w="30" w:type="dxa"/>
              <w:left w:w="20" w:type="dxa"/>
              <w:bottom w:w="30" w:type="dxa"/>
              <w:right w:w="20" w:type="dxa"/>
            </w:tcMar>
            <w:hideMark/>
          </w:tcPr>
          <w:p w14:paraId="0AF50129" w14:textId="77777777" w:rsidR="00000000" w:rsidRDefault="000A3118">
            <w:pPr>
              <w:jc w:val="center"/>
              <w:rPr>
                <w:rFonts w:eastAsia="Times New Roman"/>
              </w:rPr>
            </w:pPr>
            <w:hyperlink w:anchor="i07dfab43642542caa102b1019720d3b2_19" w:history="1">
              <w:r>
                <w:rPr>
                  <w:rStyle w:val="a3"/>
                  <w:rFonts w:eastAsia="Times New Roman"/>
                  <w:color w:val="0E32E1"/>
                  <w:sz w:val="20"/>
                  <w:szCs w:val="20"/>
                </w:rPr>
                <w:t>3</w:t>
              </w:r>
            </w:hyperlink>
          </w:p>
        </w:tc>
      </w:tr>
      <w:tr w:rsidR="00000000" w14:paraId="421690BB" w14:textId="77777777">
        <w:trPr>
          <w:divId w:val="211232319"/>
        </w:trPr>
        <w:tc>
          <w:tcPr>
            <w:tcW w:w="0" w:type="auto"/>
            <w:gridSpan w:val="3"/>
            <w:tcMar>
              <w:top w:w="0" w:type="dxa"/>
              <w:left w:w="20" w:type="dxa"/>
              <w:bottom w:w="0" w:type="dxa"/>
              <w:right w:w="20" w:type="dxa"/>
            </w:tcMar>
            <w:vAlign w:val="center"/>
            <w:hideMark/>
          </w:tcPr>
          <w:p w14:paraId="76388509"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7154B004" w14:textId="77777777" w:rsidR="00000000" w:rsidRDefault="000A3118">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58F16C22" w14:textId="77777777" w:rsidR="00000000" w:rsidRDefault="000A3118">
            <w:pPr>
              <w:divId w:val="1613240281"/>
              <w:rPr>
                <w:rFonts w:eastAsia="Times New Roman"/>
              </w:rPr>
            </w:pPr>
            <w:hyperlink w:anchor="i07dfab43642542caa102b1019720d3b2_22" w:history="1">
              <w:r>
                <w:rPr>
                  <w:rStyle w:val="a3"/>
                  <w:rFonts w:eastAsia="Times New Roman"/>
                  <w:color w:val="0E32E1"/>
                  <w:sz w:val="20"/>
                  <w:szCs w:val="20"/>
                </w:rPr>
                <w:t xml:space="preserve">Consolidated Statements of Cash Flows for the </w:t>
              </w:r>
            </w:hyperlink>
            <w:r>
              <w:rPr>
                <w:rFonts w:eastAsia="Times New Roman"/>
                <w:color w:val="0E32E1"/>
                <w:sz w:val="20"/>
                <w:szCs w:val="20"/>
                <w:u w:val="single"/>
              </w:rPr>
              <w:t>Nine Months Ended</w:t>
            </w:r>
            <w:hyperlink w:anchor="i07dfab43642542caa102b1019720d3b2_22" w:history="1">
              <w:r>
                <w:rPr>
                  <w:rStyle w:val="a3"/>
                  <w:rFonts w:eastAsia="Times New Roman"/>
                  <w:color w:val="0E32E1"/>
                  <w:sz w:val="20"/>
                  <w:szCs w:val="20"/>
                </w:rPr>
                <w:t xml:space="preserve"> </w:t>
              </w:r>
            </w:hyperlink>
            <w:r>
              <w:rPr>
                <w:rFonts w:eastAsia="Times New Roman"/>
                <w:color w:val="0E32E1"/>
                <w:sz w:val="20"/>
                <w:szCs w:val="20"/>
                <w:u w:val="single"/>
              </w:rPr>
              <w:t>September 30, 2020</w:t>
            </w:r>
            <w:hyperlink w:anchor="i07dfab43642542caa102b1019720d3b2_22" w:history="1">
              <w:r>
                <w:rPr>
                  <w:rStyle w:val="a3"/>
                  <w:rFonts w:eastAsia="Times New Roman"/>
                  <w:color w:val="0E32E1"/>
                  <w:sz w:val="20"/>
                  <w:szCs w:val="20"/>
                </w:rPr>
                <w:t xml:space="preserve"> and </w:t>
              </w:r>
            </w:hyperlink>
            <w:r>
              <w:rPr>
                <w:rFonts w:eastAsia="Times New Roman"/>
                <w:color w:val="0E32E1"/>
                <w:sz w:val="20"/>
                <w:szCs w:val="20"/>
                <w:u w:val="single"/>
              </w:rPr>
              <w:t>2019</w:t>
            </w:r>
          </w:p>
        </w:tc>
        <w:tc>
          <w:tcPr>
            <w:tcW w:w="0" w:type="auto"/>
            <w:gridSpan w:val="3"/>
            <w:tcMar>
              <w:top w:w="30" w:type="dxa"/>
              <w:left w:w="20" w:type="dxa"/>
              <w:bottom w:w="30" w:type="dxa"/>
              <w:right w:w="20" w:type="dxa"/>
            </w:tcMar>
            <w:hideMark/>
          </w:tcPr>
          <w:p w14:paraId="40CE36BC" w14:textId="77777777" w:rsidR="00000000" w:rsidRDefault="000A3118">
            <w:pPr>
              <w:jc w:val="center"/>
              <w:rPr>
                <w:rFonts w:eastAsia="Times New Roman"/>
              </w:rPr>
            </w:pPr>
            <w:hyperlink w:anchor="i07dfab43642542caa102b1019720d3b2_22" w:history="1">
              <w:r>
                <w:rPr>
                  <w:rStyle w:val="a3"/>
                  <w:rFonts w:eastAsia="Times New Roman"/>
                  <w:color w:val="0E32E1"/>
                  <w:sz w:val="20"/>
                  <w:szCs w:val="20"/>
                </w:rPr>
                <w:t>5</w:t>
              </w:r>
            </w:hyperlink>
          </w:p>
        </w:tc>
      </w:tr>
      <w:tr w:rsidR="00000000" w14:paraId="3CBCC06C" w14:textId="77777777">
        <w:trPr>
          <w:divId w:val="211232319"/>
        </w:trPr>
        <w:tc>
          <w:tcPr>
            <w:tcW w:w="0" w:type="auto"/>
            <w:gridSpan w:val="3"/>
            <w:tcMar>
              <w:top w:w="0" w:type="dxa"/>
              <w:left w:w="20" w:type="dxa"/>
              <w:bottom w:w="0" w:type="dxa"/>
              <w:right w:w="20" w:type="dxa"/>
            </w:tcMar>
            <w:vAlign w:val="center"/>
            <w:hideMark/>
          </w:tcPr>
          <w:p w14:paraId="76BB25E1"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04A921AD" w14:textId="77777777" w:rsidR="00000000" w:rsidRDefault="000A3118">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677DA3EA" w14:textId="77777777" w:rsidR="00000000" w:rsidRDefault="000A3118">
            <w:pPr>
              <w:divId w:val="1557472608"/>
              <w:rPr>
                <w:rFonts w:eastAsia="Times New Roman"/>
              </w:rPr>
            </w:pPr>
            <w:hyperlink w:anchor="i07dfab43642542caa102b1019720d3b2_25" w:history="1">
              <w:r>
                <w:rPr>
                  <w:rStyle w:val="a3"/>
                  <w:rFonts w:eastAsia="Times New Roman"/>
                  <w:color w:val="0E32E1"/>
                  <w:sz w:val="20"/>
                  <w:szCs w:val="20"/>
                </w:rPr>
                <w:t>Notes to the Consolidated Financial Statements</w:t>
              </w:r>
            </w:hyperlink>
          </w:p>
        </w:tc>
        <w:tc>
          <w:tcPr>
            <w:tcW w:w="0" w:type="auto"/>
            <w:gridSpan w:val="3"/>
            <w:tcMar>
              <w:top w:w="30" w:type="dxa"/>
              <w:left w:w="20" w:type="dxa"/>
              <w:bottom w:w="30" w:type="dxa"/>
              <w:right w:w="20" w:type="dxa"/>
            </w:tcMar>
            <w:hideMark/>
          </w:tcPr>
          <w:p w14:paraId="5A063F71" w14:textId="77777777" w:rsidR="00000000" w:rsidRDefault="000A3118">
            <w:pPr>
              <w:jc w:val="center"/>
              <w:rPr>
                <w:rFonts w:eastAsia="Times New Roman"/>
              </w:rPr>
            </w:pPr>
            <w:hyperlink w:anchor="i07dfab43642542caa102b1019720d3b2_25" w:history="1">
              <w:r>
                <w:rPr>
                  <w:rStyle w:val="a3"/>
                  <w:rFonts w:eastAsia="Times New Roman"/>
                  <w:color w:val="0E32E1"/>
                  <w:sz w:val="20"/>
                  <w:szCs w:val="20"/>
                </w:rPr>
                <w:t>7</w:t>
              </w:r>
            </w:hyperlink>
          </w:p>
        </w:tc>
      </w:tr>
      <w:tr w:rsidR="00000000" w14:paraId="5CAE2372" w14:textId="77777777">
        <w:trPr>
          <w:divId w:val="211232319"/>
        </w:trPr>
        <w:tc>
          <w:tcPr>
            <w:tcW w:w="0" w:type="auto"/>
            <w:gridSpan w:val="3"/>
            <w:tcMar>
              <w:top w:w="0" w:type="dxa"/>
              <w:left w:w="20" w:type="dxa"/>
              <w:bottom w:w="0" w:type="dxa"/>
              <w:right w:w="20" w:type="dxa"/>
            </w:tcMar>
            <w:vAlign w:val="center"/>
            <w:hideMark/>
          </w:tcPr>
          <w:p w14:paraId="302EB811"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0B582CEF"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50C08E9C"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062BE2F2" w14:textId="77777777" w:rsidR="00000000" w:rsidRDefault="000A3118">
            <w:pPr>
              <w:jc w:val="center"/>
              <w:rPr>
                <w:rFonts w:eastAsia="Times New Roman"/>
              </w:rPr>
            </w:pPr>
            <w:r>
              <w:rPr>
                <w:rFonts w:eastAsia="Times New Roman"/>
                <w:color w:val="0E32E1"/>
                <w:sz w:val="20"/>
                <w:szCs w:val="20"/>
              </w:rPr>
              <w:t> </w:t>
            </w:r>
          </w:p>
        </w:tc>
      </w:tr>
      <w:tr w:rsidR="00000000" w14:paraId="5D847B09" w14:textId="77777777">
        <w:trPr>
          <w:divId w:val="211232319"/>
        </w:trPr>
        <w:tc>
          <w:tcPr>
            <w:tcW w:w="0" w:type="auto"/>
            <w:gridSpan w:val="3"/>
            <w:tcMar>
              <w:top w:w="0" w:type="dxa"/>
              <w:left w:w="20" w:type="dxa"/>
              <w:bottom w:w="0" w:type="dxa"/>
              <w:right w:w="20" w:type="dxa"/>
            </w:tcMar>
            <w:vAlign w:val="center"/>
            <w:hideMark/>
          </w:tcPr>
          <w:p w14:paraId="1F92BBD6"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5B3CB80A" w14:textId="77777777" w:rsidR="00000000" w:rsidRDefault="000A3118">
            <w:pPr>
              <w:divId w:val="1798376046"/>
              <w:rPr>
                <w:rFonts w:eastAsia="Times New Roman"/>
              </w:rPr>
            </w:pPr>
            <w:hyperlink w:anchor="i07dfab43642542caa102b1019720d3b2_82" w:history="1">
              <w:r>
                <w:rPr>
                  <w:rStyle w:val="a3"/>
                  <w:rFonts w:eastAsia="Times New Roman"/>
                  <w:color w:val="0E32E1"/>
                  <w:sz w:val="20"/>
                  <w:szCs w:val="20"/>
                </w:rPr>
                <w:t>Item 2.</w:t>
              </w:r>
            </w:hyperlink>
          </w:p>
        </w:tc>
        <w:tc>
          <w:tcPr>
            <w:tcW w:w="0" w:type="auto"/>
            <w:gridSpan w:val="3"/>
            <w:tcMar>
              <w:top w:w="30" w:type="dxa"/>
              <w:left w:w="20" w:type="dxa"/>
              <w:bottom w:w="30" w:type="dxa"/>
              <w:right w:w="20" w:type="dxa"/>
            </w:tcMar>
            <w:hideMark/>
          </w:tcPr>
          <w:p w14:paraId="436D336C" w14:textId="77777777" w:rsidR="00000000" w:rsidRDefault="000A3118">
            <w:pPr>
              <w:divId w:val="550380516"/>
              <w:rPr>
                <w:rFonts w:eastAsia="Times New Roman"/>
              </w:rPr>
            </w:pPr>
            <w:hyperlink w:anchor="i07dfab43642542caa102b1019720d3b2_82" w:history="1">
              <w:r>
                <w:rPr>
                  <w:rStyle w:val="a3"/>
                  <w:rFonts w:eastAsia="Times New Roman"/>
                  <w:color w:val="0E32E1"/>
                  <w:sz w:val="20"/>
                  <w:szCs w:val="20"/>
                </w:rPr>
                <w:t>Management’</w:t>
              </w:r>
              <w:r>
                <w:rPr>
                  <w:rStyle w:val="a3"/>
                  <w:rFonts w:eastAsia="Times New Roman"/>
                  <w:color w:val="0E32E1"/>
                  <w:sz w:val="20"/>
                  <w:szCs w:val="20"/>
                </w:rPr>
                <w:t>s Discussion and Analysis of Financial Condition and Results of Operations</w:t>
              </w:r>
            </w:hyperlink>
          </w:p>
        </w:tc>
        <w:tc>
          <w:tcPr>
            <w:tcW w:w="0" w:type="auto"/>
            <w:gridSpan w:val="3"/>
            <w:tcMar>
              <w:top w:w="30" w:type="dxa"/>
              <w:left w:w="20" w:type="dxa"/>
              <w:bottom w:w="30" w:type="dxa"/>
              <w:right w:w="20" w:type="dxa"/>
            </w:tcMar>
            <w:hideMark/>
          </w:tcPr>
          <w:p w14:paraId="4F5A7D44" w14:textId="77777777" w:rsidR="00000000" w:rsidRDefault="000A3118">
            <w:pPr>
              <w:jc w:val="center"/>
              <w:rPr>
                <w:rFonts w:eastAsia="Times New Roman"/>
              </w:rPr>
            </w:pPr>
            <w:hyperlink w:anchor="i07dfab43642542caa102b1019720d3b2_82" w:history="1">
              <w:r>
                <w:rPr>
                  <w:rStyle w:val="a3"/>
                  <w:rFonts w:eastAsia="Times New Roman"/>
                  <w:color w:val="0E32E1"/>
                  <w:sz w:val="20"/>
                  <w:szCs w:val="20"/>
                </w:rPr>
                <w:t>25</w:t>
              </w:r>
            </w:hyperlink>
          </w:p>
        </w:tc>
      </w:tr>
      <w:tr w:rsidR="00000000" w14:paraId="51412355" w14:textId="77777777">
        <w:trPr>
          <w:divId w:val="211232319"/>
        </w:trPr>
        <w:tc>
          <w:tcPr>
            <w:tcW w:w="0" w:type="auto"/>
            <w:gridSpan w:val="3"/>
            <w:tcMar>
              <w:top w:w="0" w:type="dxa"/>
              <w:left w:w="20" w:type="dxa"/>
              <w:bottom w:w="0" w:type="dxa"/>
              <w:right w:w="20" w:type="dxa"/>
            </w:tcMar>
            <w:vAlign w:val="center"/>
            <w:hideMark/>
          </w:tcPr>
          <w:p w14:paraId="3E70E03C"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0B574115"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2D686998"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19A7B115" w14:textId="77777777" w:rsidR="00000000" w:rsidRDefault="000A3118">
            <w:pPr>
              <w:jc w:val="center"/>
              <w:rPr>
                <w:rFonts w:eastAsia="Times New Roman"/>
              </w:rPr>
            </w:pPr>
            <w:r>
              <w:rPr>
                <w:rFonts w:eastAsia="Times New Roman"/>
                <w:color w:val="0E32E1"/>
                <w:sz w:val="20"/>
                <w:szCs w:val="20"/>
              </w:rPr>
              <w:t> </w:t>
            </w:r>
          </w:p>
        </w:tc>
      </w:tr>
      <w:tr w:rsidR="00000000" w14:paraId="393A6477" w14:textId="77777777">
        <w:trPr>
          <w:divId w:val="211232319"/>
        </w:trPr>
        <w:tc>
          <w:tcPr>
            <w:tcW w:w="0" w:type="auto"/>
            <w:gridSpan w:val="3"/>
            <w:tcMar>
              <w:top w:w="0" w:type="dxa"/>
              <w:left w:w="20" w:type="dxa"/>
              <w:bottom w:w="0" w:type="dxa"/>
              <w:right w:w="20" w:type="dxa"/>
            </w:tcMar>
            <w:vAlign w:val="center"/>
            <w:hideMark/>
          </w:tcPr>
          <w:p w14:paraId="4AF55044"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4015191E" w14:textId="77777777" w:rsidR="00000000" w:rsidRDefault="000A3118">
            <w:pPr>
              <w:divId w:val="47848169"/>
              <w:rPr>
                <w:rFonts w:eastAsia="Times New Roman"/>
              </w:rPr>
            </w:pPr>
            <w:hyperlink w:anchor="i07dfab43642542caa102b1019720d3b2_94" w:history="1">
              <w:r>
                <w:rPr>
                  <w:rStyle w:val="a3"/>
                  <w:rFonts w:eastAsia="Times New Roman"/>
                  <w:color w:val="0E32E1"/>
                  <w:sz w:val="20"/>
                  <w:szCs w:val="20"/>
                </w:rPr>
                <w:t>Item 3.</w:t>
              </w:r>
            </w:hyperlink>
          </w:p>
        </w:tc>
        <w:tc>
          <w:tcPr>
            <w:tcW w:w="0" w:type="auto"/>
            <w:gridSpan w:val="3"/>
            <w:tcMar>
              <w:top w:w="30" w:type="dxa"/>
              <w:left w:w="20" w:type="dxa"/>
              <w:bottom w:w="30" w:type="dxa"/>
              <w:right w:w="20" w:type="dxa"/>
            </w:tcMar>
            <w:hideMark/>
          </w:tcPr>
          <w:p w14:paraId="04717AA1" w14:textId="77777777" w:rsidR="00000000" w:rsidRDefault="000A3118">
            <w:pPr>
              <w:divId w:val="2083017070"/>
              <w:rPr>
                <w:rFonts w:eastAsia="Times New Roman"/>
              </w:rPr>
            </w:pPr>
            <w:hyperlink w:anchor="i07dfab43642542caa102b1019720d3b2_94" w:history="1">
              <w:r>
                <w:rPr>
                  <w:rStyle w:val="a3"/>
                  <w:rFonts w:eastAsia="Times New Roman"/>
                  <w:color w:val="0E32E1"/>
                  <w:sz w:val="20"/>
                  <w:szCs w:val="20"/>
                </w:rPr>
                <w:t>Quantitative and Qualitative Disclosures About Market Risk</w:t>
              </w:r>
            </w:hyperlink>
          </w:p>
        </w:tc>
        <w:tc>
          <w:tcPr>
            <w:tcW w:w="0" w:type="auto"/>
            <w:gridSpan w:val="3"/>
            <w:tcMar>
              <w:top w:w="30" w:type="dxa"/>
              <w:left w:w="20" w:type="dxa"/>
              <w:bottom w:w="30" w:type="dxa"/>
              <w:right w:w="20" w:type="dxa"/>
            </w:tcMar>
            <w:hideMark/>
          </w:tcPr>
          <w:p w14:paraId="107A2717" w14:textId="77777777" w:rsidR="00000000" w:rsidRDefault="000A3118">
            <w:pPr>
              <w:jc w:val="center"/>
              <w:rPr>
                <w:rFonts w:eastAsia="Times New Roman"/>
              </w:rPr>
            </w:pPr>
            <w:hyperlink w:anchor="i07dfab43642542caa102b1019720d3b2_94" w:history="1">
              <w:r>
                <w:rPr>
                  <w:rStyle w:val="a3"/>
                  <w:rFonts w:eastAsia="Times New Roman"/>
                  <w:color w:val="0E32E1"/>
                  <w:sz w:val="20"/>
                  <w:szCs w:val="20"/>
                </w:rPr>
                <w:t>39</w:t>
              </w:r>
            </w:hyperlink>
          </w:p>
        </w:tc>
      </w:tr>
      <w:tr w:rsidR="00000000" w14:paraId="4A23AFC2" w14:textId="77777777">
        <w:trPr>
          <w:divId w:val="211232319"/>
        </w:trPr>
        <w:tc>
          <w:tcPr>
            <w:tcW w:w="0" w:type="auto"/>
            <w:gridSpan w:val="3"/>
            <w:tcMar>
              <w:top w:w="0" w:type="dxa"/>
              <w:left w:w="20" w:type="dxa"/>
              <w:bottom w:w="0" w:type="dxa"/>
              <w:right w:w="20" w:type="dxa"/>
            </w:tcMar>
            <w:vAlign w:val="center"/>
            <w:hideMark/>
          </w:tcPr>
          <w:p w14:paraId="102CEB2C"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2646A478"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7F204CE2"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15326A46" w14:textId="77777777" w:rsidR="00000000" w:rsidRDefault="000A3118">
            <w:pPr>
              <w:jc w:val="center"/>
              <w:rPr>
                <w:rFonts w:eastAsia="Times New Roman"/>
              </w:rPr>
            </w:pPr>
            <w:r>
              <w:rPr>
                <w:rFonts w:eastAsia="Times New Roman"/>
                <w:color w:val="0E32E1"/>
                <w:sz w:val="20"/>
                <w:szCs w:val="20"/>
              </w:rPr>
              <w:t> </w:t>
            </w:r>
          </w:p>
        </w:tc>
      </w:tr>
      <w:tr w:rsidR="00000000" w14:paraId="58B3FBCA" w14:textId="77777777">
        <w:trPr>
          <w:divId w:val="211232319"/>
        </w:trPr>
        <w:tc>
          <w:tcPr>
            <w:tcW w:w="0" w:type="auto"/>
            <w:gridSpan w:val="3"/>
            <w:tcMar>
              <w:top w:w="0" w:type="dxa"/>
              <w:left w:w="20" w:type="dxa"/>
              <w:bottom w:w="0" w:type="dxa"/>
              <w:right w:w="20" w:type="dxa"/>
            </w:tcMar>
            <w:vAlign w:val="center"/>
            <w:hideMark/>
          </w:tcPr>
          <w:p w14:paraId="561A8562"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527BED9F" w14:textId="77777777" w:rsidR="00000000" w:rsidRDefault="000A3118">
            <w:pPr>
              <w:divId w:val="159546028"/>
              <w:rPr>
                <w:rFonts w:eastAsia="Times New Roman"/>
              </w:rPr>
            </w:pPr>
            <w:hyperlink w:anchor="i07dfab43642542caa102b1019720d3b2_97" w:history="1">
              <w:r>
                <w:rPr>
                  <w:rStyle w:val="a3"/>
                  <w:rFonts w:eastAsia="Times New Roman"/>
                  <w:color w:val="0E32E1"/>
                  <w:sz w:val="20"/>
                  <w:szCs w:val="20"/>
                </w:rPr>
                <w:t>Item 4.</w:t>
              </w:r>
            </w:hyperlink>
          </w:p>
        </w:tc>
        <w:tc>
          <w:tcPr>
            <w:tcW w:w="0" w:type="auto"/>
            <w:gridSpan w:val="3"/>
            <w:tcMar>
              <w:top w:w="30" w:type="dxa"/>
              <w:left w:w="20" w:type="dxa"/>
              <w:bottom w:w="30" w:type="dxa"/>
              <w:right w:w="20" w:type="dxa"/>
            </w:tcMar>
            <w:hideMark/>
          </w:tcPr>
          <w:p w14:paraId="7757D19D" w14:textId="77777777" w:rsidR="00000000" w:rsidRDefault="000A3118">
            <w:pPr>
              <w:divId w:val="848521104"/>
              <w:rPr>
                <w:rFonts w:eastAsia="Times New Roman"/>
              </w:rPr>
            </w:pPr>
            <w:hyperlink w:anchor="i07dfab43642542caa102b1019720d3b2_97" w:history="1">
              <w:r>
                <w:rPr>
                  <w:rStyle w:val="a3"/>
                  <w:rFonts w:eastAsia="Times New Roman"/>
                  <w:color w:val="0E32E1"/>
                  <w:sz w:val="20"/>
                  <w:szCs w:val="20"/>
                </w:rPr>
                <w:t>Controls and Procedures</w:t>
              </w:r>
            </w:hyperlink>
          </w:p>
        </w:tc>
        <w:tc>
          <w:tcPr>
            <w:tcW w:w="0" w:type="auto"/>
            <w:gridSpan w:val="3"/>
            <w:tcMar>
              <w:top w:w="30" w:type="dxa"/>
              <w:left w:w="20" w:type="dxa"/>
              <w:bottom w:w="30" w:type="dxa"/>
              <w:right w:w="20" w:type="dxa"/>
            </w:tcMar>
            <w:hideMark/>
          </w:tcPr>
          <w:p w14:paraId="7F11609A" w14:textId="77777777" w:rsidR="00000000" w:rsidRDefault="000A3118">
            <w:pPr>
              <w:jc w:val="center"/>
              <w:rPr>
                <w:rFonts w:eastAsia="Times New Roman"/>
              </w:rPr>
            </w:pPr>
            <w:hyperlink w:anchor="i07dfab43642542caa102b1019720d3b2_97" w:history="1">
              <w:r>
                <w:rPr>
                  <w:rStyle w:val="a3"/>
                  <w:rFonts w:eastAsia="Times New Roman"/>
                  <w:color w:val="0E32E1"/>
                  <w:sz w:val="20"/>
                  <w:szCs w:val="20"/>
                </w:rPr>
                <w:t>39</w:t>
              </w:r>
            </w:hyperlink>
          </w:p>
        </w:tc>
      </w:tr>
      <w:tr w:rsidR="00000000" w14:paraId="1A746403" w14:textId="77777777">
        <w:trPr>
          <w:divId w:val="211232319"/>
        </w:trPr>
        <w:tc>
          <w:tcPr>
            <w:tcW w:w="0" w:type="auto"/>
            <w:gridSpan w:val="3"/>
            <w:tcMar>
              <w:top w:w="30" w:type="dxa"/>
              <w:left w:w="20" w:type="dxa"/>
              <w:bottom w:w="30" w:type="dxa"/>
              <w:right w:w="20" w:type="dxa"/>
            </w:tcMar>
            <w:hideMark/>
          </w:tcPr>
          <w:p w14:paraId="0BCF5A5D"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2CCA5D6E"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6A6F0EEA"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419C0B90" w14:textId="77777777" w:rsidR="00000000" w:rsidRDefault="000A3118">
            <w:pPr>
              <w:jc w:val="center"/>
              <w:rPr>
                <w:rFonts w:eastAsia="Times New Roman"/>
              </w:rPr>
            </w:pPr>
            <w:r>
              <w:rPr>
                <w:rFonts w:eastAsia="Times New Roman"/>
                <w:color w:val="0E32E1"/>
                <w:sz w:val="20"/>
                <w:szCs w:val="20"/>
              </w:rPr>
              <w:t> </w:t>
            </w:r>
          </w:p>
        </w:tc>
      </w:tr>
      <w:tr w:rsidR="00000000" w14:paraId="49085964" w14:textId="77777777">
        <w:trPr>
          <w:divId w:val="211232319"/>
        </w:trPr>
        <w:tc>
          <w:tcPr>
            <w:tcW w:w="0" w:type="auto"/>
            <w:gridSpan w:val="3"/>
            <w:tcMar>
              <w:top w:w="30" w:type="dxa"/>
              <w:left w:w="20" w:type="dxa"/>
              <w:bottom w:w="30" w:type="dxa"/>
              <w:right w:w="20" w:type="dxa"/>
            </w:tcMar>
            <w:vAlign w:val="bottom"/>
            <w:hideMark/>
          </w:tcPr>
          <w:p w14:paraId="7E2D929D" w14:textId="77777777" w:rsidR="00000000" w:rsidRDefault="000A3118">
            <w:pPr>
              <w:divId w:val="434789604"/>
              <w:rPr>
                <w:rFonts w:eastAsia="Times New Roman"/>
              </w:rPr>
            </w:pPr>
            <w:hyperlink w:anchor="i07dfab43642542caa102b1019720d3b2_100" w:history="1">
              <w:r>
                <w:rPr>
                  <w:rStyle w:val="a3"/>
                  <w:rFonts w:eastAsia="Times New Roman"/>
                  <w:color w:val="0E32E1"/>
                  <w:sz w:val="20"/>
                  <w:szCs w:val="20"/>
                </w:rPr>
                <w:t>Part II.</w:t>
              </w:r>
            </w:hyperlink>
          </w:p>
        </w:tc>
        <w:tc>
          <w:tcPr>
            <w:tcW w:w="0" w:type="auto"/>
            <w:gridSpan w:val="6"/>
            <w:tcMar>
              <w:top w:w="30" w:type="dxa"/>
              <w:left w:w="20" w:type="dxa"/>
              <w:bottom w:w="30" w:type="dxa"/>
              <w:right w:w="20" w:type="dxa"/>
            </w:tcMar>
            <w:vAlign w:val="bottom"/>
            <w:hideMark/>
          </w:tcPr>
          <w:p w14:paraId="355E94D6" w14:textId="77777777" w:rsidR="00000000" w:rsidRDefault="000A3118">
            <w:pPr>
              <w:divId w:val="820778600"/>
              <w:rPr>
                <w:rFonts w:eastAsia="Times New Roman"/>
              </w:rPr>
            </w:pPr>
            <w:hyperlink w:anchor="i07dfab43642542caa102b1019720d3b2_100" w:history="1">
              <w:r>
                <w:rPr>
                  <w:rStyle w:val="a3"/>
                  <w:rFonts w:eastAsia="Times New Roman"/>
                  <w:color w:val="0E32E1"/>
                  <w:sz w:val="20"/>
                  <w:szCs w:val="20"/>
                </w:rPr>
                <w:t>Other Information</w:t>
              </w:r>
            </w:hyperlink>
          </w:p>
        </w:tc>
        <w:tc>
          <w:tcPr>
            <w:tcW w:w="0" w:type="auto"/>
            <w:gridSpan w:val="3"/>
            <w:tcMar>
              <w:top w:w="0" w:type="dxa"/>
              <w:left w:w="20" w:type="dxa"/>
              <w:bottom w:w="0" w:type="dxa"/>
              <w:right w:w="20" w:type="dxa"/>
            </w:tcMar>
            <w:vAlign w:val="center"/>
            <w:hideMark/>
          </w:tcPr>
          <w:p w14:paraId="08809CB4" w14:textId="77777777" w:rsidR="00000000" w:rsidRDefault="000A3118">
            <w:pPr>
              <w:rPr>
                <w:rFonts w:eastAsia="Times New Roman"/>
              </w:rPr>
            </w:pPr>
          </w:p>
        </w:tc>
      </w:tr>
      <w:tr w:rsidR="00000000" w14:paraId="5B0BF6BE" w14:textId="77777777">
        <w:trPr>
          <w:divId w:val="211232319"/>
        </w:trPr>
        <w:tc>
          <w:tcPr>
            <w:tcW w:w="0" w:type="auto"/>
            <w:gridSpan w:val="3"/>
            <w:tcMar>
              <w:top w:w="30" w:type="dxa"/>
              <w:left w:w="20" w:type="dxa"/>
              <w:bottom w:w="30" w:type="dxa"/>
              <w:right w:w="20" w:type="dxa"/>
            </w:tcMar>
            <w:hideMark/>
          </w:tcPr>
          <w:p w14:paraId="605A2D6A"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7E8D1E69"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06D4995C"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250C119A" w14:textId="77777777" w:rsidR="00000000" w:rsidRDefault="000A3118">
            <w:pPr>
              <w:jc w:val="center"/>
              <w:rPr>
                <w:rFonts w:eastAsia="Times New Roman"/>
              </w:rPr>
            </w:pPr>
            <w:r>
              <w:rPr>
                <w:rFonts w:eastAsia="Times New Roman"/>
                <w:color w:val="0E32E1"/>
                <w:sz w:val="20"/>
                <w:szCs w:val="20"/>
              </w:rPr>
              <w:t> </w:t>
            </w:r>
          </w:p>
        </w:tc>
      </w:tr>
      <w:tr w:rsidR="00000000" w14:paraId="40B986F6" w14:textId="77777777">
        <w:trPr>
          <w:divId w:val="211232319"/>
        </w:trPr>
        <w:tc>
          <w:tcPr>
            <w:tcW w:w="0" w:type="auto"/>
            <w:gridSpan w:val="3"/>
            <w:tcMar>
              <w:top w:w="0" w:type="dxa"/>
              <w:left w:w="20" w:type="dxa"/>
              <w:bottom w:w="0" w:type="dxa"/>
              <w:right w:w="20" w:type="dxa"/>
            </w:tcMar>
            <w:vAlign w:val="center"/>
            <w:hideMark/>
          </w:tcPr>
          <w:p w14:paraId="7505C0E5"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78C60447" w14:textId="77777777" w:rsidR="00000000" w:rsidRDefault="000A3118">
            <w:pPr>
              <w:divId w:val="337930036"/>
              <w:rPr>
                <w:rFonts w:eastAsia="Times New Roman"/>
              </w:rPr>
            </w:pPr>
            <w:hyperlink w:anchor="i07dfab43642542caa102b1019720d3b2_103" w:history="1">
              <w:r>
                <w:rPr>
                  <w:rStyle w:val="a3"/>
                  <w:rFonts w:eastAsia="Times New Roman"/>
                  <w:color w:val="0E32E1"/>
                  <w:sz w:val="20"/>
                  <w:szCs w:val="20"/>
                </w:rPr>
                <w:t>Item 1.</w:t>
              </w:r>
            </w:hyperlink>
          </w:p>
        </w:tc>
        <w:tc>
          <w:tcPr>
            <w:tcW w:w="0" w:type="auto"/>
            <w:gridSpan w:val="3"/>
            <w:tcMar>
              <w:top w:w="30" w:type="dxa"/>
              <w:left w:w="20" w:type="dxa"/>
              <w:bottom w:w="30" w:type="dxa"/>
              <w:right w:w="20" w:type="dxa"/>
            </w:tcMar>
            <w:hideMark/>
          </w:tcPr>
          <w:p w14:paraId="5F9F17FE" w14:textId="77777777" w:rsidR="00000000" w:rsidRDefault="000A3118">
            <w:pPr>
              <w:divId w:val="1606227585"/>
              <w:rPr>
                <w:rFonts w:eastAsia="Times New Roman"/>
              </w:rPr>
            </w:pPr>
            <w:hyperlink w:anchor="i07dfab43642542caa102b1019720d3b2_103" w:history="1">
              <w:r>
                <w:rPr>
                  <w:rStyle w:val="a3"/>
                  <w:rFonts w:eastAsia="Times New Roman"/>
                  <w:color w:val="0E32E1"/>
                  <w:sz w:val="20"/>
                  <w:szCs w:val="20"/>
                </w:rPr>
                <w:t>Legal Proceedings</w:t>
              </w:r>
            </w:hyperlink>
          </w:p>
        </w:tc>
        <w:tc>
          <w:tcPr>
            <w:tcW w:w="0" w:type="auto"/>
            <w:gridSpan w:val="3"/>
            <w:tcMar>
              <w:top w:w="30" w:type="dxa"/>
              <w:left w:w="20" w:type="dxa"/>
              <w:bottom w:w="30" w:type="dxa"/>
              <w:right w:w="20" w:type="dxa"/>
            </w:tcMar>
            <w:hideMark/>
          </w:tcPr>
          <w:p w14:paraId="75686361" w14:textId="77777777" w:rsidR="00000000" w:rsidRDefault="000A3118">
            <w:pPr>
              <w:jc w:val="center"/>
              <w:rPr>
                <w:rFonts w:eastAsia="Times New Roman"/>
              </w:rPr>
            </w:pPr>
            <w:hyperlink w:anchor="i07dfab43642542caa102b1019720d3b2_103" w:history="1">
              <w:r>
                <w:rPr>
                  <w:rStyle w:val="a3"/>
                  <w:rFonts w:eastAsia="Times New Roman"/>
                  <w:color w:val="0E32E1"/>
                  <w:sz w:val="20"/>
                  <w:szCs w:val="20"/>
                </w:rPr>
                <w:t>40</w:t>
              </w:r>
            </w:hyperlink>
          </w:p>
        </w:tc>
      </w:tr>
      <w:tr w:rsidR="00000000" w14:paraId="293B4538" w14:textId="77777777">
        <w:trPr>
          <w:divId w:val="211232319"/>
        </w:trPr>
        <w:tc>
          <w:tcPr>
            <w:tcW w:w="0" w:type="auto"/>
            <w:gridSpan w:val="3"/>
            <w:tcMar>
              <w:top w:w="0" w:type="dxa"/>
              <w:left w:w="20" w:type="dxa"/>
              <w:bottom w:w="0" w:type="dxa"/>
              <w:right w:w="20" w:type="dxa"/>
            </w:tcMar>
            <w:vAlign w:val="center"/>
            <w:hideMark/>
          </w:tcPr>
          <w:p w14:paraId="287B559F"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1E908ED4"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2AC41B3B"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40557376" w14:textId="77777777" w:rsidR="00000000" w:rsidRDefault="000A3118">
            <w:pPr>
              <w:jc w:val="center"/>
              <w:rPr>
                <w:rFonts w:eastAsia="Times New Roman"/>
              </w:rPr>
            </w:pPr>
            <w:r>
              <w:rPr>
                <w:rFonts w:eastAsia="Times New Roman"/>
                <w:color w:val="0E32E1"/>
                <w:sz w:val="20"/>
                <w:szCs w:val="20"/>
              </w:rPr>
              <w:t> </w:t>
            </w:r>
          </w:p>
        </w:tc>
      </w:tr>
      <w:tr w:rsidR="00000000" w14:paraId="21E714AC" w14:textId="77777777">
        <w:trPr>
          <w:divId w:val="211232319"/>
        </w:trPr>
        <w:tc>
          <w:tcPr>
            <w:tcW w:w="0" w:type="auto"/>
            <w:gridSpan w:val="3"/>
            <w:tcMar>
              <w:top w:w="0" w:type="dxa"/>
              <w:left w:w="20" w:type="dxa"/>
              <w:bottom w:w="0" w:type="dxa"/>
              <w:right w:w="20" w:type="dxa"/>
            </w:tcMar>
            <w:vAlign w:val="center"/>
            <w:hideMark/>
          </w:tcPr>
          <w:p w14:paraId="61DB3688"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31C7DA4C" w14:textId="77777777" w:rsidR="00000000" w:rsidRDefault="000A3118">
            <w:pPr>
              <w:divId w:val="1340279420"/>
              <w:rPr>
                <w:rFonts w:eastAsia="Times New Roman"/>
              </w:rPr>
            </w:pPr>
            <w:hyperlink w:anchor="i07dfab43642542caa102b1019720d3b2_106" w:history="1">
              <w:r>
                <w:rPr>
                  <w:rStyle w:val="a3"/>
                  <w:rFonts w:eastAsia="Times New Roman"/>
                  <w:color w:val="0E32E1"/>
                  <w:sz w:val="20"/>
                  <w:szCs w:val="20"/>
                </w:rPr>
                <w:t>Item 1A.</w:t>
              </w:r>
            </w:hyperlink>
          </w:p>
        </w:tc>
        <w:tc>
          <w:tcPr>
            <w:tcW w:w="0" w:type="auto"/>
            <w:gridSpan w:val="3"/>
            <w:tcMar>
              <w:top w:w="30" w:type="dxa"/>
              <w:left w:w="20" w:type="dxa"/>
              <w:bottom w:w="30" w:type="dxa"/>
              <w:right w:w="20" w:type="dxa"/>
            </w:tcMar>
            <w:hideMark/>
          </w:tcPr>
          <w:p w14:paraId="5B0E55BF" w14:textId="77777777" w:rsidR="00000000" w:rsidRDefault="000A3118">
            <w:pPr>
              <w:divId w:val="1342465756"/>
              <w:rPr>
                <w:rFonts w:eastAsia="Times New Roman"/>
              </w:rPr>
            </w:pPr>
            <w:hyperlink w:anchor="i07dfab43642542caa102b1019720d3b2_106" w:history="1">
              <w:r>
                <w:rPr>
                  <w:rStyle w:val="a3"/>
                  <w:rFonts w:eastAsia="Times New Roman"/>
                  <w:color w:val="0E32E1"/>
                  <w:sz w:val="20"/>
                  <w:szCs w:val="20"/>
                </w:rPr>
                <w:t>Risk Factors</w:t>
              </w:r>
            </w:hyperlink>
          </w:p>
        </w:tc>
        <w:tc>
          <w:tcPr>
            <w:tcW w:w="0" w:type="auto"/>
            <w:gridSpan w:val="3"/>
            <w:tcMar>
              <w:top w:w="30" w:type="dxa"/>
              <w:left w:w="20" w:type="dxa"/>
              <w:bottom w:w="30" w:type="dxa"/>
              <w:right w:w="20" w:type="dxa"/>
            </w:tcMar>
            <w:hideMark/>
          </w:tcPr>
          <w:p w14:paraId="4FFC6CCF" w14:textId="77777777" w:rsidR="00000000" w:rsidRDefault="000A3118">
            <w:pPr>
              <w:jc w:val="center"/>
              <w:rPr>
                <w:rFonts w:eastAsia="Times New Roman"/>
              </w:rPr>
            </w:pPr>
            <w:hyperlink w:anchor="i07dfab43642542caa102b1019720d3b2_106" w:history="1">
              <w:r>
                <w:rPr>
                  <w:rStyle w:val="a3"/>
                  <w:rFonts w:eastAsia="Times New Roman"/>
                  <w:color w:val="0E32E1"/>
                  <w:sz w:val="20"/>
                  <w:szCs w:val="20"/>
                </w:rPr>
                <w:t>40</w:t>
              </w:r>
            </w:hyperlink>
          </w:p>
        </w:tc>
      </w:tr>
      <w:tr w:rsidR="00000000" w14:paraId="59031E37" w14:textId="77777777">
        <w:trPr>
          <w:divId w:val="211232319"/>
        </w:trPr>
        <w:tc>
          <w:tcPr>
            <w:tcW w:w="0" w:type="auto"/>
            <w:gridSpan w:val="3"/>
            <w:tcMar>
              <w:top w:w="0" w:type="dxa"/>
              <w:left w:w="20" w:type="dxa"/>
              <w:bottom w:w="0" w:type="dxa"/>
              <w:right w:w="20" w:type="dxa"/>
            </w:tcMar>
            <w:vAlign w:val="center"/>
            <w:hideMark/>
          </w:tcPr>
          <w:p w14:paraId="3910CB4C"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54540105"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35B7F190"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6CBAE57F" w14:textId="77777777" w:rsidR="00000000" w:rsidRDefault="000A3118">
            <w:pPr>
              <w:jc w:val="center"/>
              <w:rPr>
                <w:rFonts w:eastAsia="Times New Roman"/>
              </w:rPr>
            </w:pPr>
            <w:r>
              <w:rPr>
                <w:rFonts w:eastAsia="Times New Roman"/>
                <w:color w:val="0E32E1"/>
                <w:sz w:val="20"/>
                <w:szCs w:val="20"/>
              </w:rPr>
              <w:t> </w:t>
            </w:r>
          </w:p>
        </w:tc>
      </w:tr>
      <w:tr w:rsidR="00000000" w14:paraId="599C29C9" w14:textId="77777777">
        <w:trPr>
          <w:divId w:val="211232319"/>
        </w:trPr>
        <w:tc>
          <w:tcPr>
            <w:tcW w:w="0" w:type="auto"/>
            <w:gridSpan w:val="3"/>
            <w:tcMar>
              <w:top w:w="0" w:type="dxa"/>
              <w:left w:w="20" w:type="dxa"/>
              <w:bottom w:w="0" w:type="dxa"/>
              <w:right w:w="20" w:type="dxa"/>
            </w:tcMar>
            <w:vAlign w:val="center"/>
            <w:hideMark/>
          </w:tcPr>
          <w:p w14:paraId="67AAFF2B"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260BF0A3" w14:textId="77777777" w:rsidR="00000000" w:rsidRDefault="000A3118">
            <w:pPr>
              <w:divId w:val="487328193"/>
              <w:rPr>
                <w:rFonts w:eastAsia="Times New Roman"/>
              </w:rPr>
            </w:pPr>
            <w:hyperlink w:anchor="i07dfab43642542caa102b1019720d3b2_109" w:history="1">
              <w:r>
                <w:rPr>
                  <w:rStyle w:val="a3"/>
                  <w:rFonts w:eastAsia="Times New Roman"/>
                  <w:color w:val="0E32E1"/>
                  <w:sz w:val="20"/>
                  <w:szCs w:val="20"/>
                </w:rPr>
                <w:t>Item 2.</w:t>
              </w:r>
            </w:hyperlink>
          </w:p>
        </w:tc>
        <w:tc>
          <w:tcPr>
            <w:tcW w:w="0" w:type="auto"/>
            <w:gridSpan w:val="3"/>
            <w:tcMar>
              <w:top w:w="30" w:type="dxa"/>
              <w:left w:w="20" w:type="dxa"/>
              <w:bottom w:w="30" w:type="dxa"/>
              <w:right w:w="20" w:type="dxa"/>
            </w:tcMar>
            <w:hideMark/>
          </w:tcPr>
          <w:p w14:paraId="331B52CA" w14:textId="77777777" w:rsidR="00000000" w:rsidRDefault="000A3118">
            <w:pPr>
              <w:divId w:val="1099519539"/>
              <w:rPr>
                <w:rFonts w:eastAsia="Times New Roman"/>
              </w:rPr>
            </w:pPr>
            <w:hyperlink w:anchor="i07dfab43642542caa102b1019720d3b2_109" w:history="1">
              <w:r>
                <w:rPr>
                  <w:rStyle w:val="a3"/>
                  <w:rFonts w:eastAsia="Times New Roman"/>
                  <w:color w:val="0E32E1"/>
                  <w:sz w:val="20"/>
                  <w:szCs w:val="20"/>
                </w:rPr>
                <w:t>Unregistered Sales of Equity Securities and Use of Proceeds</w:t>
              </w:r>
            </w:hyperlink>
          </w:p>
        </w:tc>
        <w:tc>
          <w:tcPr>
            <w:tcW w:w="0" w:type="auto"/>
            <w:gridSpan w:val="3"/>
            <w:tcMar>
              <w:top w:w="30" w:type="dxa"/>
              <w:left w:w="20" w:type="dxa"/>
              <w:bottom w:w="30" w:type="dxa"/>
              <w:right w:w="20" w:type="dxa"/>
            </w:tcMar>
            <w:hideMark/>
          </w:tcPr>
          <w:p w14:paraId="3A43E45A" w14:textId="77777777" w:rsidR="00000000" w:rsidRDefault="000A3118">
            <w:pPr>
              <w:jc w:val="center"/>
              <w:rPr>
                <w:rFonts w:eastAsia="Times New Roman"/>
              </w:rPr>
            </w:pPr>
            <w:hyperlink w:anchor="i07dfab43642542caa102b1019720d3b2_109" w:history="1">
              <w:r>
                <w:rPr>
                  <w:rStyle w:val="a3"/>
                  <w:rFonts w:eastAsia="Times New Roman"/>
                  <w:color w:val="0E32E1"/>
                  <w:sz w:val="20"/>
                  <w:szCs w:val="20"/>
                </w:rPr>
                <w:t>42</w:t>
              </w:r>
            </w:hyperlink>
          </w:p>
        </w:tc>
      </w:tr>
      <w:tr w:rsidR="00000000" w14:paraId="604B54D8" w14:textId="77777777">
        <w:trPr>
          <w:divId w:val="211232319"/>
        </w:trPr>
        <w:tc>
          <w:tcPr>
            <w:tcW w:w="0" w:type="auto"/>
            <w:gridSpan w:val="3"/>
            <w:tcMar>
              <w:top w:w="0" w:type="dxa"/>
              <w:left w:w="20" w:type="dxa"/>
              <w:bottom w:w="0" w:type="dxa"/>
              <w:right w:w="20" w:type="dxa"/>
            </w:tcMar>
            <w:vAlign w:val="center"/>
            <w:hideMark/>
          </w:tcPr>
          <w:p w14:paraId="56FBDCBC"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174FF489"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7164F63F"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4947BDDB" w14:textId="77777777" w:rsidR="00000000" w:rsidRDefault="000A3118">
            <w:pPr>
              <w:jc w:val="center"/>
              <w:rPr>
                <w:rFonts w:eastAsia="Times New Roman"/>
              </w:rPr>
            </w:pPr>
            <w:r>
              <w:rPr>
                <w:rFonts w:eastAsia="Times New Roman"/>
                <w:color w:val="0E32E1"/>
                <w:sz w:val="20"/>
                <w:szCs w:val="20"/>
              </w:rPr>
              <w:t> </w:t>
            </w:r>
          </w:p>
        </w:tc>
      </w:tr>
      <w:tr w:rsidR="00000000" w14:paraId="4ACD90F3" w14:textId="77777777">
        <w:trPr>
          <w:divId w:val="211232319"/>
        </w:trPr>
        <w:tc>
          <w:tcPr>
            <w:tcW w:w="0" w:type="auto"/>
            <w:gridSpan w:val="3"/>
            <w:tcMar>
              <w:top w:w="0" w:type="dxa"/>
              <w:left w:w="20" w:type="dxa"/>
              <w:bottom w:w="0" w:type="dxa"/>
              <w:right w:w="20" w:type="dxa"/>
            </w:tcMar>
            <w:vAlign w:val="center"/>
            <w:hideMark/>
          </w:tcPr>
          <w:p w14:paraId="4502DDF3"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1A099A4E" w14:textId="77777777" w:rsidR="00000000" w:rsidRDefault="000A3118">
            <w:pPr>
              <w:divId w:val="225990194"/>
              <w:rPr>
                <w:rFonts w:eastAsia="Times New Roman"/>
              </w:rPr>
            </w:pPr>
            <w:hyperlink w:anchor="i07dfab43642542caa102b1019720d3b2_112" w:history="1">
              <w:r>
                <w:rPr>
                  <w:rStyle w:val="a3"/>
                  <w:rFonts w:eastAsia="Times New Roman"/>
                  <w:color w:val="0E32E1"/>
                  <w:sz w:val="20"/>
                  <w:szCs w:val="20"/>
                </w:rPr>
                <w:t>Item 6.</w:t>
              </w:r>
            </w:hyperlink>
          </w:p>
        </w:tc>
        <w:tc>
          <w:tcPr>
            <w:tcW w:w="0" w:type="auto"/>
            <w:gridSpan w:val="3"/>
            <w:tcMar>
              <w:top w:w="30" w:type="dxa"/>
              <w:left w:w="20" w:type="dxa"/>
              <w:bottom w:w="30" w:type="dxa"/>
              <w:right w:w="20" w:type="dxa"/>
            </w:tcMar>
            <w:hideMark/>
          </w:tcPr>
          <w:p w14:paraId="7D7172CE" w14:textId="77777777" w:rsidR="00000000" w:rsidRDefault="000A3118">
            <w:pPr>
              <w:divId w:val="1523784186"/>
              <w:rPr>
                <w:rFonts w:eastAsia="Times New Roman"/>
              </w:rPr>
            </w:pPr>
            <w:hyperlink w:anchor="i07dfab43642542caa102b1019720d3b2_112" w:history="1">
              <w:r>
                <w:rPr>
                  <w:rStyle w:val="a3"/>
                  <w:rFonts w:eastAsia="Times New Roman"/>
                  <w:color w:val="0E32E1"/>
                  <w:sz w:val="20"/>
                  <w:szCs w:val="20"/>
                </w:rPr>
                <w:t>Exhibits</w:t>
              </w:r>
            </w:hyperlink>
          </w:p>
        </w:tc>
        <w:tc>
          <w:tcPr>
            <w:tcW w:w="0" w:type="auto"/>
            <w:gridSpan w:val="3"/>
            <w:tcMar>
              <w:top w:w="30" w:type="dxa"/>
              <w:left w:w="20" w:type="dxa"/>
              <w:bottom w:w="30" w:type="dxa"/>
              <w:right w:w="20" w:type="dxa"/>
            </w:tcMar>
            <w:hideMark/>
          </w:tcPr>
          <w:p w14:paraId="044E4C30" w14:textId="77777777" w:rsidR="00000000" w:rsidRDefault="000A3118">
            <w:pPr>
              <w:jc w:val="center"/>
              <w:rPr>
                <w:rFonts w:eastAsia="Times New Roman"/>
              </w:rPr>
            </w:pPr>
            <w:hyperlink w:anchor="i07dfab43642542caa102b1019720d3b2_112" w:history="1">
              <w:r>
                <w:rPr>
                  <w:rStyle w:val="a3"/>
                  <w:rFonts w:eastAsia="Times New Roman"/>
                  <w:color w:val="0E32E1"/>
                  <w:sz w:val="20"/>
                  <w:szCs w:val="20"/>
                </w:rPr>
                <w:t>44</w:t>
              </w:r>
            </w:hyperlink>
          </w:p>
        </w:tc>
      </w:tr>
      <w:tr w:rsidR="00000000" w14:paraId="16D0139E" w14:textId="77777777">
        <w:trPr>
          <w:divId w:val="211232319"/>
        </w:trPr>
        <w:tc>
          <w:tcPr>
            <w:tcW w:w="0" w:type="auto"/>
            <w:gridSpan w:val="3"/>
            <w:tcMar>
              <w:top w:w="30" w:type="dxa"/>
              <w:left w:w="20" w:type="dxa"/>
              <w:bottom w:w="30" w:type="dxa"/>
              <w:right w:w="20" w:type="dxa"/>
            </w:tcMar>
            <w:hideMark/>
          </w:tcPr>
          <w:p w14:paraId="4B3E8701"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38CE0B34"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53909B90" w14:textId="77777777" w:rsidR="00000000" w:rsidRDefault="000A3118">
            <w:pPr>
              <w:rPr>
                <w:rFonts w:eastAsia="Times New Roman"/>
              </w:rPr>
            </w:pPr>
            <w:r>
              <w:rPr>
                <w:rFonts w:eastAsia="Times New Roman"/>
                <w:color w:val="0E32E1"/>
                <w:sz w:val="20"/>
                <w:szCs w:val="20"/>
              </w:rPr>
              <w:t> </w:t>
            </w:r>
          </w:p>
        </w:tc>
        <w:tc>
          <w:tcPr>
            <w:tcW w:w="0" w:type="auto"/>
            <w:gridSpan w:val="3"/>
            <w:tcMar>
              <w:top w:w="30" w:type="dxa"/>
              <w:left w:w="20" w:type="dxa"/>
              <w:bottom w:w="30" w:type="dxa"/>
              <w:right w:w="20" w:type="dxa"/>
            </w:tcMar>
            <w:hideMark/>
          </w:tcPr>
          <w:p w14:paraId="6DACBCB3" w14:textId="77777777" w:rsidR="00000000" w:rsidRDefault="000A3118">
            <w:pPr>
              <w:jc w:val="center"/>
              <w:rPr>
                <w:rFonts w:eastAsia="Times New Roman"/>
              </w:rPr>
            </w:pPr>
            <w:r>
              <w:rPr>
                <w:rFonts w:eastAsia="Times New Roman"/>
                <w:color w:val="0E32E1"/>
                <w:sz w:val="20"/>
                <w:szCs w:val="20"/>
              </w:rPr>
              <w:t> </w:t>
            </w:r>
          </w:p>
        </w:tc>
      </w:tr>
      <w:tr w:rsidR="00000000" w14:paraId="064C24AD" w14:textId="77777777">
        <w:trPr>
          <w:divId w:val="211232319"/>
        </w:trPr>
        <w:tc>
          <w:tcPr>
            <w:tcW w:w="0" w:type="auto"/>
            <w:gridSpan w:val="6"/>
            <w:tcMar>
              <w:top w:w="30" w:type="dxa"/>
              <w:left w:w="20" w:type="dxa"/>
              <w:bottom w:w="30" w:type="dxa"/>
              <w:right w:w="20" w:type="dxa"/>
            </w:tcMar>
            <w:vAlign w:val="bottom"/>
            <w:hideMark/>
          </w:tcPr>
          <w:p w14:paraId="478D6027" w14:textId="77777777" w:rsidR="00000000" w:rsidRDefault="000A3118">
            <w:pPr>
              <w:divId w:val="385950607"/>
              <w:rPr>
                <w:rFonts w:eastAsia="Times New Roman"/>
              </w:rPr>
            </w:pPr>
            <w:hyperlink w:anchor="i07dfab43642542caa102b1019720d3b2_115" w:history="1">
              <w:r>
                <w:rPr>
                  <w:rStyle w:val="a3"/>
                  <w:rFonts w:eastAsia="Times New Roman"/>
                  <w:color w:val="0E32E1"/>
                  <w:sz w:val="20"/>
                  <w:szCs w:val="20"/>
                </w:rPr>
                <w:t>Signatures</w:t>
              </w:r>
            </w:hyperlink>
          </w:p>
        </w:tc>
        <w:tc>
          <w:tcPr>
            <w:tcW w:w="0" w:type="auto"/>
            <w:gridSpan w:val="3"/>
            <w:tcMar>
              <w:top w:w="0" w:type="dxa"/>
              <w:left w:w="20" w:type="dxa"/>
              <w:bottom w:w="0" w:type="dxa"/>
              <w:right w:w="20" w:type="dxa"/>
            </w:tcMar>
            <w:vAlign w:val="center"/>
            <w:hideMark/>
          </w:tcPr>
          <w:p w14:paraId="15AE8426" w14:textId="77777777" w:rsidR="00000000" w:rsidRDefault="000A3118">
            <w:pPr>
              <w:rPr>
                <w:rFonts w:eastAsia="Times New Roman"/>
              </w:rPr>
            </w:pPr>
          </w:p>
        </w:tc>
        <w:tc>
          <w:tcPr>
            <w:tcW w:w="0" w:type="auto"/>
            <w:gridSpan w:val="3"/>
            <w:tcMar>
              <w:top w:w="30" w:type="dxa"/>
              <w:left w:w="20" w:type="dxa"/>
              <w:bottom w:w="30" w:type="dxa"/>
              <w:right w:w="20" w:type="dxa"/>
            </w:tcMar>
            <w:hideMark/>
          </w:tcPr>
          <w:p w14:paraId="63106052" w14:textId="77777777" w:rsidR="00000000" w:rsidRDefault="000A3118">
            <w:pPr>
              <w:jc w:val="center"/>
              <w:rPr>
                <w:rFonts w:eastAsia="Times New Roman"/>
              </w:rPr>
            </w:pPr>
            <w:hyperlink w:anchor="i07dfab43642542caa102b1019720d3b2_115" w:history="1">
              <w:r>
                <w:rPr>
                  <w:rStyle w:val="a3"/>
                  <w:rFonts w:eastAsia="Times New Roman"/>
                  <w:color w:val="0E32E1"/>
                  <w:sz w:val="20"/>
                  <w:szCs w:val="20"/>
                </w:rPr>
                <w:t>45</w:t>
              </w:r>
            </w:hyperlink>
          </w:p>
        </w:tc>
      </w:tr>
    </w:tbl>
    <w:p w14:paraId="3227B021" w14:textId="77777777" w:rsidR="00000000" w:rsidRDefault="000A3118">
      <w:pPr>
        <w:divId w:val="1136022611"/>
        <w:rPr>
          <w:rFonts w:eastAsia="Times New Roman"/>
        </w:rPr>
      </w:pPr>
    </w:p>
    <w:p w14:paraId="379CAD11" w14:textId="77777777" w:rsidR="00000000" w:rsidRDefault="000A3118">
      <w:pPr>
        <w:rPr>
          <w:rFonts w:eastAsia="Times New Roman"/>
        </w:rPr>
      </w:pPr>
      <w:r>
        <w:rPr>
          <w:rFonts w:eastAsia="Times New Roman"/>
        </w:rPr>
        <w:pict w14:anchorId="0C4BD9F3">
          <v:rect id="_x0000_i1028" style="width:0;height:1.5pt" o:hralign="center" o:hrstd="t" o:hr="t" fillcolor="#a0a0a0" stroked="f"/>
        </w:pict>
      </w:r>
    </w:p>
    <w:p w14:paraId="10A83F2B" w14:textId="77777777" w:rsidR="00000000" w:rsidRDefault="000A3118">
      <w:pPr>
        <w:divId w:val="1536502867"/>
        <w:rPr>
          <w:rFonts w:eastAsia="Times New Roman"/>
        </w:rPr>
      </w:pPr>
    </w:p>
    <w:p w14:paraId="218C0DDE" w14:textId="77777777" w:rsidR="00000000" w:rsidRDefault="000A3118">
      <w:pPr>
        <w:divId w:val="1319577510"/>
        <w:rPr>
          <w:rFonts w:eastAsia="Times New Roman"/>
        </w:rPr>
      </w:pPr>
      <w:r>
        <w:rPr>
          <w:rFonts w:eastAsia="Times New Roman"/>
          <w:b/>
          <w:bCs/>
          <w:color w:val="000000"/>
          <w:sz w:val="20"/>
          <w:szCs w:val="20"/>
        </w:rPr>
        <w:t>Part I — Financial Information</w:t>
      </w:r>
    </w:p>
    <w:p w14:paraId="14FCCECC" w14:textId="77777777" w:rsidR="00000000" w:rsidRDefault="000A3118">
      <w:pPr>
        <w:divId w:val="323701041"/>
        <w:rPr>
          <w:rFonts w:eastAsia="Times New Roman"/>
        </w:rPr>
      </w:pPr>
      <w:r>
        <w:rPr>
          <w:rFonts w:eastAsia="Times New Roman"/>
          <w:color w:val="000000"/>
          <w:sz w:val="20"/>
          <w:szCs w:val="20"/>
        </w:rPr>
        <w:t> </w:t>
      </w:r>
    </w:p>
    <w:p w14:paraId="41963716" w14:textId="77777777" w:rsidR="00000000" w:rsidRDefault="000A3118">
      <w:pPr>
        <w:ind w:hanging="1080"/>
        <w:divId w:val="120613318"/>
        <w:rPr>
          <w:rFonts w:eastAsia="Times New Roman"/>
        </w:rPr>
      </w:pPr>
      <w:r>
        <w:rPr>
          <w:rFonts w:eastAsia="Times New Roman"/>
          <w:b/>
          <w:bCs/>
          <w:color w:val="000000"/>
          <w:sz w:val="20"/>
          <w:szCs w:val="20"/>
        </w:rPr>
        <w:t>Item 1.     Financial Statements</w:t>
      </w:r>
    </w:p>
    <w:p w14:paraId="3ACC0BB4" w14:textId="77777777" w:rsidR="00000000" w:rsidRDefault="000A3118">
      <w:pPr>
        <w:ind w:firstLine="720"/>
        <w:jc w:val="center"/>
        <w:rPr>
          <w:rFonts w:eastAsia="Times New Roman"/>
        </w:rPr>
      </w:pPr>
      <w:r>
        <w:rPr>
          <w:rFonts w:eastAsia="Times New Roman"/>
          <w:color w:val="000000"/>
          <w:sz w:val="20"/>
          <w:szCs w:val="20"/>
        </w:rPr>
        <w:t> </w:t>
      </w:r>
    </w:p>
    <w:p w14:paraId="40E9C185" w14:textId="77777777" w:rsidR="00000000" w:rsidRDefault="000A3118">
      <w:pPr>
        <w:jc w:val="center"/>
        <w:rPr>
          <w:rFonts w:eastAsia="Times New Roman"/>
        </w:rPr>
      </w:pPr>
      <w:r>
        <w:rPr>
          <w:rFonts w:eastAsia="Times New Roman"/>
          <w:b/>
          <w:bCs/>
          <w:color w:val="000000"/>
          <w:sz w:val="20"/>
          <w:szCs w:val="20"/>
        </w:rPr>
        <w:t>World Fuel Services Corporation</w:t>
      </w:r>
    </w:p>
    <w:p w14:paraId="62B1EFF1" w14:textId="77777777" w:rsidR="00000000" w:rsidRDefault="000A3118">
      <w:pPr>
        <w:jc w:val="center"/>
        <w:rPr>
          <w:rFonts w:eastAsia="Times New Roman"/>
        </w:rPr>
      </w:pPr>
      <w:r>
        <w:rPr>
          <w:rFonts w:eastAsia="Times New Roman"/>
          <w:b/>
          <w:bCs/>
          <w:color w:val="000000"/>
          <w:sz w:val="20"/>
          <w:szCs w:val="20"/>
        </w:rPr>
        <w:t>Consolidated Balance Sheets</w:t>
      </w:r>
    </w:p>
    <w:p w14:paraId="5F4EEE94" w14:textId="77777777" w:rsidR="00000000" w:rsidRDefault="000A3118">
      <w:pPr>
        <w:jc w:val="center"/>
        <w:rPr>
          <w:rFonts w:eastAsia="Times New Roman"/>
        </w:rPr>
      </w:pPr>
      <w:r>
        <w:rPr>
          <w:rFonts w:eastAsia="Times New Roman"/>
          <w:color w:val="000000"/>
          <w:sz w:val="20"/>
          <w:szCs w:val="20"/>
        </w:rPr>
        <w:t>(Unaudited - In millions, except per share data)</w:t>
      </w:r>
    </w:p>
    <w:p w14:paraId="72239188" w14:textId="77777777" w:rsidR="00000000" w:rsidRDefault="000A3118">
      <w:pPr>
        <w:jc w:val="center"/>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43"/>
        <w:gridCol w:w="5748"/>
        <w:gridCol w:w="39"/>
        <w:gridCol w:w="36"/>
        <w:gridCol w:w="36"/>
        <w:gridCol w:w="36"/>
        <w:gridCol w:w="101"/>
        <w:gridCol w:w="957"/>
        <w:gridCol w:w="36"/>
        <w:gridCol w:w="36"/>
        <w:gridCol w:w="36"/>
        <w:gridCol w:w="36"/>
        <w:gridCol w:w="101"/>
        <w:gridCol w:w="957"/>
        <w:gridCol w:w="36"/>
        <w:gridCol w:w="36"/>
        <w:gridCol w:w="36"/>
      </w:tblGrid>
      <w:tr w:rsidR="00000000" w14:paraId="4BC2E922" w14:textId="77777777">
        <w:trPr>
          <w:divId w:val="1728453581"/>
        </w:trPr>
        <w:tc>
          <w:tcPr>
            <w:tcW w:w="50" w:type="pct"/>
            <w:vAlign w:val="center"/>
            <w:hideMark/>
          </w:tcPr>
          <w:p w14:paraId="59931294" w14:textId="77777777" w:rsidR="00000000" w:rsidRDefault="000A3118">
            <w:pPr>
              <w:jc w:val="center"/>
              <w:rPr>
                <w:rFonts w:eastAsia="Times New Roman"/>
              </w:rPr>
            </w:pPr>
          </w:p>
        </w:tc>
        <w:tc>
          <w:tcPr>
            <w:tcW w:w="3512" w:type="pct"/>
            <w:vAlign w:val="center"/>
            <w:hideMark/>
          </w:tcPr>
          <w:p w14:paraId="7A3CA17C" w14:textId="77777777" w:rsidR="00000000" w:rsidRDefault="000A3118">
            <w:pPr>
              <w:rPr>
                <w:rFonts w:eastAsia="Times New Roman"/>
                <w:sz w:val="20"/>
                <w:szCs w:val="20"/>
              </w:rPr>
            </w:pPr>
          </w:p>
        </w:tc>
        <w:tc>
          <w:tcPr>
            <w:tcW w:w="5" w:type="pct"/>
            <w:vAlign w:val="center"/>
            <w:hideMark/>
          </w:tcPr>
          <w:p w14:paraId="030C1D91" w14:textId="77777777" w:rsidR="00000000" w:rsidRDefault="000A3118">
            <w:pPr>
              <w:rPr>
                <w:rFonts w:eastAsia="Times New Roman"/>
                <w:sz w:val="20"/>
                <w:szCs w:val="20"/>
              </w:rPr>
            </w:pPr>
          </w:p>
        </w:tc>
        <w:tc>
          <w:tcPr>
            <w:tcW w:w="5" w:type="pct"/>
            <w:vAlign w:val="center"/>
            <w:hideMark/>
          </w:tcPr>
          <w:p w14:paraId="02D6FF8C" w14:textId="77777777" w:rsidR="00000000" w:rsidRDefault="000A3118">
            <w:pPr>
              <w:rPr>
                <w:rFonts w:eastAsia="Times New Roman"/>
                <w:sz w:val="20"/>
                <w:szCs w:val="20"/>
              </w:rPr>
            </w:pPr>
          </w:p>
        </w:tc>
        <w:tc>
          <w:tcPr>
            <w:tcW w:w="26" w:type="pct"/>
            <w:vAlign w:val="center"/>
            <w:hideMark/>
          </w:tcPr>
          <w:p w14:paraId="0D16565C" w14:textId="77777777" w:rsidR="00000000" w:rsidRDefault="000A3118">
            <w:pPr>
              <w:rPr>
                <w:rFonts w:eastAsia="Times New Roman"/>
                <w:sz w:val="20"/>
                <w:szCs w:val="20"/>
              </w:rPr>
            </w:pPr>
          </w:p>
        </w:tc>
        <w:tc>
          <w:tcPr>
            <w:tcW w:w="5" w:type="pct"/>
            <w:vAlign w:val="center"/>
            <w:hideMark/>
          </w:tcPr>
          <w:p w14:paraId="2CFBD040" w14:textId="77777777" w:rsidR="00000000" w:rsidRDefault="000A3118">
            <w:pPr>
              <w:rPr>
                <w:rFonts w:eastAsia="Times New Roman"/>
                <w:sz w:val="20"/>
                <w:szCs w:val="20"/>
              </w:rPr>
            </w:pPr>
          </w:p>
        </w:tc>
        <w:tc>
          <w:tcPr>
            <w:tcW w:w="50" w:type="pct"/>
            <w:vAlign w:val="center"/>
            <w:hideMark/>
          </w:tcPr>
          <w:p w14:paraId="5370E861" w14:textId="77777777" w:rsidR="00000000" w:rsidRDefault="000A3118">
            <w:pPr>
              <w:rPr>
                <w:rFonts w:eastAsia="Times New Roman"/>
                <w:sz w:val="20"/>
                <w:szCs w:val="20"/>
              </w:rPr>
            </w:pPr>
          </w:p>
        </w:tc>
        <w:tc>
          <w:tcPr>
            <w:tcW w:w="624" w:type="pct"/>
            <w:vAlign w:val="center"/>
            <w:hideMark/>
          </w:tcPr>
          <w:p w14:paraId="2D8FC3A8" w14:textId="77777777" w:rsidR="00000000" w:rsidRDefault="000A3118">
            <w:pPr>
              <w:rPr>
                <w:rFonts w:eastAsia="Times New Roman"/>
                <w:sz w:val="20"/>
                <w:szCs w:val="20"/>
              </w:rPr>
            </w:pPr>
          </w:p>
        </w:tc>
        <w:tc>
          <w:tcPr>
            <w:tcW w:w="5" w:type="pct"/>
            <w:vAlign w:val="center"/>
            <w:hideMark/>
          </w:tcPr>
          <w:p w14:paraId="7F51C584" w14:textId="77777777" w:rsidR="00000000" w:rsidRDefault="000A3118">
            <w:pPr>
              <w:rPr>
                <w:rFonts w:eastAsia="Times New Roman"/>
                <w:sz w:val="20"/>
                <w:szCs w:val="20"/>
              </w:rPr>
            </w:pPr>
          </w:p>
        </w:tc>
        <w:tc>
          <w:tcPr>
            <w:tcW w:w="5" w:type="pct"/>
            <w:vAlign w:val="center"/>
            <w:hideMark/>
          </w:tcPr>
          <w:p w14:paraId="7F134FB6" w14:textId="77777777" w:rsidR="00000000" w:rsidRDefault="000A3118">
            <w:pPr>
              <w:rPr>
                <w:rFonts w:eastAsia="Times New Roman"/>
                <w:sz w:val="20"/>
                <w:szCs w:val="20"/>
              </w:rPr>
            </w:pPr>
          </w:p>
        </w:tc>
        <w:tc>
          <w:tcPr>
            <w:tcW w:w="26" w:type="pct"/>
            <w:vAlign w:val="center"/>
            <w:hideMark/>
          </w:tcPr>
          <w:p w14:paraId="22E5F593" w14:textId="77777777" w:rsidR="00000000" w:rsidRDefault="000A3118">
            <w:pPr>
              <w:rPr>
                <w:rFonts w:eastAsia="Times New Roman"/>
                <w:sz w:val="20"/>
                <w:szCs w:val="20"/>
              </w:rPr>
            </w:pPr>
          </w:p>
        </w:tc>
        <w:tc>
          <w:tcPr>
            <w:tcW w:w="5" w:type="pct"/>
            <w:vAlign w:val="center"/>
            <w:hideMark/>
          </w:tcPr>
          <w:p w14:paraId="6B0AD700" w14:textId="77777777" w:rsidR="00000000" w:rsidRDefault="000A3118">
            <w:pPr>
              <w:rPr>
                <w:rFonts w:eastAsia="Times New Roman"/>
                <w:sz w:val="20"/>
                <w:szCs w:val="20"/>
              </w:rPr>
            </w:pPr>
          </w:p>
        </w:tc>
        <w:tc>
          <w:tcPr>
            <w:tcW w:w="50" w:type="pct"/>
            <w:vAlign w:val="center"/>
            <w:hideMark/>
          </w:tcPr>
          <w:p w14:paraId="19E70999" w14:textId="77777777" w:rsidR="00000000" w:rsidRDefault="000A3118">
            <w:pPr>
              <w:rPr>
                <w:rFonts w:eastAsia="Times New Roman"/>
                <w:sz w:val="20"/>
                <w:szCs w:val="20"/>
              </w:rPr>
            </w:pPr>
          </w:p>
        </w:tc>
        <w:tc>
          <w:tcPr>
            <w:tcW w:w="624" w:type="pct"/>
            <w:vAlign w:val="center"/>
            <w:hideMark/>
          </w:tcPr>
          <w:p w14:paraId="4F67E9F4" w14:textId="77777777" w:rsidR="00000000" w:rsidRDefault="000A3118">
            <w:pPr>
              <w:rPr>
                <w:rFonts w:eastAsia="Times New Roman"/>
                <w:sz w:val="20"/>
                <w:szCs w:val="20"/>
              </w:rPr>
            </w:pPr>
          </w:p>
        </w:tc>
        <w:tc>
          <w:tcPr>
            <w:tcW w:w="5" w:type="pct"/>
            <w:vAlign w:val="center"/>
            <w:hideMark/>
          </w:tcPr>
          <w:p w14:paraId="60871865" w14:textId="77777777" w:rsidR="00000000" w:rsidRDefault="000A3118">
            <w:pPr>
              <w:rPr>
                <w:rFonts w:eastAsia="Times New Roman"/>
                <w:sz w:val="20"/>
                <w:szCs w:val="20"/>
              </w:rPr>
            </w:pPr>
          </w:p>
        </w:tc>
        <w:tc>
          <w:tcPr>
            <w:tcW w:w="0" w:type="auto"/>
            <w:vAlign w:val="center"/>
            <w:hideMark/>
          </w:tcPr>
          <w:p w14:paraId="39BFC3F7" w14:textId="77777777" w:rsidR="00000000" w:rsidRDefault="000A3118">
            <w:pPr>
              <w:rPr>
                <w:rFonts w:eastAsia="Times New Roman"/>
                <w:sz w:val="20"/>
                <w:szCs w:val="20"/>
              </w:rPr>
            </w:pPr>
          </w:p>
        </w:tc>
        <w:tc>
          <w:tcPr>
            <w:tcW w:w="0" w:type="auto"/>
            <w:vAlign w:val="center"/>
            <w:hideMark/>
          </w:tcPr>
          <w:p w14:paraId="0CCDBC71" w14:textId="77777777" w:rsidR="00000000" w:rsidRDefault="000A3118">
            <w:pPr>
              <w:rPr>
                <w:rFonts w:eastAsia="Times New Roman"/>
                <w:sz w:val="20"/>
                <w:szCs w:val="20"/>
              </w:rPr>
            </w:pPr>
          </w:p>
        </w:tc>
      </w:tr>
      <w:tr w:rsidR="00000000" w14:paraId="55F6F84F" w14:textId="77777777">
        <w:trPr>
          <w:divId w:val="1728453581"/>
        </w:trPr>
        <w:tc>
          <w:tcPr>
            <w:tcW w:w="0" w:type="auto"/>
            <w:gridSpan w:val="3"/>
            <w:tcMar>
              <w:top w:w="30" w:type="dxa"/>
              <w:left w:w="20" w:type="dxa"/>
              <w:bottom w:w="30" w:type="dxa"/>
              <w:right w:w="20" w:type="dxa"/>
            </w:tcMar>
            <w:vAlign w:val="center"/>
            <w:hideMark/>
          </w:tcPr>
          <w:p w14:paraId="0F768C08" w14:textId="77777777" w:rsidR="00000000" w:rsidRDefault="000A311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1E6B7BE" w14:textId="77777777" w:rsidR="00000000" w:rsidRDefault="000A3118">
            <w:pPr>
              <w:rPr>
                <w:rFonts w:eastAsia="Times New Roman"/>
              </w:rPr>
            </w:pPr>
          </w:p>
        </w:tc>
        <w:tc>
          <w:tcPr>
            <w:tcW w:w="0" w:type="auto"/>
            <w:gridSpan w:val="9"/>
            <w:tcMar>
              <w:top w:w="30" w:type="dxa"/>
              <w:left w:w="20" w:type="dxa"/>
              <w:bottom w:w="30" w:type="dxa"/>
              <w:right w:w="20" w:type="dxa"/>
            </w:tcMar>
            <w:vAlign w:val="bottom"/>
            <w:hideMark/>
          </w:tcPr>
          <w:p w14:paraId="1B23CDA4" w14:textId="77777777" w:rsidR="00000000" w:rsidRDefault="000A3118">
            <w:pPr>
              <w:jc w:val="center"/>
              <w:rPr>
                <w:rFonts w:eastAsia="Times New Roman"/>
              </w:rPr>
            </w:pPr>
            <w:r>
              <w:rPr>
                <w:rFonts w:eastAsia="Times New Roman"/>
                <w:b/>
                <w:bCs/>
                <w:color w:val="000000"/>
                <w:sz w:val="16"/>
                <w:szCs w:val="16"/>
              </w:rPr>
              <w:t>As of</w:t>
            </w:r>
          </w:p>
        </w:tc>
        <w:tc>
          <w:tcPr>
            <w:tcW w:w="0" w:type="auto"/>
            <w:vAlign w:val="center"/>
            <w:hideMark/>
          </w:tcPr>
          <w:p w14:paraId="4794C958" w14:textId="77777777" w:rsidR="00000000" w:rsidRDefault="000A3118">
            <w:pPr>
              <w:jc w:val="center"/>
              <w:rPr>
                <w:rFonts w:eastAsia="Times New Roman"/>
              </w:rPr>
            </w:pPr>
          </w:p>
        </w:tc>
        <w:tc>
          <w:tcPr>
            <w:tcW w:w="0" w:type="auto"/>
            <w:vAlign w:val="center"/>
            <w:hideMark/>
          </w:tcPr>
          <w:p w14:paraId="31FD1AB9" w14:textId="77777777" w:rsidR="00000000" w:rsidRDefault="000A3118">
            <w:pPr>
              <w:rPr>
                <w:rFonts w:eastAsia="Times New Roman"/>
                <w:sz w:val="20"/>
                <w:szCs w:val="20"/>
              </w:rPr>
            </w:pPr>
          </w:p>
        </w:tc>
      </w:tr>
      <w:tr w:rsidR="00000000" w14:paraId="4129919E" w14:textId="77777777">
        <w:trPr>
          <w:divId w:val="1728453581"/>
        </w:trPr>
        <w:tc>
          <w:tcPr>
            <w:tcW w:w="0" w:type="auto"/>
            <w:gridSpan w:val="3"/>
            <w:tcMar>
              <w:top w:w="30" w:type="dxa"/>
              <w:left w:w="20" w:type="dxa"/>
              <w:bottom w:w="30" w:type="dxa"/>
              <w:right w:w="20" w:type="dxa"/>
            </w:tcMar>
            <w:vAlign w:val="center"/>
            <w:hideMark/>
          </w:tcPr>
          <w:p w14:paraId="7EA0C503" w14:textId="77777777" w:rsidR="00000000" w:rsidRDefault="000A311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8B30DE1" w14:textId="77777777" w:rsidR="00000000" w:rsidRDefault="000A311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287271"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Borders>
              <w:top w:val="single" w:sz="8" w:space="0" w:color="000000"/>
            </w:tcBorders>
            <w:tcMar>
              <w:top w:w="0" w:type="dxa"/>
              <w:left w:w="20" w:type="dxa"/>
              <w:bottom w:w="0" w:type="dxa"/>
              <w:right w:w="20" w:type="dxa"/>
            </w:tcMar>
            <w:vAlign w:val="center"/>
            <w:hideMark/>
          </w:tcPr>
          <w:p w14:paraId="12BB1CB7"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494CC8" w14:textId="77777777" w:rsidR="00000000" w:rsidRDefault="000A3118">
            <w:pPr>
              <w:jc w:val="center"/>
              <w:rPr>
                <w:rFonts w:eastAsia="Times New Roman"/>
              </w:rPr>
            </w:pPr>
            <w:r>
              <w:rPr>
                <w:rFonts w:eastAsia="Times New Roman"/>
                <w:b/>
                <w:bCs/>
                <w:color w:val="000000"/>
                <w:sz w:val="16"/>
                <w:szCs w:val="16"/>
              </w:rPr>
              <w:t>December 31,</w:t>
            </w:r>
          </w:p>
        </w:tc>
        <w:tc>
          <w:tcPr>
            <w:tcW w:w="0" w:type="auto"/>
            <w:vAlign w:val="center"/>
            <w:hideMark/>
          </w:tcPr>
          <w:p w14:paraId="2A136641" w14:textId="77777777" w:rsidR="00000000" w:rsidRDefault="000A3118">
            <w:pPr>
              <w:jc w:val="center"/>
              <w:rPr>
                <w:rFonts w:eastAsia="Times New Roman"/>
              </w:rPr>
            </w:pPr>
          </w:p>
        </w:tc>
        <w:tc>
          <w:tcPr>
            <w:tcW w:w="0" w:type="auto"/>
            <w:vAlign w:val="center"/>
            <w:hideMark/>
          </w:tcPr>
          <w:p w14:paraId="45469E09" w14:textId="77777777" w:rsidR="00000000" w:rsidRDefault="000A3118">
            <w:pPr>
              <w:rPr>
                <w:rFonts w:eastAsia="Times New Roman"/>
                <w:sz w:val="20"/>
                <w:szCs w:val="20"/>
              </w:rPr>
            </w:pPr>
          </w:p>
        </w:tc>
      </w:tr>
      <w:tr w:rsidR="00000000" w14:paraId="653C2E28" w14:textId="77777777">
        <w:trPr>
          <w:divId w:val="1728453581"/>
        </w:trPr>
        <w:tc>
          <w:tcPr>
            <w:tcW w:w="0" w:type="auto"/>
            <w:gridSpan w:val="3"/>
            <w:tcMar>
              <w:top w:w="30" w:type="dxa"/>
              <w:left w:w="20" w:type="dxa"/>
              <w:bottom w:w="30" w:type="dxa"/>
              <w:right w:w="20" w:type="dxa"/>
            </w:tcMar>
            <w:vAlign w:val="center"/>
            <w:hideMark/>
          </w:tcPr>
          <w:p w14:paraId="72C425C6" w14:textId="77777777" w:rsidR="00000000" w:rsidRDefault="000A311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9EA12CA" w14:textId="77777777" w:rsidR="00000000" w:rsidRDefault="000A3118">
            <w:pPr>
              <w:rPr>
                <w:rFonts w:eastAsia="Times New Roman"/>
              </w:rPr>
            </w:pPr>
          </w:p>
        </w:tc>
        <w:tc>
          <w:tcPr>
            <w:tcW w:w="0" w:type="auto"/>
            <w:gridSpan w:val="3"/>
            <w:tcMar>
              <w:top w:w="30" w:type="dxa"/>
              <w:left w:w="20" w:type="dxa"/>
              <w:bottom w:w="30" w:type="dxa"/>
              <w:right w:w="20" w:type="dxa"/>
            </w:tcMar>
            <w:vAlign w:val="bottom"/>
            <w:hideMark/>
          </w:tcPr>
          <w:p w14:paraId="53DFC4F2"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A935187"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10AB8B2D" w14:textId="77777777" w:rsidR="00000000" w:rsidRDefault="000A3118">
            <w:pPr>
              <w:jc w:val="center"/>
              <w:rPr>
                <w:rFonts w:eastAsia="Times New Roman"/>
              </w:rPr>
            </w:pPr>
            <w:r>
              <w:rPr>
                <w:rFonts w:eastAsia="Times New Roman"/>
                <w:b/>
                <w:bCs/>
                <w:color w:val="000000"/>
                <w:sz w:val="16"/>
                <w:szCs w:val="16"/>
              </w:rPr>
              <w:t>2019</w:t>
            </w:r>
          </w:p>
        </w:tc>
        <w:tc>
          <w:tcPr>
            <w:tcW w:w="0" w:type="auto"/>
            <w:vAlign w:val="center"/>
            <w:hideMark/>
          </w:tcPr>
          <w:p w14:paraId="2006FCBD" w14:textId="77777777" w:rsidR="00000000" w:rsidRDefault="000A3118">
            <w:pPr>
              <w:jc w:val="center"/>
              <w:rPr>
                <w:rFonts w:eastAsia="Times New Roman"/>
              </w:rPr>
            </w:pPr>
          </w:p>
        </w:tc>
        <w:tc>
          <w:tcPr>
            <w:tcW w:w="0" w:type="auto"/>
            <w:vAlign w:val="center"/>
            <w:hideMark/>
          </w:tcPr>
          <w:p w14:paraId="471AABC3" w14:textId="77777777" w:rsidR="00000000" w:rsidRDefault="000A3118">
            <w:pPr>
              <w:rPr>
                <w:rFonts w:eastAsia="Times New Roman"/>
                <w:sz w:val="20"/>
                <w:szCs w:val="20"/>
              </w:rPr>
            </w:pPr>
          </w:p>
        </w:tc>
      </w:tr>
      <w:tr w:rsidR="00000000" w14:paraId="47E45998" w14:textId="77777777">
        <w:trPr>
          <w:divId w:val="17284535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C397F6" w14:textId="77777777" w:rsidR="00000000" w:rsidRDefault="000A3118">
            <w:pPr>
              <w:rPr>
                <w:rFonts w:eastAsia="Times New Roman"/>
              </w:rPr>
            </w:pPr>
            <w:r>
              <w:rPr>
                <w:rFonts w:eastAsia="Times New Roman"/>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A993A0" w14:textId="77777777" w:rsidR="00000000" w:rsidRDefault="000A3118">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6916A78" w14:textId="77777777" w:rsidR="00000000" w:rsidRDefault="000A3118">
            <w:pPr>
              <w:jc w:val="center"/>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AE557D" w14:textId="77777777" w:rsidR="00000000" w:rsidRDefault="000A311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212525B" w14:textId="77777777" w:rsidR="00000000" w:rsidRDefault="000A3118">
            <w:pPr>
              <w:rPr>
                <w:rFonts w:eastAsia="Times New Roman"/>
              </w:rPr>
            </w:pPr>
            <w:r>
              <w:rPr>
                <w:rFonts w:eastAsia="Times New Roman"/>
                <w:color w:val="000000"/>
                <w:sz w:val="20"/>
                <w:szCs w:val="20"/>
              </w:rPr>
              <w:t> </w:t>
            </w:r>
          </w:p>
        </w:tc>
        <w:tc>
          <w:tcPr>
            <w:tcW w:w="0" w:type="auto"/>
            <w:vAlign w:val="center"/>
            <w:hideMark/>
          </w:tcPr>
          <w:p w14:paraId="43EE64DE" w14:textId="77777777" w:rsidR="00000000" w:rsidRDefault="000A3118">
            <w:pPr>
              <w:rPr>
                <w:rFonts w:eastAsia="Times New Roman"/>
              </w:rPr>
            </w:pPr>
          </w:p>
        </w:tc>
        <w:tc>
          <w:tcPr>
            <w:tcW w:w="0" w:type="auto"/>
            <w:vAlign w:val="center"/>
            <w:hideMark/>
          </w:tcPr>
          <w:p w14:paraId="2BA08393" w14:textId="77777777" w:rsidR="00000000" w:rsidRDefault="000A3118">
            <w:pPr>
              <w:rPr>
                <w:rFonts w:eastAsia="Times New Roman"/>
                <w:sz w:val="20"/>
                <w:szCs w:val="20"/>
              </w:rPr>
            </w:pPr>
          </w:p>
        </w:tc>
      </w:tr>
      <w:tr w:rsidR="00000000" w14:paraId="53EA3C03" w14:textId="77777777">
        <w:trPr>
          <w:divId w:val="1728453581"/>
        </w:trPr>
        <w:tc>
          <w:tcPr>
            <w:tcW w:w="0" w:type="auto"/>
            <w:gridSpan w:val="3"/>
            <w:shd w:val="clear" w:color="auto" w:fill="FFFFFF"/>
            <w:tcMar>
              <w:top w:w="30" w:type="dxa"/>
              <w:left w:w="20" w:type="dxa"/>
              <w:bottom w:w="30" w:type="dxa"/>
              <w:right w:w="20" w:type="dxa"/>
            </w:tcMar>
            <w:vAlign w:val="bottom"/>
            <w:hideMark/>
          </w:tcPr>
          <w:p w14:paraId="1E4E0918" w14:textId="77777777" w:rsidR="00000000" w:rsidRDefault="000A3118">
            <w:pPr>
              <w:rPr>
                <w:rFonts w:eastAsia="Times New Roman"/>
              </w:rPr>
            </w:pPr>
            <w:r>
              <w:rPr>
                <w:rFonts w:eastAsia="Times New Roman"/>
                <w:color w:val="000000"/>
                <w:sz w:val="16"/>
                <w:szCs w:val="16"/>
              </w:rPr>
              <w:t>Current assets:</w:t>
            </w:r>
          </w:p>
        </w:tc>
        <w:tc>
          <w:tcPr>
            <w:tcW w:w="0" w:type="auto"/>
            <w:gridSpan w:val="3"/>
            <w:shd w:val="clear" w:color="auto" w:fill="FFFFFF"/>
            <w:tcMar>
              <w:top w:w="0" w:type="dxa"/>
              <w:left w:w="20" w:type="dxa"/>
              <w:bottom w:w="0" w:type="dxa"/>
              <w:right w:w="20" w:type="dxa"/>
            </w:tcMar>
            <w:vAlign w:val="center"/>
            <w:hideMark/>
          </w:tcPr>
          <w:p w14:paraId="32BF8E46" w14:textId="77777777" w:rsidR="00000000" w:rsidRDefault="000A3118">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9C1E1E0" w14:textId="77777777" w:rsidR="00000000" w:rsidRDefault="000A3118">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E035566" w14:textId="77777777" w:rsidR="00000000" w:rsidRDefault="000A3118">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0EFE9D3" w14:textId="77777777" w:rsidR="00000000" w:rsidRDefault="000A3118">
            <w:pPr>
              <w:rPr>
                <w:rFonts w:eastAsia="Times New Roman"/>
              </w:rPr>
            </w:pPr>
            <w:r>
              <w:rPr>
                <w:rFonts w:eastAsia="Times New Roman"/>
                <w:color w:val="000000"/>
                <w:sz w:val="20"/>
                <w:szCs w:val="20"/>
              </w:rPr>
              <w:t> </w:t>
            </w:r>
          </w:p>
        </w:tc>
        <w:tc>
          <w:tcPr>
            <w:tcW w:w="0" w:type="auto"/>
            <w:vAlign w:val="center"/>
            <w:hideMark/>
          </w:tcPr>
          <w:p w14:paraId="0EE9E6DF" w14:textId="77777777" w:rsidR="00000000" w:rsidRDefault="000A3118">
            <w:pPr>
              <w:rPr>
                <w:rFonts w:eastAsia="Times New Roman"/>
              </w:rPr>
            </w:pPr>
          </w:p>
        </w:tc>
        <w:tc>
          <w:tcPr>
            <w:tcW w:w="0" w:type="auto"/>
            <w:vAlign w:val="center"/>
            <w:hideMark/>
          </w:tcPr>
          <w:p w14:paraId="3E4ABABA" w14:textId="77777777" w:rsidR="00000000" w:rsidRDefault="000A3118">
            <w:pPr>
              <w:rPr>
                <w:rFonts w:eastAsia="Times New Roman"/>
                <w:sz w:val="20"/>
                <w:szCs w:val="20"/>
              </w:rPr>
            </w:pPr>
          </w:p>
        </w:tc>
      </w:tr>
      <w:tr w:rsidR="00000000" w14:paraId="4B08F903" w14:textId="77777777">
        <w:trPr>
          <w:divId w:val="1728453581"/>
        </w:trPr>
        <w:tc>
          <w:tcPr>
            <w:tcW w:w="0" w:type="auto"/>
            <w:gridSpan w:val="3"/>
            <w:shd w:val="clear" w:color="auto" w:fill="CCEEFF"/>
            <w:tcMar>
              <w:top w:w="30" w:type="dxa"/>
              <w:left w:w="135" w:type="dxa"/>
              <w:bottom w:w="30" w:type="dxa"/>
              <w:right w:w="20" w:type="dxa"/>
            </w:tcMar>
            <w:vAlign w:val="bottom"/>
            <w:hideMark/>
          </w:tcPr>
          <w:p w14:paraId="5C0D175B" w14:textId="77777777" w:rsidR="00000000" w:rsidRDefault="000A3118">
            <w:pPr>
              <w:rPr>
                <w:rFonts w:eastAsia="Times New Roman"/>
              </w:rPr>
            </w:pPr>
            <w:r>
              <w:rPr>
                <w:rFonts w:eastAsia="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vAlign w:val="center"/>
            <w:hideMark/>
          </w:tcPr>
          <w:p w14:paraId="7D45D6D8" w14:textId="77777777" w:rsidR="00000000" w:rsidRDefault="000A3118">
            <w:pPr>
              <w:rPr>
                <w:rFonts w:eastAsia="Times New Roman"/>
              </w:rPr>
            </w:pPr>
          </w:p>
        </w:tc>
        <w:tc>
          <w:tcPr>
            <w:tcW w:w="0" w:type="auto"/>
            <w:shd w:val="clear" w:color="auto" w:fill="CCEEFF"/>
            <w:tcMar>
              <w:top w:w="30" w:type="dxa"/>
              <w:left w:w="20" w:type="dxa"/>
              <w:bottom w:w="30" w:type="dxa"/>
              <w:right w:w="0" w:type="dxa"/>
            </w:tcMar>
            <w:vAlign w:val="bottom"/>
            <w:hideMark/>
          </w:tcPr>
          <w:p w14:paraId="7B502609"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CD013FD" w14:textId="77777777" w:rsidR="00000000" w:rsidRDefault="000A3118">
            <w:pPr>
              <w:jc w:val="right"/>
              <w:rPr>
                <w:rFonts w:eastAsia="Times New Roman"/>
              </w:rPr>
            </w:pPr>
            <w:r>
              <w:rPr>
                <w:rFonts w:eastAsia="Times New Roman"/>
                <w:color w:val="000000"/>
                <w:sz w:val="16"/>
                <w:szCs w:val="16"/>
              </w:rPr>
              <w:t>572.7 </w:t>
            </w:r>
          </w:p>
        </w:tc>
        <w:tc>
          <w:tcPr>
            <w:tcW w:w="0" w:type="auto"/>
            <w:shd w:val="clear" w:color="auto" w:fill="CCEEFF"/>
            <w:tcMar>
              <w:top w:w="30" w:type="dxa"/>
              <w:left w:w="0" w:type="dxa"/>
              <w:bottom w:w="30" w:type="dxa"/>
              <w:right w:w="20" w:type="dxa"/>
            </w:tcMar>
            <w:vAlign w:val="bottom"/>
            <w:hideMark/>
          </w:tcPr>
          <w:p w14:paraId="659BC05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E342E"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947E23"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1B7CBBF" w14:textId="77777777" w:rsidR="00000000" w:rsidRDefault="000A3118">
            <w:pPr>
              <w:jc w:val="right"/>
              <w:rPr>
                <w:rFonts w:eastAsia="Times New Roman"/>
              </w:rPr>
            </w:pPr>
            <w:r>
              <w:rPr>
                <w:rFonts w:eastAsia="Times New Roman"/>
                <w:color w:val="000000"/>
                <w:sz w:val="16"/>
                <w:szCs w:val="16"/>
              </w:rPr>
              <w:t>186.1 </w:t>
            </w:r>
          </w:p>
        </w:tc>
        <w:tc>
          <w:tcPr>
            <w:tcW w:w="0" w:type="auto"/>
            <w:shd w:val="clear" w:color="auto" w:fill="CCEEFF"/>
            <w:tcMar>
              <w:top w:w="30" w:type="dxa"/>
              <w:left w:w="0" w:type="dxa"/>
              <w:bottom w:w="30" w:type="dxa"/>
              <w:right w:w="20" w:type="dxa"/>
            </w:tcMar>
            <w:vAlign w:val="bottom"/>
            <w:hideMark/>
          </w:tcPr>
          <w:p w14:paraId="63103FB7" w14:textId="77777777" w:rsidR="00000000" w:rsidRDefault="000A3118">
            <w:pPr>
              <w:jc w:val="right"/>
              <w:rPr>
                <w:rFonts w:eastAsia="Times New Roman"/>
              </w:rPr>
            </w:pPr>
          </w:p>
        </w:tc>
        <w:tc>
          <w:tcPr>
            <w:tcW w:w="0" w:type="auto"/>
            <w:vAlign w:val="center"/>
            <w:hideMark/>
          </w:tcPr>
          <w:p w14:paraId="01694DD0" w14:textId="77777777" w:rsidR="00000000" w:rsidRDefault="000A3118">
            <w:pPr>
              <w:jc w:val="right"/>
              <w:rPr>
                <w:rFonts w:eastAsia="Times New Roman"/>
                <w:sz w:val="20"/>
                <w:szCs w:val="20"/>
              </w:rPr>
            </w:pPr>
          </w:p>
        </w:tc>
        <w:tc>
          <w:tcPr>
            <w:tcW w:w="0" w:type="auto"/>
            <w:vAlign w:val="center"/>
            <w:hideMark/>
          </w:tcPr>
          <w:p w14:paraId="3FDAE17B" w14:textId="77777777" w:rsidR="00000000" w:rsidRDefault="000A3118">
            <w:pPr>
              <w:rPr>
                <w:rFonts w:eastAsia="Times New Roman"/>
                <w:sz w:val="20"/>
                <w:szCs w:val="20"/>
              </w:rPr>
            </w:pPr>
          </w:p>
        </w:tc>
      </w:tr>
      <w:tr w:rsidR="00000000" w14:paraId="57AF924E" w14:textId="77777777">
        <w:trPr>
          <w:divId w:val="1728453581"/>
        </w:trPr>
        <w:tc>
          <w:tcPr>
            <w:tcW w:w="0" w:type="auto"/>
            <w:gridSpan w:val="3"/>
            <w:shd w:val="clear" w:color="auto" w:fill="FFFFFF"/>
            <w:tcMar>
              <w:top w:w="30" w:type="dxa"/>
              <w:left w:w="135" w:type="dxa"/>
              <w:bottom w:w="30" w:type="dxa"/>
              <w:right w:w="20" w:type="dxa"/>
            </w:tcMar>
            <w:vAlign w:val="bottom"/>
            <w:hideMark/>
          </w:tcPr>
          <w:p w14:paraId="3245B86A" w14:textId="77777777" w:rsidR="00000000" w:rsidRDefault="000A3118">
            <w:pPr>
              <w:rPr>
                <w:rFonts w:eastAsia="Times New Roman"/>
              </w:rPr>
            </w:pPr>
            <w:r>
              <w:rPr>
                <w:rFonts w:eastAsia="Times New Roman"/>
                <w:color w:val="000000"/>
                <w:sz w:val="16"/>
                <w:szCs w:val="16"/>
              </w:rPr>
              <w:t>Accounts receivable, net</w:t>
            </w:r>
          </w:p>
        </w:tc>
        <w:tc>
          <w:tcPr>
            <w:tcW w:w="0" w:type="auto"/>
            <w:gridSpan w:val="3"/>
            <w:shd w:val="clear" w:color="auto" w:fill="FFFFFF"/>
            <w:tcMar>
              <w:top w:w="0" w:type="dxa"/>
              <w:left w:w="20" w:type="dxa"/>
              <w:bottom w:w="0" w:type="dxa"/>
              <w:right w:w="20" w:type="dxa"/>
            </w:tcMar>
            <w:vAlign w:val="center"/>
            <w:hideMark/>
          </w:tcPr>
          <w:p w14:paraId="37C0898F"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69FEA0" w14:textId="77777777" w:rsidR="00000000" w:rsidRDefault="000A3118">
            <w:pPr>
              <w:jc w:val="right"/>
              <w:rPr>
                <w:rFonts w:eastAsia="Times New Roman"/>
              </w:rPr>
            </w:pPr>
            <w:r>
              <w:rPr>
                <w:rFonts w:eastAsia="Times New Roman"/>
                <w:color w:val="000000"/>
                <w:sz w:val="16"/>
                <w:szCs w:val="16"/>
              </w:rPr>
              <w:t>1,244.1 </w:t>
            </w:r>
          </w:p>
        </w:tc>
        <w:tc>
          <w:tcPr>
            <w:tcW w:w="0" w:type="auto"/>
            <w:shd w:val="clear" w:color="auto" w:fill="FFFFFF"/>
            <w:tcMar>
              <w:top w:w="30" w:type="dxa"/>
              <w:left w:w="0" w:type="dxa"/>
              <w:bottom w:w="30" w:type="dxa"/>
              <w:right w:w="20" w:type="dxa"/>
            </w:tcMar>
            <w:vAlign w:val="bottom"/>
            <w:hideMark/>
          </w:tcPr>
          <w:p w14:paraId="2D5A2B8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38C3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66F517" w14:textId="77777777" w:rsidR="00000000" w:rsidRDefault="000A3118">
            <w:pPr>
              <w:jc w:val="right"/>
              <w:rPr>
                <w:rFonts w:eastAsia="Times New Roman"/>
              </w:rPr>
            </w:pPr>
            <w:r>
              <w:rPr>
                <w:rFonts w:eastAsia="Times New Roman"/>
                <w:color w:val="000000"/>
                <w:sz w:val="16"/>
                <w:szCs w:val="16"/>
              </w:rPr>
              <w:t>2,891.9 </w:t>
            </w:r>
          </w:p>
        </w:tc>
        <w:tc>
          <w:tcPr>
            <w:tcW w:w="0" w:type="auto"/>
            <w:shd w:val="clear" w:color="auto" w:fill="FFFFFF"/>
            <w:tcMar>
              <w:top w:w="30" w:type="dxa"/>
              <w:left w:w="0" w:type="dxa"/>
              <w:bottom w:w="30" w:type="dxa"/>
              <w:right w:w="20" w:type="dxa"/>
            </w:tcMar>
            <w:vAlign w:val="bottom"/>
            <w:hideMark/>
          </w:tcPr>
          <w:p w14:paraId="09D56EC4" w14:textId="77777777" w:rsidR="00000000" w:rsidRDefault="000A3118">
            <w:pPr>
              <w:jc w:val="right"/>
              <w:rPr>
                <w:rFonts w:eastAsia="Times New Roman"/>
              </w:rPr>
            </w:pPr>
          </w:p>
        </w:tc>
        <w:tc>
          <w:tcPr>
            <w:tcW w:w="0" w:type="auto"/>
            <w:vAlign w:val="center"/>
            <w:hideMark/>
          </w:tcPr>
          <w:p w14:paraId="5C070EF9" w14:textId="77777777" w:rsidR="00000000" w:rsidRDefault="000A3118">
            <w:pPr>
              <w:jc w:val="right"/>
              <w:rPr>
                <w:rFonts w:eastAsia="Times New Roman"/>
                <w:sz w:val="20"/>
                <w:szCs w:val="20"/>
              </w:rPr>
            </w:pPr>
          </w:p>
        </w:tc>
        <w:tc>
          <w:tcPr>
            <w:tcW w:w="0" w:type="auto"/>
            <w:vAlign w:val="center"/>
            <w:hideMark/>
          </w:tcPr>
          <w:p w14:paraId="15D64206" w14:textId="77777777" w:rsidR="00000000" w:rsidRDefault="000A3118">
            <w:pPr>
              <w:rPr>
                <w:rFonts w:eastAsia="Times New Roman"/>
                <w:sz w:val="20"/>
                <w:szCs w:val="20"/>
              </w:rPr>
            </w:pPr>
          </w:p>
        </w:tc>
      </w:tr>
      <w:tr w:rsidR="00000000" w14:paraId="0EB8D403" w14:textId="77777777">
        <w:trPr>
          <w:divId w:val="1728453581"/>
        </w:trPr>
        <w:tc>
          <w:tcPr>
            <w:tcW w:w="0" w:type="auto"/>
            <w:gridSpan w:val="3"/>
            <w:shd w:val="clear" w:color="auto" w:fill="CCEEFF"/>
            <w:tcMar>
              <w:top w:w="30" w:type="dxa"/>
              <w:left w:w="135" w:type="dxa"/>
              <w:bottom w:w="30" w:type="dxa"/>
              <w:right w:w="20" w:type="dxa"/>
            </w:tcMar>
            <w:vAlign w:val="bottom"/>
            <w:hideMark/>
          </w:tcPr>
          <w:p w14:paraId="058CA809" w14:textId="77777777" w:rsidR="00000000" w:rsidRDefault="000A3118">
            <w:pPr>
              <w:rPr>
                <w:rFonts w:eastAsia="Times New Roman"/>
              </w:rPr>
            </w:pPr>
            <w:r>
              <w:rPr>
                <w:rFonts w:eastAsia="Times New Roman"/>
                <w:color w:val="000000"/>
                <w:sz w:val="16"/>
                <w:szCs w:val="16"/>
              </w:rPr>
              <w:t>Inventories</w:t>
            </w:r>
          </w:p>
        </w:tc>
        <w:tc>
          <w:tcPr>
            <w:tcW w:w="0" w:type="auto"/>
            <w:gridSpan w:val="3"/>
            <w:shd w:val="clear" w:color="auto" w:fill="CCEEFF"/>
            <w:tcMar>
              <w:top w:w="0" w:type="dxa"/>
              <w:left w:w="20" w:type="dxa"/>
              <w:bottom w:w="0" w:type="dxa"/>
              <w:right w:w="20" w:type="dxa"/>
            </w:tcMar>
            <w:vAlign w:val="center"/>
            <w:hideMark/>
          </w:tcPr>
          <w:p w14:paraId="001711C1"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10BA3C" w14:textId="77777777" w:rsidR="00000000" w:rsidRDefault="000A3118">
            <w:pPr>
              <w:jc w:val="right"/>
              <w:rPr>
                <w:rFonts w:eastAsia="Times New Roman"/>
              </w:rPr>
            </w:pPr>
            <w:r>
              <w:rPr>
                <w:rFonts w:eastAsia="Times New Roman"/>
                <w:color w:val="000000"/>
                <w:sz w:val="16"/>
                <w:szCs w:val="16"/>
              </w:rPr>
              <w:t>291.0 </w:t>
            </w:r>
          </w:p>
        </w:tc>
        <w:tc>
          <w:tcPr>
            <w:tcW w:w="0" w:type="auto"/>
            <w:shd w:val="clear" w:color="auto" w:fill="CCEEFF"/>
            <w:tcMar>
              <w:top w:w="30" w:type="dxa"/>
              <w:left w:w="0" w:type="dxa"/>
              <w:bottom w:w="30" w:type="dxa"/>
              <w:right w:w="20" w:type="dxa"/>
            </w:tcMar>
            <w:vAlign w:val="bottom"/>
            <w:hideMark/>
          </w:tcPr>
          <w:p w14:paraId="6CC54E3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5660E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CF515B" w14:textId="77777777" w:rsidR="00000000" w:rsidRDefault="000A3118">
            <w:pPr>
              <w:jc w:val="right"/>
              <w:rPr>
                <w:rFonts w:eastAsia="Times New Roman"/>
              </w:rPr>
            </w:pPr>
            <w:r>
              <w:rPr>
                <w:rFonts w:eastAsia="Times New Roman"/>
                <w:color w:val="000000"/>
                <w:sz w:val="16"/>
                <w:szCs w:val="16"/>
              </w:rPr>
              <w:t>593.3 </w:t>
            </w:r>
          </w:p>
        </w:tc>
        <w:tc>
          <w:tcPr>
            <w:tcW w:w="0" w:type="auto"/>
            <w:shd w:val="clear" w:color="auto" w:fill="CCEEFF"/>
            <w:tcMar>
              <w:top w:w="30" w:type="dxa"/>
              <w:left w:w="0" w:type="dxa"/>
              <w:bottom w:w="30" w:type="dxa"/>
              <w:right w:w="20" w:type="dxa"/>
            </w:tcMar>
            <w:vAlign w:val="bottom"/>
            <w:hideMark/>
          </w:tcPr>
          <w:p w14:paraId="3071040D" w14:textId="77777777" w:rsidR="00000000" w:rsidRDefault="000A3118">
            <w:pPr>
              <w:jc w:val="right"/>
              <w:rPr>
                <w:rFonts w:eastAsia="Times New Roman"/>
              </w:rPr>
            </w:pPr>
          </w:p>
        </w:tc>
        <w:tc>
          <w:tcPr>
            <w:tcW w:w="0" w:type="auto"/>
            <w:vAlign w:val="center"/>
            <w:hideMark/>
          </w:tcPr>
          <w:p w14:paraId="7AB52117" w14:textId="77777777" w:rsidR="00000000" w:rsidRDefault="000A3118">
            <w:pPr>
              <w:jc w:val="right"/>
              <w:rPr>
                <w:rFonts w:eastAsia="Times New Roman"/>
                <w:sz w:val="20"/>
                <w:szCs w:val="20"/>
              </w:rPr>
            </w:pPr>
          </w:p>
        </w:tc>
        <w:tc>
          <w:tcPr>
            <w:tcW w:w="0" w:type="auto"/>
            <w:vAlign w:val="center"/>
            <w:hideMark/>
          </w:tcPr>
          <w:p w14:paraId="11C35C4E" w14:textId="77777777" w:rsidR="00000000" w:rsidRDefault="000A3118">
            <w:pPr>
              <w:rPr>
                <w:rFonts w:eastAsia="Times New Roman"/>
                <w:sz w:val="20"/>
                <w:szCs w:val="20"/>
              </w:rPr>
            </w:pPr>
          </w:p>
        </w:tc>
      </w:tr>
      <w:tr w:rsidR="00000000" w14:paraId="7A6E6F7D" w14:textId="77777777">
        <w:trPr>
          <w:divId w:val="1728453581"/>
        </w:trPr>
        <w:tc>
          <w:tcPr>
            <w:tcW w:w="0" w:type="auto"/>
            <w:gridSpan w:val="3"/>
            <w:shd w:val="clear" w:color="auto" w:fill="FFFFFF"/>
            <w:tcMar>
              <w:top w:w="30" w:type="dxa"/>
              <w:left w:w="135" w:type="dxa"/>
              <w:bottom w:w="30" w:type="dxa"/>
              <w:right w:w="20" w:type="dxa"/>
            </w:tcMar>
            <w:vAlign w:val="bottom"/>
            <w:hideMark/>
          </w:tcPr>
          <w:p w14:paraId="63AA28FE" w14:textId="77777777" w:rsidR="00000000" w:rsidRDefault="000A3118">
            <w:pPr>
              <w:rPr>
                <w:rFonts w:eastAsia="Times New Roman"/>
              </w:rPr>
            </w:pPr>
            <w:r>
              <w:rPr>
                <w:rFonts w:eastAsia="Times New Roman"/>
                <w:color w:val="000000"/>
                <w:sz w:val="16"/>
                <w:szCs w:val="16"/>
              </w:rPr>
              <w:t>Prepaid expenses</w:t>
            </w:r>
          </w:p>
        </w:tc>
        <w:tc>
          <w:tcPr>
            <w:tcW w:w="0" w:type="auto"/>
            <w:gridSpan w:val="3"/>
            <w:shd w:val="clear" w:color="auto" w:fill="FFFFFF"/>
            <w:tcMar>
              <w:top w:w="0" w:type="dxa"/>
              <w:left w:w="20" w:type="dxa"/>
              <w:bottom w:w="0" w:type="dxa"/>
              <w:right w:w="20" w:type="dxa"/>
            </w:tcMar>
            <w:vAlign w:val="center"/>
            <w:hideMark/>
          </w:tcPr>
          <w:p w14:paraId="11F3711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455605" w14:textId="77777777" w:rsidR="00000000" w:rsidRDefault="000A3118">
            <w:pPr>
              <w:jc w:val="right"/>
              <w:rPr>
                <w:rFonts w:eastAsia="Times New Roman"/>
              </w:rPr>
            </w:pPr>
            <w:r>
              <w:rPr>
                <w:rFonts w:eastAsia="Times New Roman"/>
                <w:color w:val="000000"/>
                <w:sz w:val="16"/>
                <w:szCs w:val="16"/>
              </w:rPr>
              <w:t>56.3 </w:t>
            </w:r>
          </w:p>
        </w:tc>
        <w:tc>
          <w:tcPr>
            <w:tcW w:w="0" w:type="auto"/>
            <w:shd w:val="clear" w:color="auto" w:fill="FFFFFF"/>
            <w:tcMar>
              <w:top w:w="30" w:type="dxa"/>
              <w:left w:w="0" w:type="dxa"/>
              <w:bottom w:w="30" w:type="dxa"/>
              <w:right w:w="20" w:type="dxa"/>
            </w:tcMar>
            <w:vAlign w:val="bottom"/>
            <w:hideMark/>
          </w:tcPr>
          <w:p w14:paraId="5601C42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FBB5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525C35" w14:textId="77777777" w:rsidR="00000000" w:rsidRDefault="000A3118">
            <w:pPr>
              <w:jc w:val="right"/>
              <w:rPr>
                <w:rFonts w:eastAsia="Times New Roman"/>
              </w:rPr>
            </w:pPr>
            <w:r>
              <w:rPr>
                <w:rFonts w:eastAsia="Times New Roman"/>
                <w:color w:val="000000"/>
                <w:sz w:val="16"/>
                <w:szCs w:val="16"/>
              </w:rPr>
              <w:t>80.6 </w:t>
            </w:r>
          </w:p>
        </w:tc>
        <w:tc>
          <w:tcPr>
            <w:tcW w:w="0" w:type="auto"/>
            <w:shd w:val="clear" w:color="auto" w:fill="FFFFFF"/>
            <w:tcMar>
              <w:top w:w="30" w:type="dxa"/>
              <w:left w:w="0" w:type="dxa"/>
              <w:bottom w:w="30" w:type="dxa"/>
              <w:right w:w="20" w:type="dxa"/>
            </w:tcMar>
            <w:vAlign w:val="bottom"/>
            <w:hideMark/>
          </w:tcPr>
          <w:p w14:paraId="3AA83D2A" w14:textId="77777777" w:rsidR="00000000" w:rsidRDefault="000A3118">
            <w:pPr>
              <w:jc w:val="right"/>
              <w:rPr>
                <w:rFonts w:eastAsia="Times New Roman"/>
              </w:rPr>
            </w:pPr>
          </w:p>
        </w:tc>
        <w:tc>
          <w:tcPr>
            <w:tcW w:w="0" w:type="auto"/>
            <w:vAlign w:val="center"/>
            <w:hideMark/>
          </w:tcPr>
          <w:p w14:paraId="633F3AEA" w14:textId="77777777" w:rsidR="00000000" w:rsidRDefault="000A3118">
            <w:pPr>
              <w:jc w:val="right"/>
              <w:rPr>
                <w:rFonts w:eastAsia="Times New Roman"/>
                <w:sz w:val="20"/>
                <w:szCs w:val="20"/>
              </w:rPr>
            </w:pPr>
          </w:p>
        </w:tc>
        <w:tc>
          <w:tcPr>
            <w:tcW w:w="0" w:type="auto"/>
            <w:vAlign w:val="center"/>
            <w:hideMark/>
          </w:tcPr>
          <w:p w14:paraId="0BC407DD" w14:textId="77777777" w:rsidR="00000000" w:rsidRDefault="000A3118">
            <w:pPr>
              <w:rPr>
                <w:rFonts w:eastAsia="Times New Roman"/>
                <w:sz w:val="20"/>
                <w:szCs w:val="20"/>
              </w:rPr>
            </w:pPr>
          </w:p>
        </w:tc>
      </w:tr>
      <w:tr w:rsidR="00000000" w14:paraId="61F10859" w14:textId="77777777">
        <w:trPr>
          <w:divId w:val="1728453581"/>
        </w:trPr>
        <w:tc>
          <w:tcPr>
            <w:tcW w:w="0" w:type="auto"/>
            <w:gridSpan w:val="3"/>
            <w:shd w:val="clear" w:color="auto" w:fill="CCEEFF"/>
            <w:tcMar>
              <w:top w:w="30" w:type="dxa"/>
              <w:left w:w="135" w:type="dxa"/>
              <w:bottom w:w="30" w:type="dxa"/>
              <w:right w:w="20" w:type="dxa"/>
            </w:tcMar>
            <w:vAlign w:val="bottom"/>
            <w:hideMark/>
          </w:tcPr>
          <w:p w14:paraId="79B8162D" w14:textId="77777777" w:rsidR="00000000" w:rsidRDefault="000A3118">
            <w:pPr>
              <w:rPr>
                <w:rFonts w:eastAsia="Times New Roman"/>
              </w:rPr>
            </w:pPr>
            <w:r>
              <w:rPr>
                <w:rFonts w:eastAsia="Times New Roman"/>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14:paraId="2637C1A6"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0CB62D" w14:textId="77777777" w:rsidR="00000000" w:rsidRDefault="000A3118">
            <w:pPr>
              <w:jc w:val="right"/>
              <w:rPr>
                <w:rFonts w:eastAsia="Times New Roman"/>
              </w:rPr>
            </w:pPr>
            <w:r>
              <w:rPr>
                <w:rFonts w:eastAsia="Times New Roman"/>
                <w:color w:val="000000"/>
                <w:sz w:val="16"/>
                <w:szCs w:val="16"/>
              </w:rPr>
              <w:t>101.4 </w:t>
            </w:r>
          </w:p>
        </w:tc>
        <w:tc>
          <w:tcPr>
            <w:tcW w:w="0" w:type="auto"/>
            <w:shd w:val="clear" w:color="auto" w:fill="CCEEFF"/>
            <w:tcMar>
              <w:top w:w="30" w:type="dxa"/>
              <w:left w:w="0" w:type="dxa"/>
              <w:bottom w:w="30" w:type="dxa"/>
              <w:right w:w="20" w:type="dxa"/>
            </w:tcMar>
            <w:vAlign w:val="bottom"/>
            <w:hideMark/>
          </w:tcPr>
          <w:p w14:paraId="36B5B10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4CA0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D77E1C" w14:textId="77777777" w:rsidR="00000000" w:rsidRDefault="000A3118">
            <w:pPr>
              <w:jc w:val="right"/>
              <w:rPr>
                <w:rFonts w:eastAsia="Times New Roman"/>
              </w:rPr>
            </w:pPr>
            <w:r>
              <w:rPr>
                <w:rFonts w:eastAsia="Times New Roman"/>
                <w:color w:val="000000"/>
                <w:sz w:val="16"/>
                <w:szCs w:val="16"/>
              </w:rPr>
              <w:t>59.5 </w:t>
            </w:r>
          </w:p>
        </w:tc>
        <w:tc>
          <w:tcPr>
            <w:tcW w:w="0" w:type="auto"/>
            <w:shd w:val="clear" w:color="auto" w:fill="CCEEFF"/>
            <w:tcMar>
              <w:top w:w="30" w:type="dxa"/>
              <w:left w:w="0" w:type="dxa"/>
              <w:bottom w:w="30" w:type="dxa"/>
              <w:right w:w="20" w:type="dxa"/>
            </w:tcMar>
            <w:vAlign w:val="bottom"/>
            <w:hideMark/>
          </w:tcPr>
          <w:p w14:paraId="640DAC8B" w14:textId="77777777" w:rsidR="00000000" w:rsidRDefault="000A3118">
            <w:pPr>
              <w:jc w:val="right"/>
              <w:rPr>
                <w:rFonts w:eastAsia="Times New Roman"/>
              </w:rPr>
            </w:pPr>
          </w:p>
        </w:tc>
        <w:tc>
          <w:tcPr>
            <w:tcW w:w="0" w:type="auto"/>
            <w:vAlign w:val="center"/>
            <w:hideMark/>
          </w:tcPr>
          <w:p w14:paraId="7BA14F6C" w14:textId="77777777" w:rsidR="00000000" w:rsidRDefault="000A3118">
            <w:pPr>
              <w:jc w:val="right"/>
              <w:rPr>
                <w:rFonts w:eastAsia="Times New Roman"/>
                <w:sz w:val="20"/>
                <w:szCs w:val="20"/>
              </w:rPr>
            </w:pPr>
          </w:p>
        </w:tc>
        <w:tc>
          <w:tcPr>
            <w:tcW w:w="0" w:type="auto"/>
            <w:vAlign w:val="center"/>
            <w:hideMark/>
          </w:tcPr>
          <w:p w14:paraId="7670D6E5" w14:textId="77777777" w:rsidR="00000000" w:rsidRDefault="000A3118">
            <w:pPr>
              <w:rPr>
                <w:rFonts w:eastAsia="Times New Roman"/>
                <w:sz w:val="20"/>
                <w:szCs w:val="20"/>
              </w:rPr>
            </w:pPr>
          </w:p>
        </w:tc>
      </w:tr>
      <w:tr w:rsidR="00000000" w14:paraId="59B2F6DF" w14:textId="77777777">
        <w:trPr>
          <w:divId w:val="1728453581"/>
        </w:trPr>
        <w:tc>
          <w:tcPr>
            <w:tcW w:w="0" w:type="auto"/>
            <w:gridSpan w:val="3"/>
            <w:vAlign w:val="center"/>
            <w:hideMark/>
          </w:tcPr>
          <w:p w14:paraId="76DA3397" w14:textId="77777777" w:rsidR="00000000" w:rsidRDefault="000A3118">
            <w:pPr>
              <w:rPr>
                <w:rFonts w:eastAsia="Times New Roman"/>
                <w:sz w:val="20"/>
                <w:szCs w:val="20"/>
              </w:rPr>
            </w:pPr>
          </w:p>
        </w:tc>
        <w:tc>
          <w:tcPr>
            <w:tcW w:w="0" w:type="auto"/>
            <w:gridSpan w:val="3"/>
            <w:vAlign w:val="center"/>
            <w:hideMark/>
          </w:tcPr>
          <w:p w14:paraId="2BFA3253" w14:textId="77777777" w:rsidR="00000000" w:rsidRDefault="000A3118">
            <w:pPr>
              <w:rPr>
                <w:rFonts w:eastAsia="Times New Roman"/>
                <w:sz w:val="20"/>
                <w:szCs w:val="20"/>
              </w:rPr>
            </w:pPr>
          </w:p>
        </w:tc>
        <w:tc>
          <w:tcPr>
            <w:tcW w:w="0" w:type="auto"/>
            <w:gridSpan w:val="3"/>
            <w:vAlign w:val="center"/>
            <w:hideMark/>
          </w:tcPr>
          <w:p w14:paraId="38696767" w14:textId="77777777" w:rsidR="00000000" w:rsidRDefault="000A3118">
            <w:pPr>
              <w:rPr>
                <w:rFonts w:eastAsia="Times New Roman"/>
                <w:sz w:val="20"/>
                <w:szCs w:val="20"/>
              </w:rPr>
            </w:pPr>
          </w:p>
        </w:tc>
        <w:tc>
          <w:tcPr>
            <w:tcW w:w="0" w:type="auto"/>
            <w:gridSpan w:val="3"/>
            <w:vAlign w:val="center"/>
            <w:hideMark/>
          </w:tcPr>
          <w:p w14:paraId="3EB0BEAC" w14:textId="77777777" w:rsidR="00000000" w:rsidRDefault="000A3118">
            <w:pPr>
              <w:rPr>
                <w:rFonts w:eastAsia="Times New Roman"/>
                <w:sz w:val="20"/>
                <w:szCs w:val="20"/>
              </w:rPr>
            </w:pPr>
          </w:p>
        </w:tc>
        <w:tc>
          <w:tcPr>
            <w:tcW w:w="0" w:type="auto"/>
            <w:gridSpan w:val="3"/>
            <w:vAlign w:val="center"/>
            <w:hideMark/>
          </w:tcPr>
          <w:p w14:paraId="1D8FA7AD" w14:textId="77777777" w:rsidR="00000000" w:rsidRDefault="000A3118">
            <w:pPr>
              <w:rPr>
                <w:rFonts w:eastAsia="Times New Roman"/>
                <w:sz w:val="20"/>
                <w:szCs w:val="20"/>
              </w:rPr>
            </w:pPr>
          </w:p>
        </w:tc>
        <w:tc>
          <w:tcPr>
            <w:tcW w:w="0" w:type="auto"/>
            <w:vAlign w:val="center"/>
            <w:hideMark/>
          </w:tcPr>
          <w:p w14:paraId="2B204D7F" w14:textId="77777777" w:rsidR="00000000" w:rsidRDefault="000A3118">
            <w:pPr>
              <w:rPr>
                <w:rFonts w:eastAsia="Times New Roman"/>
                <w:sz w:val="20"/>
                <w:szCs w:val="20"/>
              </w:rPr>
            </w:pPr>
          </w:p>
        </w:tc>
        <w:tc>
          <w:tcPr>
            <w:tcW w:w="0" w:type="auto"/>
            <w:vAlign w:val="center"/>
            <w:hideMark/>
          </w:tcPr>
          <w:p w14:paraId="1149DD14" w14:textId="77777777" w:rsidR="00000000" w:rsidRDefault="000A3118">
            <w:pPr>
              <w:rPr>
                <w:rFonts w:eastAsia="Times New Roman"/>
                <w:sz w:val="20"/>
                <w:szCs w:val="20"/>
              </w:rPr>
            </w:pPr>
          </w:p>
        </w:tc>
      </w:tr>
      <w:tr w:rsidR="00000000" w14:paraId="26434F6E" w14:textId="77777777">
        <w:trPr>
          <w:divId w:val="1728453581"/>
        </w:trPr>
        <w:tc>
          <w:tcPr>
            <w:tcW w:w="0" w:type="auto"/>
            <w:gridSpan w:val="3"/>
            <w:shd w:val="clear" w:color="auto" w:fill="FFFFFF"/>
            <w:tcMar>
              <w:top w:w="30" w:type="dxa"/>
              <w:left w:w="135" w:type="dxa"/>
              <w:bottom w:w="30" w:type="dxa"/>
              <w:right w:w="20" w:type="dxa"/>
            </w:tcMar>
            <w:vAlign w:val="bottom"/>
            <w:hideMark/>
          </w:tcPr>
          <w:p w14:paraId="41B5A21A" w14:textId="77777777" w:rsidR="00000000" w:rsidRDefault="000A3118">
            <w:pPr>
              <w:rPr>
                <w:rFonts w:eastAsia="Times New Roman"/>
              </w:rPr>
            </w:pPr>
            <w:r>
              <w:rPr>
                <w:rFonts w:eastAsia="Times New Roman"/>
                <w:color w:val="000000"/>
                <w:sz w:val="16"/>
                <w:szCs w:val="16"/>
              </w:rPr>
              <w:t>Other current assets</w:t>
            </w:r>
          </w:p>
        </w:tc>
        <w:tc>
          <w:tcPr>
            <w:tcW w:w="0" w:type="auto"/>
            <w:gridSpan w:val="3"/>
            <w:shd w:val="clear" w:color="auto" w:fill="FFFFFF"/>
            <w:tcMar>
              <w:top w:w="0" w:type="dxa"/>
              <w:left w:w="20" w:type="dxa"/>
              <w:bottom w:w="0" w:type="dxa"/>
              <w:right w:w="20" w:type="dxa"/>
            </w:tcMar>
            <w:vAlign w:val="center"/>
            <w:hideMark/>
          </w:tcPr>
          <w:p w14:paraId="70189828"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923921" w14:textId="77777777" w:rsidR="00000000" w:rsidRDefault="000A3118">
            <w:pPr>
              <w:jc w:val="right"/>
              <w:rPr>
                <w:rFonts w:eastAsia="Times New Roman"/>
              </w:rPr>
            </w:pPr>
            <w:r>
              <w:rPr>
                <w:rFonts w:eastAsia="Times New Roman"/>
                <w:color w:val="000000"/>
                <w:sz w:val="16"/>
                <w:szCs w:val="16"/>
              </w:rPr>
              <w:t>269.2 </w:t>
            </w:r>
          </w:p>
        </w:tc>
        <w:tc>
          <w:tcPr>
            <w:tcW w:w="0" w:type="auto"/>
            <w:shd w:val="clear" w:color="auto" w:fill="FFFFFF"/>
            <w:tcMar>
              <w:top w:w="30" w:type="dxa"/>
              <w:left w:w="0" w:type="dxa"/>
              <w:bottom w:w="30" w:type="dxa"/>
              <w:right w:w="20" w:type="dxa"/>
            </w:tcMar>
            <w:vAlign w:val="bottom"/>
            <w:hideMark/>
          </w:tcPr>
          <w:p w14:paraId="56A697E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E6EE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927D86" w14:textId="77777777" w:rsidR="00000000" w:rsidRDefault="000A3118">
            <w:pPr>
              <w:jc w:val="right"/>
              <w:rPr>
                <w:rFonts w:eastAsia="Times New Roman"/>
              </w:rPr>
            </w:pPr>
            <w:r>
              <w:rPr>
                <w:rFonts w:eastAsia="Times New Roman"/>
                <w:color w:val="000000"/>
                <w:sz w:val="16"/>
                <w:szCs w:val="16"/>
              </w:rPr>
              <w:t>358.8 </w:t>
            </w:r>
          </w:p>
        </w:tc>
        <w:tc>
          <w:tcPr>
            <w:tcW w:w="0" w:type="auto"/>
            <w:shd w:val="clear" w:color="auto" w:fill="FFFFFF"/>
            <w:tcMar>
              <w:top w:w="30" w:type="dxa"/>
              <w:left w:w="0" w:type="dxa"/>
              <w:bottom w:w="30" w:type="dxa"/>
              <w:right w:w="20" w:type="dxa"/>
            </w:tcMar>
            <w:vAlign w:val="bottom"/>
            <w:hideMark/>
          </w:tcPr>
          <w:p w14:paraId="20E64816" w14:textId="77777777" w:rsidR="00000000" w:rsidRDefault="000A3118">
            <w:pPr>
              <w:jc w:val="right"/>
              <w:rPr>
                <w:rFonts w:eastAsia="Times New Roman"/>
              </w:rPr>
            </w:pPr>
          </w:p>
        </w:tc>
        <w:tc>
          <w:tcPr>
            <w:tcW w:w="0" w:type="auto"/>
            <w:vAlign w:val="center"/>
            <w:hideMark/>
          </w:tcPr>
          <w:p w14:paraId="3D6835A1" w14:textId="77777777" w:rsidR="00000000" w:rsidRDefault="000A3118">
            <w:pPr>
              <w:jc w:val="right"/>
              <w:rPr>
                <w:rFonts w:eastAsia="Times New Roman"/>
                <w:sz w:val="20"/>
                <w:szCs w:val="20"/>
              </w:rPr>
            </w:pPr>
          </w:p>
        </w:tc>
        <w:tc>
          <w:tcPr>
            <w:tcW w:w="0" w:type="auto"/>
            <w:vAlign w:val="center"/>
            <w:hideMark/>
          </w:tcPr>
          <w:p w14:paraId="61DE3FD2" w14:textId="77777777" w:rsidR="00000000" w:rsidRDefault="000A3118">
            <w:pPr>
              <w:rPr>
                <w:rFonts w:eastAsia="Times New Roman"/>
                <w:sz w:val="20"/>
                <w:szCs w:val="20"/>
              </w:rPr>
            </w:pPr>
          </w:p>
        </w:tc>
      </w:tr>
      <w:tr w:rsidR="00000000" w14:paraId="7F1C7496" w14:textId="77777777">
        <w:trPr>
          <w:divId w:val="1728453581"/>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14:paraId="7F4AF743" w14:textId="77777777" w:rsidR="00000000" w:rsidRDefault="000A3118">
            <w:pPr>
              <w:rPr>
                <w:rFonts w:eastAsia="Times New Roman"/>
              </w:rPr>
            </w:pPr>
            <w:r>
              <w:rPr>
                <w:rFonts w:eastAsia="Times New Roman"/>
                <w:color w:val="000000"/>
                <w:sz w:val="16"/>
                <w:szCs w:val="16"/>
              </w:rPr>
              <w:t>Total current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FCD067"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D4046A" w14:textId="77777777" w:rsidR="00000000" w:rsidRDefault="000A3118">
            <w:pPr>
              <w:jc w:val="right"/>
              <w:rPr>
                <w:rFonts w:eastAsia="Times New Roman"/>
              </w:rPr>
            </w:pPr>
            <w:r>
              <w:rPr>
                <w:rFonts w:eastAsia="Times New Roman"/>
                <w:color w:val="000000"/>
                <w:sz w:val="16"/>
                <w:szCs w:val="16"/>
              </w:rPr>
              <w:t>2,534.8 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BA403B"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3EFCA9"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6FC872" w14:textId="77777777" w:rsidR="00000000" w:rsidRDefault="000A3118">
            <w:pPr>
              <w:jc w:val="right"/>
              <w:rPr>
                <w:rFonts w:eastAsia="Times New Roman"/>
              </w:rPr>
            </w:pPr>
            <w:r>
              <w:rPr>
                <w:rFonts w:eastAsia="Times New Roman"/>
                <w:color w:val="000000"/>
                <w:sz w:val="16"/>
                <w:szCs w:val="16"/>
              </w:rPr>
              <w:t>4,170.1 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698A37" w14:textId="77777777" w:rsidR="00000000" w:rsidRDefault="000A3118">
            <w:pPr>
              <w:jc w:val="right"/>
              <w:rPr>
                <w:rFonts w:eastAsia="Times New Roman"/>
              </w:rPr>
            </w:pPr>
          </w:p>
        </w:tc>
        <w:tc>
          <w:tcPr>
            <w:tcW w:w="0" w:type="auto"/>
            <w:vAlign w:val="center"/>
            <w:hideMark/>
          </w:tcPr>
          <w:p w14:paraId="1BE840CA" w14:textId="77777777" w:rsidR="00000000" w:rsidRDefault="000A3118">
            <w:pPr>
              <w:jc w:val="right"/>
              <w:rPr>
                <w:rFonts w:eastAsia="Times New Roman"/>
                <w:sz w:val="20"/>
                <w:szCs w:val="20"/>
              </w:rPr>
            </w:pPr>
          </w:p>
        </w:tc>
        <w:tc>
          <w:tcPr>
            <w:tcW w:w="0" w:type="auto"/>
            <w:vAlign w:val="center"/>
            <w:hideMark/>
          </w:tcPr>
          <w:p w14:paraId="380A52EF" w14:textId="77777777" w:rsidR="00000000" w:rsidRDefault="000A3118">
            <w:pPr>
              <w:rPr>
                <w:rFonts w:eastAsia="Times New Roman"/>
                <w:sz w:val="20"/>
                <w:szCs w:val="20"/>
              </w:rPr>
            </w:pPr>
          </w:p>
        </w:tc>
      </w:tr>
      <w:tr w:rsidR="00000000" w14:paraId="58087EC6" w14:textId="77777777">
        <w:trPr>
          <w:divId w:val="1728453581"/>
        </w:trPr>
        <w:tc>
          <w:tcPr>
            <w:tcW w:w="0" w:type="auto"/>
            <w:gridSpan w:val="3"/>
            <w:shd w:val="clear" w:color="auto" w:fill="FFFFFF"/>
            <w:tcMar>
              <w:top w:w="30" w:type="dxa"/>
              <w:left w:w="20" w:type="dxa"/>
              <w:bottom w:w="30" w:type="dxa"/>
              <w:right w:w="20" w:type="dxa"/>
            </w:tcMar>
            <w:vAlign w:val="bottom"/>
            <w:hideMark/>
          </w:tcPr>
          <w:p w14:paraId="01B18F90" w14:textId="77777777" w:rsidR="00000000" w:rsidRDefault="000A3118">
            <w:pPr>
              <w:rPr>
                <w:rFonts w:eastAsia="Times New Roman"/>
              </w:rPr>
            </w:pPr>
            <w:r>
              <w:rPr>
                <w:rFonts w:eastAsia="Times New Roman"/>
                <w:color w:val="000000"/>
                <w:sz w:val="16"/>
                <w:szCs w:val="16"/>
              </w:rPr>
              <w:t>Property and equipment, net</w:t>
            </w:r>
          </w:p>
        </w:tc>
        <w:tc>
          <w:tcPr>
            <w:tcW w:w="0" w:type="auto"/>
            <w:gridSpan w:val="3"/>
            <w:shd w:val="clear" w:color="auto" w:fill="FFFFFF"/>
            <w:tcMar>
              <w:top w:w="0" w:type="dxa"/>
              <w:left w:w="20" w:type="dxa"/>
              <w:bottom w:w="0" w:type="dxa"/>
              <w:right w:w="20" w:type="dxa"/>
            </w:tcMar>
            <w:vAlign w:val="center"/>
            <w:hideMark/>
          </w:tcPr>
          <w:p w14:paraId="13DD3E8A"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B4E298" w14:textId="77777777" w:rsidR="00000000" w:rsidRDefault="000A3118">
            <w:pPr>
              <w:jc w:val="right"/>
              <w:rPr>
                <w:rFonts w:eastAsia="Times New Roman"/>
              </w:rPr>
            </w:pPr>
            <w:r>
              <w:rPr>
                <w:rFonts w:eastAsia="Times New Roman"/>
                <w:color w:val="000000"/>
                <w:sz w:val="16"/>
                <w:szCs w:val="16"/>
              </w:rPr>
              <w:t>347.8 </w:t>
            </w:r>
          </w:p>
        </w:tc>
        <w:tc>
          <w:tcPr>
            <w:tcW w:w="0" w:type="auto"/>
            <w:shd w:val="clear" w:color="auto" w:fill="FFFFFF"/>
            <w:tcMar>
              <w:top w:w="30" w:type="dxa"/>
              <w:left w:w="0" w:type="dxa"/>
              <w:bottom w:w="30" w:type="dxa"/>
              <w:right w:w="20" w:type="dxa"/>
            </w:tcMar>
            <w:vAlign w:val="bottom"/>
            <w:hideMark/>
          </w:tcPr>
          <w:p w14:paraId="1B659D0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553F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B3A080" w14:textId="77777777" w:rsidR="00000000" w:rsidRDefault="000A3118">
            <w:pPr>
              <w:jc w:val="right"/>
              <w:rPr>
                <w:rFonts w:eastAsia="Times New Roman"/>
              </w:rPr>
            </w:pPr>
            <w:r>
              <w:rPr>
                <w:rFonts w:eastAsia="Times New Roman"/>
                <w:color w:val="000000"/>
                <w:sz w:val="16"/>
                <w:szCs w:val="16"/>
              </w:rPr>
              <w:t>360.9 </w:t>
            </w:r>
          </w:p>
        </w:tc>
        <w:tc>
          <w:tcPr>
            <w:tcW w:w="0" w:type="auto"/>
            <w:shd w:val="clear" w:color="auto" w:fill="FFFFFF"/>
            <w:tcMar>
              <w:top w:w="30" w:type="dxa"/>
              <w:left w:w="0" w:type="dxa"/>
              <w:bottom w:w="30" w:type="dxa"/>
              <w:right w:w="20" w:type="dxa"/>
            </w:tcMar>
            <w:vAlign w:val="bottom"/>
            <w:hideMark/>
          </w:tcPr>
          <w:p w14:paraId="1020F996" w14:textId="77777777" w:rsidR="00000000" w:rsidRDefault="000A3118">
            <w:pPr>
              <w:jc w:val="right"/>
              <w:rPr>
                <w:rFonts w:eastAsia="Times New Roman"/>
              </w:rPr>
            </w:pPr>
          </w:p>
        </w:tc>
        <w:tc>
          <w:tcPr>
            <w:tcW w:w="0" w:type="auto"/>
            <w:vAlign w:val="center"/>
            <w:hideMark/>
          </w:tcPr>
          <w:p w14:paraId="5C13B3FA" w14:textId="77777777" w:rsidR="00000000" w:rsidRDefault="000A3118">
            <w:pPr>
              <w:jc w:val="right"/>
              <w:rPr>
                <w:rFonts w:eastAsia="Times New Roman"/>
                <w:sz w:val="20"/>
                <w:szCs w:val="20"/>
              </w:rPr>
            </w:pPr>
          </w:p>
        </w:tc>
        <w:tc>
          <w:tcPr>
            <w:tcW w:w="0" w:type="auto"/>
            <w:vAlign w:val="center"/>
            <w:hideMark/>
          </w:tcPr>
          <w:p w14:paraId="7AEC5868" w14:textId="77777777" w:rsidR="00000000" w:rsidRDefault="000A3118">
            <w:pPr>
              <w:rPr>
                <w:rFonts w:eastAsia="Times New Roman"/>
                <w:sz w:val="20"/>
                <w:szCs w:val="20"/>
              </w:rPr>
            </w:pPr>
          </w:p>
        </w:tc>
      </w:tr>
      <w:tr w:rsidR="00000000" w14:paraId="72D426F2" w14:textId="77777777">
        <w:trPr>
          <w:divId w:val="1728453581"/>
        </w:trPr>
        <w:tc>
          <w:tcPr>
            <w:tcW w:w="0" w:type="auto"/>
            <w:gridSpan w:val="3"/>
            <w:shd w:val="clear" w:color="auto" w:fill="CCEEFF"/>
            <w:tcMar>
              <w:top w:w="30" w:type="dxa"/>
              <w:left w:w="20" w:type="dxa"/>
              <w:bottom w:w="30" w:type="dxa"/>
              <w:right w:w="20" w:type="dxa"/>
            </w:tcMar>
            <w:vAlign w:val="bottom"/>
            <w:hideMark/>
          </w:tcPr>
          <w:p w14:paraId="58F44878" w14:textId="77777777" w:rsidR="00000000" w:rsidRDefault="000A3118">
            <w:pPr>
              <w:rPr>
                <w:rFonts w:eastAsia="Times New Roman"/>
              </w:rPr>
            </w:pPr>
            <w:r>
              <w:rPr>
                <w:rFonts w:eastAsia="Times New Roman"/>
                <w:color w:val="000000"/>
                <w:sz w:val="16"/>
                <w:szCs w:val="16"/>
              </w:rPr>
              <w:t>Goodwill</w:t>
            </w:r>
          </w:p>
        </w:tc>
        <w:tc>
          <w:tcPr>
            <w:tcW w:w="0" w:type="auto"/>
            <w:gridSpan w:val="3"/>
            <w:shd w:val="clear" w:color="auto" w:fill="CCEEFF"/>
            <w:tcMar>
              <w:top w:w="0" w:type="dxa"/>
              <w:left w:w="20" w:type="dxa"/>
              <w:bottom w:w="0" w:type="dxa"/>
              <w:right w:w="20" w:type="dxa"/>
            </w:tcMar>
            <w:vAlign w:val="center"/>
            <w:hideMark/>
          </w:tcPr>
          <w:p w14:paraId="2E8D1BEE"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75485C" w14:textId="77777777" w:rsidR="00000000" w:rsidRDefault="000A3118">
            <w:pPr>
              <w:jc w:val="right"/>
              <w:rPr>
                <w:rFonts w:eastAsia="Times New Roman"/>
              </w:rPr>
            </w:pPr>
            <w:r>
              <w:rPr>
                <w:rFonts w:eastAsia="Times New Roman"/>
                <w:color w:val="000000"/>
                <w:sz w:val="16"/>
                <w:szCs w:val="16"/>
              </w:rPr>
              <w:t>848.2 </w:t>
            </w:r>
          </w:p>
        </w:tc>
        <w:tc>
          <w:tcPr>
            <w:tcW w:w="0" w:type="auto"/>
            <w:shd w:val="clear" w:color="auto" w:fill="CCEEFF"/>
            <w:tcMar>
              <w:top w:w="30" w:type="dxa"/>
              <w:left w:w="0" w:type="dxa"/>
              <w:bottom w:w="30" w:type="dxa"/>
              <w:right w:w="20" w:type="dxa"/>
            </w:tcMar>
            <w:vAlign w:val="bottom"/>
            <w:hideMark/>
          </w:tcPr>
          <w:p w14:paraId="0C65D58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D694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7D4680" w14:textId="77777777" w:rsidR="00000000" w:rsidRDefault="000A3118">
            <w:pPr>
              <w:jc w:val="right"/>
              <w:rPr>
                <w:rFonts w:eastAsia="Times New Roman"/>
              </w:rPr>
            </w:pPr>
            <w:r>
              <w:rPr>
                <w:rFonts w:eastAsia="Times New Roman"/>
                <w:color w:val="000000"/>
                <w:sz w:val="16"/>
                <w:szCs w:val="16"/>
              </w:rPr>
              <w:t>843.7 </w:t>
            </w:r>
          </w:p>
        </w:tc>
        <w:tc>
          <w:tcPr>
            <w:tcW w:w="0" w:type="auto"/>
            <w:shd w:val="clear" w:color="auto" w:fill="CCEEFF"/>
            <w:tcMar>
              <w:top w:w="30" w:type="dxa"/>
              <w:left w:w="0" w:type="dxa"/>
              <w:bottom w:w="30" w:type="dxa"/>
              <w:right w:w="20" w:type="dxa"/>
            </w:tcMar>
            <w:vAlign w:val="bottom"/>
            <w:hideMark/>
          </w:tcPr>
          <w:p w14:paraId="0B0677B1" w14:textId="77777777" w:rsidR="00000000" w:rsidRDefault="000A3118">
            <w:pPr>
              <w:jc w:val="right"/>
              <w:rPr>
                <w:rFonts w:eastAsia="Times New Roman"/>
              </w:rPr>
            </w:pPr>
          </w:p>
        </w:tc>
        <w:tc>
          <w:tcPr>
            <w:tcW w:w="0" w:type="auto"/>
            <w:vAlign w:val="center"/>
            <w:hideMark/>
          </w:tcPr>
          <w:p w14:paraId="122A76F4" w14:textId="77777777" w:rsidR="00000000" w:rsidRDefault="000A3118">
            <w:pPr>
              <w:jc w:val="right"/>
              <w:rPr>
                <w:rFonts w:eastAsia="Times New Roman"/>
                <w:sz w:val="20"/>
                <w:szCs w:val="20"/>
              </w:rPr>
            </w:pPr>
          </w:p>
        </w:tc>
        <w:tc>
          <w:tcPr>
            <w:tcW w:w="0" w:type="auto"/>
            <w:vAlign w:val="center"/>
            <w:hideMark/>
          </w:tcPr>
          <w:p w14:paraId="02222438" w14:textId="77777777" w:rsidR="00000000" w:rsidRDefault="000A3118">
            <w:pPr>
              <w:rPr>
                <w:rFonts w:eastAsia="Times New Roman"/>
                <w:sz w:val="20"/>
                <w:szCs w:val="20"/>
              </w:rPr>
            </w:pPr>
          </w:p>
        </w:tc>
      </w:tr>
      <w:tr w:rsidR="00000000" w14:paraId="6E25D89C" w14:textId="77777777">
        <w:trPr>
          <w:divId w:val="1728453581"/>
        </w:trPr>
        <w:tc>
          <w:tcPr>
            <w:tcW w:w="0" w:type="auto"/>
            <w:gridSpan w:val="3"/>
            <w:shd w:val="clear" w:color="auto" w:fill="FFFFFF"/>
            <w:tcMar>
              <w:top w:w="30" w:type="dxa"/>
              <w:left w:w="20" w:type="dxa"/>
              <w:bottom w:w="30" w:type="dxa"/>
              <w:right w:w="20" w:type="dxa"/>
            </w:tcMar>
            <w:vAlign w:val="bottom"/>
            <w:hideMark/>
          </w:tcPr>
          <w:p w14:paraId="4FE7115E" w14:textId="77777777" w:rsidR="00000000" w:rsidRDefault="000A3118">
            <w:pPr>
              <w:rPr>
                <w:rFonts w:eastAsia="Times New Roman"/>
              </w:rPr>
            </w:pPr>
            <w:r>
              <w:rPr>
                <w:rFonts w:eastAsia="Times New Roman"/>
                <w:color w:val="000000"/>
                <w:sz w:val="16"/>
                <w:szCs w:val="16"/>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14:paraId="6E9232DD"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B641D1" w14:textId="77777777" w:rsidR="00000000" w:rsidRDefault="000A3118">
            <w:pPr>
              <w:jc w:val="right"/>
              <w:rPr>
                <w:rFonts w:eastAsia="Times New Roman"/>
              </w:rPr>
            </w:pPr>
            <w:r>
              <w:rPr>
                <w:rFonts w:eastAsia="Times New Roman"/>
                <w:color w:val="000000"/>
                <w:sz w:val="16"/>
                <w:szCs w:val="16"/>
              </w:rPr>
              <w:t>661.5 </w:t>
            </w:r>
          </w:p>
        </w:tc>
        <w:tc>
          <w:tcPr>
            <w:tcW w:w="0" w:type="auto"/>
            <w:shd w:val="clear" w:color="auto" w:fill="FFFFFF"/>
            <w:tcMar>
              <w:top w:w="30" w:type="dxa"/>
              <w:left w:w="0" w:type="dxa"/>
              <w:bottom w:w="30" w:type="dxa"/>
              <w:right w:w="20" w:type="dxa"/>
            </w:tcMar>
            <w:vAlign w:val="bottom"/>
            <w:hideMark/>
          </w:tcPr>
          <w:p w14:paraId="6007E0B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45AF9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6D1FA5" w14:textId="77777777" w:rsidR="00000000" w:rsidRDefault="000A3118">
            <w:pPr>
              <w:jc w:val="right"/>
              <w:rPr>
                <w:rFonts w:eastAsia="Times New Roman"/>
              </w:rPr>
            </w:pPr>
            <w:r>
              <w:rPr>
                <w:rFonts w:eastAsia="Times New Roman"/>
                <w:color w:val="000000"/>
                <w:sz w:val="16"/>
                <w:szCs w:val="16"/>
              </w:rPr>
              <w:t>617.7 </w:t>
            </w:r>
          </w:p>
        </w:tc>
        <w:tc>
          <w:tcPr>
            <w:tcW w:w="0" w:type="auto"/>
            <w:shd w:val="clear" w:color="auto" w:fill="FFFFFF"/>
            <w:tcMar>
              <w:top w:w="30" w:type="dxa"/>
              <w:left w:w="0" w:type="dxa"/>
              <w:bottom w:w="30" w:type="dxa"/>
              <w:right w:w="20" w:type="dxa"/>
            </w:tcMar>
            <w:vAlign w:val="bottom"/>
            <w:hideMark/>
          </w:tcPr>
          <w:p w14:paraId="0263F235" w14:textId="77777777" w:rsidR="00000000" w:rsidRDefault="000A3118">
            <w:pPr>
              <w:jc w:val="right"/>
              <w:rPr>
                <w:rFonts w:eastAsia="Times New Roman"/>
              </w:rPr>
            </w:pPr>
          </w:p>
        </w:tc>
        <w:tc>
          <w:tcPr>
            <w:tcW w:w="0" w:type="auto"/>
            <w:vAlign w:val="center"/>
            <w:hideMark/>
          </w:tcPr>
          <w:p w14:paraId="4F4F9912" w14:textId="77777777" w:rsidR="00000000" w:rsidRDefault="000A3118">
            <w:pPr>
              <w:jc w:val="right"/>
              <w:rPr>
                <w:rFonts w:eastAsia="Times New Roman"/>
                <w:sz w:val="20"/>
                <w:szCs w:val="20"/>
              </w:rPr>
            </w:pPr>
          </w:p>
        </w:tc>
        <w:tc>
          <w:tcPr>
            <w:tcW w:w="0" w:type="auto"/>
            <w:vAlign w:val="center"/>
            <w:hideMark/>
          </w:tcPr>
          <w:p w14:paraId="3BB01BC3" w14:textId="77777777" w:rsidR="00000000" w:rsidRDefault="000A3118">
            <w:pPr>
              <w:rPr>
                <w:rFonts w:eastAsia="Times New Roman"/>
                <w:sz w:val="20"/>
                <w:szCs w:val="20"/>
              </w:rPr>
            </w:pPr>
          </w:p>
        </w:tc>
      </w:tr>
      <w:tr w:rsidR="00000000" w14:paraId="057F7968" w14:textId="77777777">
        <w:trPr>
          <w:divId w:val="1728453581"/>
        </w:trPr>
        <w:tc>
          <w:tcPr>
            <w:tcW w:w="0" w:type="auto"/>
            <w:gridSpan w:val="3"/>
            <w:vAlign w:val="center"/>
            <w:hideMark/>
          </w:tcPr>
          <w:p w14:paraId="3CF3D188" w14:textId="77777777" w:rsidR="00000000" w:rsidRDefault="000A3118">
            <w:pPr>
              <w:rPr>
                <w:rFonts w:eastAsia="Times New Roman"/>
                <w:sz w:val="20"/>
                <w:szCs w:val="20"/>
              </w:rPr>
            </w:pPr>
          </w:p>
        </w:tc>
        <w:tc>
          <w:tcPr>
            <w:tcW w:w="0" w:type="auto"/>
            <w:gridSpan w:val="3"/>
            <w:vAlign w:val="center"/>
            <w:hideMark/>
          </w:tcPr>
          <w:p w14:paraId="70BA27CB" w14:textId="77777777" w:rsidR="00000000" w:rsidRDefault="000A3118">
            <w:pPr>
              <w:rPr>
                <w:rFonts w:eastAsia="Times New Roman"/>
                <w:sz w:val="20"/>
                <w:szCs w:val="20"/>
              </w:rPr>
            </w:pPr>
          </w:p>
        </w:tc>
        <w:tc>
          <w:tcPr>
            <w:tcW w:w="0" w:type="auto"/>
            <w:gridSpan w:val="3"/>
            <w:vAlign w:val="center"/>
            <w:hideMark/>
          </w:tcPr>
          <w:p w14:paraId="30958B56" w14:textId="77777777" w:rsidR="00000000" w:rsidRDefault="000A3118">
            <w:pPr>
              <w:rPr>
                <w:rFonts w:eastAsia="Times New Roman"/>
                <w:sz w:val="20"/>
                <w:szCs w:val="20"/>
              </w:rPr>
            </w:pPr>
          </w:p>
        </w:tc>
        <w:tc>
          <w:tcPr>
            <w:tcW w:w="0" w:type="auto"/>
            <w:gridSpan w:val="3"/>
            <w:vAlign w:val="center"/>
            <w:hideMark/>
          </w:tcPr>
          <w:p w14:paraId="740F2DFE" w14:textId="77777777" w:rsidR="00000000" w:rsidRDefault="000A3118">
            <w:pPr>
              <w:rPr>
                <w:rFonts w:eastAsia="Times New Roman"/>
                <w:sz w:val="20"/>
                <w:szCs w:val="20"/>
              </w:rPr>
            </w:pPr>
          </w:p>
        </w:tc>
        <w:tc>
          <w:tcPr>
            <w:tcW w:w="0" w:type="auto"/>
            <w:gridSpan w:val="3"/>
            <w:vAlign w:val="center"/>
            <w:hideMark/>
          </w:tcPr>
          <w:p w14:paraId="05645B9E" w14:textId="77777777" w:rsidR="00000000" w:rsidRDefault="000A3118">
            <w:pPr>
              <w:rPr>
                <w:rFonts w:eastAsia="Times New Roman"/>
                <w:sz w:val="20"/>
                <w:szCs w:val="20"/>
              </w:rPr>
            </w:pPr>
          </w:p>
        </w:tc>
        <w:tc>
          <w:tcPr>
            <w:tcW w:w="0" w:type="auto"/>
            <w:vAlign w:val="center"/>
            <w:hideMark/>
          </w:tcPr>
          <w:p w14:paraId="761B7710" w14:textId="77777777" w:rsidR="00000000" w:rsidRDefault="000A3118">
            <w:pPr>
              <w:rPr>
                <w:rFonts w:eastAsia="Times New Roman"/>
                <w:sz w:val="20"/>
                <w:szCs w:val="20"/>
              </w:rPr>
            </w:pPr>
          </w:p>
        </w:tc>
        <w:tc>
          <w:tcPr>
            <w:tcW w:w="0" w:type="auto"/>
            <w:vAlign w:val="center"/>
            <w:hideMark/>
          </w:tcPr>
          <w:p w14:paraId="16B3A9A2" w14:textId="77777777" w:rsidR="00000000" w:rsidRDefault="000A3118">
            <w:pPr>
              <w:rPr>
                <w:rFonts w:eastAsia="Times New Roman"/>
                <w:sz w:val="20"/>
                <w:szCs w:val="20"/>
              </w:rPr>
            </w:pPr>
          </w:p>
        </w:tc>
      </w:tr>
      <w:tr w:rsidR="00000000" w14:paraId="19FA8BDE" w14:textId="77777777">
        <w:trPr>
          <w:divId w:val="1728453581"/>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14:paraId="06613E30" w14:textId="77777777" w:rsidR="00000000" w:rsidRDefault="000A3118">
            <w:pPr>
              <w:rPr>
                <w:rFonts w:eastAsia="Times New Roman"/>
              </w:rPr>
            </w:pPr>
            <w:r>
              <w:rPr>
                <w:rFonts w:eastAsia="Times New Roman"/>
                <w:color w:val="000000"/>
                <w:sz w:val="16"/>
                <w:szCs w:val="16"/>
              </w:rPr>
              <w:t>Total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9B5BC7"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1CBEC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D0B2B0" w14:textId="77777777" w:rsidR="00000000" w:rsidRDefault="000A3118">
            <w:pPr>
              <w:jc w:val="right"/>
              <w:rPr>
                <w:rFonts w:eastAsia="Times New Roman"/>
              </w:rPr>
            </w:pPr>
            <w:r>
              <w:rPr>
                <w:rFonts w:eastAsia="Times New Roman"/>
                <w:color w:val="000000"/>
                <w:sz w:val="16"/>
                <w:szCs w:val="16"/>
              </w:rPr>
              <w:t>4,392.3 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63D94A"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93AD11"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63666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5D4A2D" w14:textId="77777777" w:rsidR="00000000" w:rsidRDefault="000A3118">
            <w:pPr>
              <w:jc w:val="right"/>
              <w:rPr>
                <w:rFonts w:eastAsia="Times New Roman"/>
              </w:rPr>
            </w:pPr>
            <w:r>
              <w:rPr>
                <w:rFonts w:eastAsia="Times New Roman"/>
                <w:color w:val="000000"/>
                <w:sz w:val="16"/>
                <w:szCs w:val="16"/>
              </w:rPr>
              <w:t>5,992.4 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F36D61" w14:textId="77777777" w:rsidR="00000000" w:rsidRDefault="000A3118">
            <w:pPr>
              <w:jc w:val="right"/>
              <w:rPr>
                <w:rFonts w:eastAsia="Times New Roman"/>
              </w:rPr>
            </w:pPr>
          </w:p>
        </w:tc>
        <w:tc>
          <w:tcPr>
            <w:tcW w:w="0" w:type="auto"/>
            <w:vAlign w:val="center"/>
            <w:hideMark/>
          </w:tcPr>
          <w:p w14:paraId="2BB7CB3A" w14:textId="77777777" w:rsidR="00000000" w:rsidRDefault="000A3118">
            <w:pPr>
              <w:jc w:val="right"/>
              <w:rPr>
                <w:rFonts w:eastAsia="Times New Roman"/>
                <w:sz w:val="20"/>
                <w:szCs w:val="20"/>
              </w:rPr>
            </w:pPr>
          </w:p>
        </w:tc>
        <w:tc>
          <w:tcPr>
            <w:tcW w:w="0" w:type="auto"/>
            <w:vAlign w:val="center"/>
            <w:hideMark/>
          </w:tcPr>
          <w:p w14:paraId="44FC3142" w14:textId="77777777" w:rsidR="00000000" w:rsidRDefault="000A3118">
            <w:pPr>
              <w:rPr>
                <w:rFonts w:eastAsia="Times New Roman"/>
                <w:sz w:val="20"/>
                <w:szCs w:val="20"/>
              </w:rPr>
            </w:pPr>
          </w:p>
        </w:tc>
      </w:tr>
      <w:tr w:rsidR="00000000" w14:paraId="13C64B3E" w14:textId="77777777">
        <w:trPr>
          <w:divId w:val="1728453581"/>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BD483CA" w14:textId="77777777" w:rsidR="00000000" w:rsidRDefault="000A3118">
            <w:pPr>
              <w:rPr>
                <w:rFonts w:eastAsia="Times New Roman"/>
              </w:rPr>
            </w:pPr>
            <w:r>
              <w:rPr>
                <w:rFonts w:eastAsia="Times New Roman"/>
                <w:color w:val="000000"/>
                <w:sz w:val="16"/>
                <w:szCs w:val="16"/>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2D0A270" w14:textId="77777777" w:rsidR="00000000" w:rsidRDefault="000A3118">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8F49C85" w14:textId="77777777" w:rsidR="00000000" w:rsidRDefault="000A3118">
            <w:pPr>
              <w:jc w:val="right"/>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B25817E" w14:textId="77777777" w:rsidR="00000000" w:rsidRDefault="000A3118">
            <w:pPr>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8E59D42" w14:textId="77777777" w:rsidR="00000000" w:rsidRDefault="000A3118">
            <w:pPr>
              <w:jc w:val="right"/>
              <w:rPr>
                <w:rFonts w:eastAsia="Times New Roman"/>
              </w:rPr>
            </w:pPr>
            <w:r>
              <w:rPr>
                <w:rFonts w:eastAsia="Times New Roman"/>
                <w:color w:val="000000"/>
                <w:sz w:val="20"/>
                <w:szCs w:val="20"/>
              </w:rPr>
              <w:t> </w:t>
            </w:r>
          </w:p>
        </w:tc>
        <w:tc>
          <w:tcPr>
            <w:tcW w:w="0" w:type="auto"/>
            <w:vAlign w:val="center"/>
            <w:hideMark/>
          </w:tcPr>
          <w:p w14:paraId="2BCEC8B1" w14:textId="77777777" w:rsidR="00000000" w:rsidRDefault="000A3118">
            <w:pPr>
              <w:jc w:val="right"/>
              <w:rPr>
                <w:rFonts w:eastAsia="Times New Roman"/>
              </w:rPr>
            </w:pPr>
          </w:p>
        </w:tc>
        <w:tc>
          <w:tcPr>
            <w:tcW w:w="0" w:type="auto"/>
            <w:vAlign w:val="center"/>
            <w:hideMark/>
          </w:tcPr>
          <w:p w14:paraId="36F5EE5E" w14:textId="77777777" w:rsidR="00000000" w:rsidRDefault="000A3118">
            <w:pPr>
              <w:rPr>
                <w:rFonts w:eastAsia="Times New Roman"/>
                <w:sz w:val="20"/>
                <w:szCs w:val="20"/>
              </w:rPr>
            </w:pPr>
          </w:p>
        </w:tc>
      </w:tr>
      <w:tr w:rsidR="00000000" w14:paraId="6246EAB6" w14:textId="77777777">
        <w:trPr>
          <w:divId w:val="1728453581"/>
        </w:trPr>
        <w:tc>
          <w:tcPr>
            <w:tcW w:w="0" w:type="auto"/>
            <w:gridSpan w:val="3"/>
            <w:shd w:val="clear" w:color="auto" w:fill="CCEEFF"/>
            <w:tcMar>
              <w:top w:w="30" w:type="dxa"/>
              <w:left w:w="20" w:type="dxa"/>
              <w:bottom w:w="30" w:type="dxa"/>
              <w:right w:w="20" w:type="dxa"/>
            </w:tcMar>
            <w:vAlign w:val="bottom"/>
            <w:hideMark/>
          </w:tcPr>
          <w:p w14:paraId="39413AC1" w14:textId="77777777" w:rsidR="00000000" w:rsidRDefault="000A3118">
            <w:pPr>
              <w:rPr>
                <w:rFonts w:eastAsia="Times New Roman"/>
              </w:rPr>
            </w:pPr>
            <w:r>
              <w:rPr>
                <w:rFonts w:eastAsia="Times New Roman"/>
                <w:color w:val="000000"/>
                <w:sz w:val="16"/>
                <w:szCs w:val="16"/>
              </w:rPr>
              <w:t>Current liabilities:</w:t>
            </w:r>
          </w:p>
        </w:tc>
        <w:tc>
          <w:tcPr>
            <w:tcW w:w="0" w:type="auto"/>
            <w:gridSpan w:val="3"/>
            <w:shd w:val="clear" w:color="auto" w:fill="CCEEFF"/>
            <w:tcMar>
              <w:top w:w="0" w:type="dxa"/>
              <w:left w:w="20" w:type="dxa"/>
              <w:bottom w:w="0" w:type="dxa"/>
              <w:right w:w="20" w:type="dxa"/>
            </w:tcMar>
            <w:vAlign w:val="center"/>
            <w:hideMark/>
          </w:tcPr>
          <w:p w14:paraId="1677BE8E" w14:textId="77777777" w:rsidR="00000000" w:rsidRDefault="000A3118">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AD60928" w14:textId="77777777" w:rsidR="00000000" w:rsidRDefault="000A3118">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02A0684" w14:textId="77777777" w:rsidR="00000000" w:rsidRDefault="000A3118">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748DEA0" w14:textId="77777777" w:rsidR="00000000" w:rsidRDefault="000A3118">
            <w:pPr>
              <w:jc w:val="right"/>
              <w:rPr>
                <w:rFonts w:eastAsia="Times New Roman"/>
              </w:rPr>
            </w:pPr>
            <w:r>
              <w:rPr>
                <w:rFonts w:eastAsia="Times New Roman"/>
                <w:color w:val="000000"/>
                <w:sz w:val="20"/>
                <w:szCs w:val="20"/>
              </w:rPr>
              <w:t> </w:t>
            </w:r>
          </w:p>
        </w:tc>
        <w:tc>
          <w:tcPr>
            <w:tcW w:w="0" w:type="auto"/>
            <w:vAlign w:val="center"/>
            <w:hideMark/>
          </w:tcPr>
          <w:p w14:paraId="419196D0" w14:textId="77777777" w:rsidR="00000000" w:rsidRDefault="000A3118">
            <w:pPr>
              <w:jc w:val="right"/>
              <w:rPr>
                <w:rFonts w:eastAsia="Times New Roman"/>
              </w:rPr>
            </w:pPr>
          </w:p>
        </w:tc>
        <w:tc>
          <w:tcPr>
            <w:tcW w:w="0" w:type="auto"/>
            <w:vAlign w:val="center"/>
            <w:hideMark/>
          </w:tcPr>
          <w:p w14:paraId="0953789E" w14:textId="77777777" w:rsidR="00000000" w:rsidRDefault="000A3118">
            <w:pPr>
              <w:rPr>
                <w:rFonts w:eastAsia="Times New Roman"/>
                <w:sz w:val="20"/>
                <w:szCs w:val="20"/>
              </w:rPr>
            </w:pPr>
          </w:p>
        </w:tc>
      </w:tr>
      <w:tr w:rsidR="00000000" w14:paraId="72E96F13" w14:textId="77777777">
        <w:trPr>
          <w:divId w:val="1728453581"/>
        </w:trPr>
        <w:tc>
          <w:tcPr>
            <w:tcW w:w="0" w:type="auto"/>
            <w:gridSpan w:val="3"/>
            <w:shd w:val="clear" w:color="auto" w:fill="FFFFFF"/>
            <w:tcMar>
              <w:top w:w="30" w:type="dxa"/>
              <w:left w:w="135" w:type="dxa"/>
              <w:bottom w:w="30" w:type="dxa"/>
              <w:right w:w="20" w:type="dxa"/>
            </w:tcMar>
            <w:vAlign w:val="bottom"/>
            <w:hideMark/>
          </w:tcPr>
          <w:p w14:paraId="55A7337D" w14:textId="77777777" w:rsidR="00000000" w:rsidRDefault="000A3118">
            <w:pPr>
              <w:rPr>
                <w:rFonts w:eastAsia="Times New Roman"/>
              </w:rPr>
            </w:pPr>
            <w:r>
              <w:rPr>
                <w:rFonts w:eastAsia="Times New Roman"/>
                <w:color w:val="000000"/>
                <w:sz w:val="16"/>
                <w:szCs w:val="16"/>
              </w:rPr>
              <w:t>Current maturities of long-term debt</w:t>
            </w:r>
          </w:p>
        </w:tc>
        <w:tc>
          <w:tcPr>
            <w:tcW w:w="0" w:type="auto"/>
            <w:gridSpan w:val="3"/>
            <w:shd w:val="clear" w:color="auto" w:fill="FFFFFF"/>
            <w:tcMar>
              <w:top w:w="0" w:type="dxa"/>
              <w:left w:w="20" w:type="dxa"/>
              <w:bottom w:w="0" w:type="dxa"/>
              <w:right w:w="20" w:type="dxa"/>
            </w:tcMar>
            <w:vAlign w:val="center"/>
            <w:hideMark/>
          </w:tcPr>
          <w:p w14:paraId="0A6F276B"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6547E1A6"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1A89CD6" w14:textId="77777777" w:rsidR="00000000" w:rsidRDefault="000A3118">
            <w:pPr>
              <w:jc w:val="right"/>
              <w:rPr>
                <w:rFonts w:eastAsia="Times New Roman"/>
              </w:rPr>
            </w:pPr>
            <w:r>
              <w:rPr>
                <w:rFonts w:eastAsia="Times New Roman"/>
                <w:color w:val="000000"/>
                <w:sz w:val="16"/>
                <w:szCs w:val="16"/>
              </w:rPr>
              <w:t>19.6 </w:t>
            </w:r>
          </w:p>
        </w:tc>
        <w:tc>
          <w:tcPr>
            <w:tcW w:w="0" w:type="auto"/>
            <w:shd w:val="clear" w:color="auto" w:fill="FFFFFF"/>
            <w:tcMar>
              <w:top w:w="30" w:type="dxa"/>
              <w:left w:w="0" w:type="dxa"/>
              <w:bottom w:w="30" w:type="dxa"/>
              <w:right w:w="20" w:type="dxa"/>
            </w:tcMar>
            <w:vAlign w:val="bottom"/>
            <w:hideMark/>
          </w:tcPr>
          <w:p w14:paraId="0C95771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0578ED"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FD0D51"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7F4A182" w14:textId="77777777" w:rsidR="00000000" w:rsidRDefault="000A3118">
            <w:pPr>
              <w:jc w:val="right"/>
              <w:rPr>
                <w:rFonts w:eastAsia="Times New Roman"/>
              </w:rPr>
            </w:pPr>
            <w:r>
              <w:rPr>
                <w:rFonts w:eastAsia="Times New Roman"/>
                <w:color w:val="000000"/>
                <w:sz w:val="16"/>
                <w:szCs w:val="16"/>
              </w:rPr>
              <w:t>54.1 </w:t>
            </w:r>
          </w:p>
        </w:tc>
        <w:tc>
          <w:tcPr>
            <w:tcW w:w="0" w:type="auto"/>
            <w:shd w:val="clear" w:color="auto" w:fill="FFFFFF"/>
            <w:tcMar>
              <w:top w:w="30" w:type="dxa"/>
              <w:left w:w="0" w:type="dxa"/>
              <w:bottom w:w="30" w:type="dxa"/>
              <w:right w:w="20" w:type="dxa"/>
            </w:tcMar>
            <w:vAlign w:val="bottom"/>
            <w:hideMark/>
          </w:tcPr>
          <w:p w14:paraId="0EE4E434" w14:textId="77777777" w:rsidR="00000000" w:rsidRDefault="000A3118">
            <w:pPr>
              <w:jc w:val="right"/>
              <w:rPr>
                <w:rFonts w:eastAsia="Times New Roman"/>
              </w:rPr>
            </w:pPr>
          </w:p>
        </w:tc>
        <w:tc>
          <w:tcPr>
            <w:tcW w:w="0" w:type="auto"/>
            <w:vAlign w:val="center"/>
            <w:hideMark/>
          </w:tcPr>
          <w:p w14:paraId="7E13488C" w14:textId="77777777" w:rsidR="00000000" w:rsidRDefault="000A3118">
            <w:pPr>
              <w:jc w:val="right"/>
              <w:rPr>
                <w:rFonts w:eastAsia="Times New Roman"/>
                <w:sz w:val="20"/>
                <w:szCs w:val="20"/>
              </w:rPr>
            </w:pPr>
          </w:p>
        </w:tc>
        <w:tc>
          <w:tcPr>
            <w:tcW w:w="0" w:type="auto"/>
            <w:vAlign w:val="center"/>
            <w:hideMark/>
          </w:tcPr>
          <w:p w14:paraId="44D322C3" w14:textId="77777777" w:rsidR="00000000" w:rsidRDefault="000A3118">
            <w:pPr>
              <w:rPr>
                <w:rFonts w:eastAsia="Times New Roman"/>
                <w:sz w:val="20"/>
                <w:szCs w:val="20"/>
              </w:rPr>
            </w:pPr>
          </w:p>
        </w:tc>
      </w:tr>
      <w:tr w:rsidR="00000000" w14:paraId="6091F198" w14:textId="77777777">
        <w:trPr>
          <w:divId w:val="1728453581"/>
        </w:trPr>
        <w:tc>
          <w:tcPr>
            <w:tcW w:w="0" w:type="auto"/>
            <w:gridSpan w:val="3"/>
            <w:shd w:val="clear" w:color="auto" w:fill="CCEEFF"/>
            <w:tcMar>
              <w:top w:w="30" w:type="dxa"/>
              <w:left w:w="135" w:type="dxa"/>
              <w:bottom w:w="30" w:type="dxa"/>
              <w:right w:w="20" w:type="dxa"/>
            </w:tcMar>
            <w:vAlign w:val="bottom"/>
            <w:hideMark/>
          </w:tcPr>
          <w:p w14:paraId="00571CC0" w14:textId="77777777" w:rsidR="00000000" w:rsidRDefault="000A3118">
            <w:pPr>
              <w:rPr>
                <w:rFonts w:eastAsia="Times New Roman"/>
              </w:rPr>
            </w:pPr>
            <w:r>
              <w:rPr>
                <w:rFonts w:eastAsia="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center"/>
            <w:hideMark/>
          </w:tcPr>
          <w:p w14:paraId="28F69425"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9E113C" w14:textId="77777777" w:rsidR="00000000" w:rsidRDefault="000A3118">
            <w:pPr>
              <w:jc w:val="right"/>
              <w:rPr>
                <w:rFonts w:eastAsia="Times New Roman"/>
              </w:rPr>
            </w:pPr>
            <w:r>
              <w:rPr>
                <w:rFonts w:eastAsia="Times New Roman"/>
                <w:color w:val="000000"/>
                <w:sz w:val="16"/>
                <w:szCs w:val="16"/>
              </w:rPr>
              <w:t>1,085.8 </w:t>
            </w:r>
          </w:p>
        </w:tc>
        <w:tc>
          <w:tcPr>
            <w:tcW w:w="0" w:type="auto"/>
            <w:shd w:val="clear" w:color="auto" w:fill="CCEEFF"/>
            <w:tcMar>
              <w:top w:w="30" w:type="dxa"/>
              <w:left w:w="0" w:type="dxa"/>
              <w:bottom w:w="30" w:type="dxa"/>
              <w:right w:w="20" w:type="dxa"/>
            </w:tcMar>
            <w:vAlign w:val="bottom"/>
            <w:hideMark/>
          </w:tcPr>
          <w:p w14:paraId="4907D8B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123EA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B23ED" w14:textId="77777777" w:rsidR="00000000" w:rsidRDefault="000A3118">
            <w:pPr>
              <w:jc w:val="right"/>
              <w:rPr>
                <w:rFonts w:eastAsia="Times New Roman"/>
              </w:rPr>
            </w:pPr>
            <w:r>
              <w:rPr>
                <w:rFonts w:eastAsia="Times New Roman"/>
                <w:color w:val="000000"/>
                <w:sz w:val="16"/>
                <w:szCs w:val="16"/>
              </w:rPr>
              <w:t>2,602.7 </w:t>
            </w:r>
          </w:p>
        </w:tc>
        <w:tc>
          <w:tcPr>
            <w:tcW w:w="0" w:type="auto"/>
            <w:shd w:val="clear" w:color="auto" w:fill="CCEEFF"/>
            <w:tcMar>
              <w:top w:w="30" w:type="dxa"/>
              <w:left w:w="0" w:type="dxa"/>
              <w:bottom w:w="30" w:type="dxa"/>
              <w:right w:w="20" w:type="dxa"/>
            </w:tcMar>
            <w:vAlign w:val="bottom"/>
            <w:hideMark/>
          </w:tcPr>
          <w:p w14:paraId="709E13F6" w14:textId="77777777" w:rsidR="00000000" w:rsidRDefault="000A3118">
            <w:pPr>
              <w:jc w:val="right"/>
              <w:rPr>
                <w:rFonts w:eastAsia="Times New Roman"/>
              </w:rPr>
            </w:pPr>
          </w:p>
        </w:tc>
        <w:tc>
          <w:tcPr>
            <w:tcW w:w="0" w:type="auto"/>
            <w:vAlign w:val="center"/>
            <w:hideMark/>
          </w:tcPr>
          <w:p w14:paraId="7B70AE8A" w14:textId="77777777" w:rsidR="00000000" w:rsidRDefault="000A3118">
            <w:pPr>
              <w:jc w:val="right"/>
              <w:rPr>
                <w:rFonts w:eastAsia="Times New Roman"/>
                <w:sz w:val="20"/>
                <w:szCs w:val="20"/>
              </w:rPr>
            </w:pPr>
          </w:p>
        </w:tc>
        <w:tc>
          <w:tcPr>
            <w:tcW w:w="0" w:type="auto"/>
            <w:vAlign w:val="center"/>
            <w:hideMark/>
          </w:tcPr>
          <w:p w14:paraId="2CE4CCCF" w14:textId="77777777" w:rsidR="00000000" w:rsidRDefault="000A3118">
            <w:pPr>
              <w:rPr>
                <w:rFonts w:eastAsia="Times New Roman"/>
                <w:sz w:val="20"/>
                <w:szCs w:val="20"/>
              </w:rPr>
            </w:pPr>
          </w:p>
        </w:tc>
      </w:tr>
      <w:tr w:rsidR="00000000" w14:paraId="0ACFCE99" w14:textId="77777777">
        <w:trPr>
          <w:divId w:val="1728453581"/>
        </w:trPr>
        <w:tc>
          <w:tcPr>
            <w:tcW w:w="0" w:type="auto"/>
            <w:gridSpan w:val="3"/>
            <w:shd w:val="clear" w:color="auto" w:fill="FFFFFF"/>
            <w:tcMar>
              <w:top w:w="30" w:type="dxa"/>
              <w:left w:w="135" w:type="dxa"/>
              <w:bottom w:w="30" w:type="dxa"/>
              <w:right w:w="20" w:type="dxa"/>
            </w:tcMar>
            <w:vAlign w:val="bottom"/>
            <w:hideMark/>
          </w:tcPr>
          <w:p w14:paraId="59EE5099" w14:textId="77777777" w:rsidR="00000000" w:rsidRDefault="000A3118">
            <w:pPr>
              <w:rPr>
                <w:rFonts w:eastAsia="Times New Roman"/>
              </w:rPr>
            </w:pPr>
            <w:r>
              <w:rPr>
                <w:rFonts w:eastAsia="Times New Roman"/>
                <w:color w:val="000000"/>
                <w:sz w:val="16"/>
                <w:szCs w:val="16"/>
              </w:rPr>
              <w:t>Customer deposits</w:t>
            </w:r>
          </w:p>
        </w:tc>
        <w:tc>
          <w:tcPr>
            <w:tcW w:w="0" w:type="auto"/>
            <w:gridSpan w:val="3"/>
            <w:shd w:val="clear" w:color="auto" w:fill="FFFFFF"/>
            <w:tcMar>
              <w:top w:w="0" w:type="dxa"/>
              <w:left w:w="20" w:type="dxa"/>
              <w:bottom w:w="0" w:type="dxa"/>
              <w:right w:w="20" w:type="dxa"/>
            </w:tcMar>
            <w:vAlign w:val="center"/>
            <w:hideMark/>
          </w:tcPr>
          <w:p w14:paraId="2696EB8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D57940" w14:textId="77777777" w:rsidR="00000000" w:rsidRDefault="000A3118">
            <w:pPr>
              <w:jc w:val="right"/>
              <w:rPr>
                <w:rFonts w:eastAsia="Times New Roman"/>
              </w:rPr>
            </w:pPr>
            <w:r>
              <w:rPr>
                <w:rFonts w:eastAsia="Times New Roman"/>
                <w:color w:val="000000"/>
                <w:sz w:val="16"/>
                <w:szCs w:val="16"/>
              </w:rPr>
              <w:t>118.5 </w:t>
            </w:r>
          </w:p>
        </w:tc>
        <w:tc>
          <w:tcPr>
            <w:tcW w:w="0" w:type="auto"/>
            <w:shd w:val="clear" w:color="auto" w:fill="FFFFFF"/>
            <w:tcMar>
              <w:top w:w="30" w:type="dxa"/>
              <w:left w:w="0" w:type="dxa"/>
              <w:bottom w:w="30" w:type="dxa"/>
              <w:right w:w="20" w:type="dxa"/>
            </w:tcMar>
            <w:vAlign w:val="bottom"/>
            <w:hideMark/>
          </w:tcPr>
          <w:p w14:paraId="4699475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3C70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0818C4" w14:textId="77777777" w:rsidR="00000000" w:rsidRDefault="000A3118">
            <w:pPr>
              <w:jc w:val="right"/>
              <w:rPr>
                <w:rFonts w:eastAsia="Times New Roman"/>
              </w:rPr>
            </w:pPr>
            <w:r>
              <w:rPr>
                <w:rFonts w:eastAsia="Times New Roman"/>
                <w:color w:val="000000"/>
                <w:sz w:val="16"/>
                <w:szCs w:val="16"/>
              </w:rPr>
              <w:t>126.7 </w:t>
            </w:r>
          </w:p>
        </w:tc>
        <w:tc>
          <w:tcPr>
            <w:tcW w:w="0" w:type="auto"/>
            <w:shd w:val="clear" w:color="auto" w:fill="FFFFFF"/>
            <w:tcMar>
              <w:top w:w="30" w:type="dxa"/>
              <w:left w:w="0" w:type="dxa"/>
              <w:bottom w:w="30" w:type="dxa"/>
              <w:right w:w="20" w:type="dxa"/>
            </w:tcMar>
            <w:vAlign w:val="bottom"/>
            <w:hideMark/>
          </w:tcPr>
          <w:p w14:paraId="7FAABEEA" w14:textId="77777777" w:rsidR="00000000" w:rsidRDefault="000A3118">
            <w:pPr>
              <w:jc w:val="right"/>
              <w:rPr>
                <w:rFonts w:eastAsia="Times New Roman"/>
              </w:rPr>
            </w:pPr>
          </w:p>
        </w:tc>
        <w:tc>
          <w:tcPr>
            <w:tcW w:w="0" w:type="auto"/>
            <w:vAlign w:val="center"/>
            <w:hideMark/>
          </w:tcPr>
          <w:p w14:paraId="546B06AF" w14:textId="77777777" w:rsidR="00000000" w:rsidRDefault="000A3118">
            <w:pPr>
              <w:jc w:val="right"/>
              <w:rPr>
                <w:rFonts w:eastAsia="Times New Roman"/>
                <w:sz w:val="20"/>
                <w:szCs w:val="20"/>
              </w:rPr>
            </w:pPr>
          </w:p>
        </w:tc>
        <w:tc>
          <w:tcPr>
            <w:tcW w:w="0" w:type="auto"/>
            <w:vAlign w:val="center"/>
            <w:hideMark/>
          </w:tcPr>
          <w:p w14:paraId="28EC42EA" w14:textId="77777777" w:rsidR="00000000" w:rsidRDefault="000A3118">
            <w:pPr>
              <w:rPr>
                <w:rFonts w:eastAsia="Times New Roman"/>
                <w:sz w:val="20"/>
                <w:szCs w:val="20"/>
              </w:rPr>
            </w:pPr>
          </w:p>
        </w:tc>
      </w:tr>
      <w:tr w:rsidR="00000000" w14:paraId="3D23CF59" w14:textId="77777777">
        <w:trPr>
          <w:divId w:val="1728453581"/>
        </w:trPr>
        <w:tc>
          <w:tcPr>
            <w:tcW w:w="0" w:type="auto"/>
            <w:gridSpan w:val="3"/>
            <w:vAlign w:val="center"/>
            <w:hideMark/>
          </w:tcPr>
          <w:p w14:paraId="613570E9" w14:textId="77777777" w:rsidR="00000000" w:rsidRDefault="000A3118">
            <w:pPr>
              <w:rPr>
                <w:rFonts w:eastAsia="Times New Roman"/>
                <w:sz w:val="20"/>
                <w:szCs w:val="20"/>
              </w:rPr>
            </w:pPr>
          </w:p>
        </w:tc>
        <w:tc>
          <w:tcPr>
            <w:tcW w:w="0" w:type="auto"/>
            <w:gridSpan w:val="3"/>
            <w:vAlign w:val="center"/>
            <w:hideMark/>
          </w:tcPr>
          <w:p w14:paraId="5A3996B9" w14:textId="77777777" w:rsidR="00000000" w:rsidRDefault="000A3118">
            <w:pPr>
              <w:rPr>
                <w:rFonts w:eastAsia="Times New Roman"/>
                <w:sz w:val="20"/>
                <w:szCs w:val="20"/>
              </w:rPr>
            </w:pPr>
          </w:p>
        </w:tc>
        <w:tc>
          <w:tcPr>
            <w:tcW w:w="0" w:type="auto"/>
            <w:gridSpan w:val="3"/>
            <w:vAlign w:val="center"/>
            <w:hideMark/>
          </w:tcPr>
          <w:p w14:paraId="6E582F9D" w14:textId="77777777" w:rsidR="00000000" w:rsidRDefault="000A3118">
            <w:pPr>
              <w:rPr>
                <w:rFonts w:eastAsia="Times New Roman"/>
                <w:sz w:val="20"/>
                <w:szCs w:val="20"/>
              </w:rPr>
            </w:pPr>
          </w:p>
        </w:tc>
        <w:tc>
          <w:tcPr>
            <w:tcW w:w="0" w:type="auto"/>
            <w:gridSpan w:val="3"/>
            <w:vAlign w:val="center"/>
            <w:hideMark/>
          </w:tcPr>
          <w:p w14:paraId="48279644" w14:textId="77777777" w:rsidR="00000000" w:rsidRDefault="000A3118">
            <w:pPr>
              <w:rPr>
                <w:rFonts w:eastAsia="Times New Roman"/>
                <w:sz w:val="20"/>
                <w:szCs w:val="20"/>
              </w:rPr>
            </w:pPr>
          </w:p>
        </w:tc>
        <w:tc>
          <w:tcPr>
            <w:tcW w:w="0" w:type="auto"/>
            <w:gridSpan w:val="3"/>
            <w:vAlign w:val="center"/>
            <w:hideMark/>
          </w:tcPr>
          <w:p w14:paraId="31BC8ED6" w14:textId="77777777" w:rsidR="00000000" w:rsidRDefault="000A3118">
            <w:pPr>
              <w:rPr>
                <w:rFonts w:eastAsia="Times New Roman"/>
                <w:sz w:val="20"/>
                <w:szCs w:val="20"/>
              </w:rPr>
            </w:pPr>
          </w:p>
        </w:tc>
        <w:tc>
          <w:tcPr>
            <w:tcW w:w="0" w:type="auto"/>
            <w:vAlign w:val="center"/>
            <w:hideMark/>
          </w:tcPr>
          <w:p w14:paraId="29C0834E" w14:textId="77777777" w:rsidR="00000000" w:rsidRDefault="000A3118">
            <w:pPr>
              <w:rPr>
                <w:rFonts w:eastAsia="Times New Roman"/>
                <w:sz w:val="20"/>
                <w:szCs w:val="20"/>
              </w:rPr>
            </w:pPr>
          </w:p>
        </w:tc>
        <w:tc>
          <w:tcPr>
            <w:tcW w:w="0" w:type="auto"/>
            <w:vAlign w:val="center"/>
            <w:hideMark/>
          </w:tcPr>
          <w:p w14:paraId="597A1FD3" w14:textId="77777777" w:rsidR="00000000" w:rsidRDefault="000A3118">
            <w:pPr>
              <w:rPr>
                <w:rFonts w:eastAsia="Times New Roman"/>
                <w:sz w:val="20"/>
                <w:szCs w:val="20"/>
              </w:rPr>
            </w:pPr>
          </w:p>
        </w:tc>
      </w:tr>
      <w:tr w:rsidR="00000000" w14:paraId="543AEE25" w14:textId="77777777">
        <w:trPr>
          <w:divId w:val="1728453581"/>
        </w:trPr>
        <w:tc>
          <w:tcPr>
            <w:tcW w:w="0" w:type="auto"/>
            <w:gridSpan w:val="3"/>
            <w:shd w:val="clear" w:color="auto" w:fill="CCEEFF"/>
            <w:tcMar>
              <w:top w:w="30" w:type="dxa"/>
              <w:left w:w="135" w:type="dxa"/>
              <w:bottom w:w="30" w:type="dxa"/>
              <w:right w:w="20" w:type="dxa"/>
            </w:tcMar>
            <w:vAlign w:val="bottom"/>
            <w:hideMark/>
          </w:tcPr>
          <w:p w14:paraId="21D6602D" w14:textId="77777777" w:rsidR="00000000" w:rsidRDefault="000A3118">
            <w:pPr>
              <w:rPr>
                <w:rFonts w:eastAsia="Times New Roman"/>
              </w:rPr>
            </w:pPr>
            <w:r>
              <w:rPr>
                <w:rFonts w:eastAsia="Times New Roman"/>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14:paraId="383465D4"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335ACB" w14:textId="77777777" w:rsidR="00000000" w:rsidRDefault="000A3118">
            <w:pPr>
              <w:jc w:val="right"/>
              <w:rPr>
                <w:rFonts w:eastAsia="Times New Roman"/>
              </w:rPr>
            </w:pPr>
            <w:r>
              <w:rPr>
                <w:rFonts w:eastAsia="Times New Roman"/>
                <w:color w:val="000000"/>
                <w:sz w:val="16"/>
                <w:szCs w:val="16"/>
              </w:rPr>
              <w:t>333.0 </w:t>
            </w:r>
          </w:p>
        </w:tc>
        <w:tc>
          <w:tcPr>
            <w:tcW w:w="0" w:type="auto"/>
            <w:shd w:val="clear" w:color="auto" w:fill="CCEEFF"/>
            <w:tcMar>
              <w:top w:w="30" w:type="dxa"/>
              <w:left w:w="0" w:type="dxa"/>
              <w:bottom w:w="30" w:type="dxa"/>
              <w:right w:w="20" w:type="dxa"/>
            </w:tcMar>
            <w:vAlign w:val="bottom"/>
            <w:hideMark/>
          </w:tcPr>
          <w:p w14:paraId="462F035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052D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97A07B" w14:textId="77777777" w:rsidR="00000000" w:rsidRDefault="000A3118">
            <w:pPr>
              <w:jc w:val="right"/>
              <w:rPr>
                <w:rFonts w:eastAsia="Times New Roman"/>
              </w:rPr>
            </w:pPr>
            <w:r>
              <w:rPr>
                <w:rFonts w:eastAsia="Times New Roman"/>
                <w:color w:val="000000"/>
                <w:sz w:val="16"/>
                <w:szCs w:val="16"/>
              </w:rPr>
              <w:t>378.9 </w:t>
            </w:r>
          </w:p>
        </w:tc>
        <w:tc>
          <w:tcPr>
            <w:tcW w:w="0" w:type="auto"/>
            <w:shd w:val="clear" w:color="auto" w:fill="CCEEFF"/>
            <w:tcMar>
              <w:top w:w="30" w:type="dxa"/>
              <w:left w:w="0" w:type="dxa"/>
              <w:bottom w:w="30" w:type="dxa"/>
              <w:right w:w="20" w:type="dxa"/>
            </w:tcMar>
            <w:vAlign w:val="bottom"/>
            <w:hideMark/>
          </w:tcPr>
          <w:p w14:paraId="04F4715E" w14:textId="77777777" w:rsidR="00000000" w:rsidRDefault="000A3118">
            <w:pPr>
              <w:jc w:val="right"/>
              <w:rPr>
                <w:rFonts w:eastAsia="Times New Roman"/>
              </w:rPr>
            </w:pPr>
          </w:p>
        </w:tc>
        <w:tc>
          <w:tcPr>
            <w:tcW w:w="0" w:type="auto"/>
            <w:vAlign w:val="center"/>
            <w:hideMark/>
          </w:tcPr>
          <w:p w14:paraId="30ADDF18" w14:textId="77777777" w:rsidR="00000000" w:rsidRDefault="000A3118">
            <w:pPr>
              <w:jc w:val="right"/>
              <w:rPr>
                <w:rFonts w:eastAsia="Times New Roman"/>
                <w:sz w:val="20"/>
                <w:szCs w:val="20"/>
              </w:rPr>
            </w:pPr>
          </w:p>
        </w:tc>
        <w:tc>
          <w:tcPr>
            <w:tcW w:w="0" w:type="auto"/>
            <w:vAlign w:val="center"/>
            <w:hideMark/>
          </w:tcPr>
          <w:p w14:paraId="19545B30" w14:textId="77777777" w:rsidR="00000000" w:rsidRDefault="000A3118">
            <w:pPr>
              <w:rPr>
                <w:rFonts w:eastAsia="Times New Roman"/>
                <w:sz w:val="20"/>
                <w:szCs w:val="20"/>
              </w:rPr>
            </w:pPr>
          </w:p>
        </w:tc>
      </w:tr>
      <w:tr w:rsidR="00000000" w14:paraId="0C826474" w14:textId="77777777">
        <w:trPr>
          <w:divId w:val="1728453581"/>
        </w:trPr>
        <w:tc>
          <w:tcPr>
            <w:tcW w:w="0" w:type="auto"/>
            <w:gridSpan w:val="3"/>
            <w:tcBorders>
              <w:top w:val="single" w:sz="8" w:space="0" w:color="000000"/>
            </w:tcBorders>
            <w:shd w:val="clear" w:color="auto" w:fill="FFFFFF"/>
            <w:tcMar>
              <w:top w:w="30" w:type="dxa"/>
              <w:left w:w="225" w:type="dxa"/>
              <w:bottom w:w="30" w:type="dxa"/>
              <w:right w:w="20" w:type="dxa"/>
            </w:tcMar>
            <w:vAlign w:val="bottom"/>
            <w:hideMark/>
          </w:tcPr>
          <w:p w14:paraId="73CED3A3" w14:textId="77777777" w:rsidR="00000000" w:rsidRDefault="000A3118">
            <w:pPr>
              <w:rPr>
                <w:rFonts w:eastAsia="Times New Roman"/>
              </w:rPr>
            </w:pPr>
            <w:r>
              <w:rPr>
                <w:rFonts w:eastAsia="Times New Roman"/>
                <w:color w:val="000000"/>
                <w:sz w:val="16"/>
                <w:szCs w:val="16"/>
              </w:rPr>
              <w:t>Total current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99F805"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CCAF90" w14:textId="77777777" w:rsidR="00000000" w:rsidRDefault="000A3118">
            <w:pPr>
              <w:jc w:val="right"/>
              <w:rPr>
                <w:rFonts w:eastAsia="Times New Roman"/>
              </w:rPr>
            </w:pPr>
            <w:r>
              <w:rPr>
                <w:rFonts w:eastAsia="Times New Roman"/>
                <w:color w:val="000000"/>
                <w:sz w:val="16"/>
                <w:szCs w:val="16"/>
              </w:rPr>
              <w:t>1,557.0 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77CF54"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597CD8"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172E34" w14:textId="77777777" w:rsidR="00000000" w:rsidRDefault="000A3118">
            <w:pPr>
              <w:jc w:val="right"/>
              <w:rPr>
                <w:rFonts w:eastAsia="Times New Roman"/>
              </w:rPr>
            </w:pPr>
            <w:r>
              <w:rPr>
                <w:rFonts w:eastAsia="Times New Roman"/>
                <w:color w:val="000000"/>
                <w:sz w:val="16"/>
                <w:szCs w:val="16"/>
              </w:rPr>
              <w:t>3,162.4 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546E06" w14:textId="77777777" w:rsidR="00000000" w:rsidRDefault="000A3118">
            <w:pPr>
              <w:jc w:val="right"/>
              <w:rPr>
                <w:rFonts w:eastAsia="Times New Roman"/>
              </w:rPr>
            </w:pPr>
          </w:p>
        </w:tc>
        <w:tc>
          <w:tcPr>
            <w:tcW w:w="0" w:type="auto"/>
            <w:vAlign w:val="center"/>
            <w:hideMark/>
          </w:tcPr>
          <w:p w14:paraId="750DB86A" w14:textId="77777777" w:rsidR="00000000" w:rsidRDefault="000A3118">
            <w:pPr>
              <w:jc w:val="right"/>
              <w:rPr>
                <w:rFonts w:eastAsia="Times New Roman"/>
                <w:sz w:val="20"/>
                <w:szCs w:val="20"/>
              </w:rPr>
            </w:pPr>
          </w:p>
        </w:tc>
        <w:tc>
          <w:tcPr>
            <w:tcW w:w="0" w:type="auto"/>
            <w:vAlign w:val="center"/>
            <w:hideMark/>
          </w:tcPr>
          <w:p w14:paraId="2A68AB5A" w14:textId="77777777" w:rsidR="00000000" w:rsidRDefault="000A3118">
            <w:pPr>
              <w:rPr>
                <w:rFonts w:eastAsia="Times New Roman"/>
                <w:sz w:val="20"/>
                <w:szCs w:val="20"/>
              </w:rPr>
            </w:pPr>
          </w:p>
        </w:tc>
      </w:tr>
      <w:tr w:rsidR="00000000" w14:paraId="5B40C8CB" w14:textId="77777777">
        <w:trPr>
          <w:divId w:val="1728453581"/>
        </w:trPr>
        <w:tc>
          <w:tcPr>
            <w:tcW w:w="0" w:type="auto"/>
            <w:gridSpan w:val="3"/>
            <w:vAlign w:val="center"/>
            <w:hideMark/>
          </w:tcPr>
          <w:p w14:paraId="015477EF" w14:textId="77777777" w:rsidR="00000000" w:rsidRDefault="000A3118">
            <w:pPr>
              <w:rPr>
                <w:rFonts w:eastAsia="Times New Roman"/>
                <w:sz w:val="20"/>
                <w:szCs w:val="20"/>
              </w:rPr>
            </w:pPr>
          </w:p>
        </w:tc>
        <w:tc>
          <w:tcPr>
            <w:tcW w:w="0" w:type="auto"/>
            <w:gridSpan w:val="3"/>
            <w:vAlign w:val="center"/>
            <w:hideMark/>
          </w:tcPr>
          <w:p w14:paraId="2089AB5F" w14:textId="77777777" w:rsidR="00000000" w:rsidRDefault="000A3118">
            <w:pPr>
              <w:rPr>
                <w:rFonts w:eastAsia="Times New Roman"/>
                <w:sz w:val="20"/>
                <w:szCs w:val="20"/>
              </w:rPr>
            </w:pPr>
          </w:p>
        </w:tc>
        <w:tc>
          <w:tcPr>
            <w:tcW w:w="0" w:type="auto"/>
            <w:gridSpan w:val="3"/>
            <w:vAlign w:val="center"/>
            <w:hideMark/>
          </w:tcPr>
          <w:p w14:paraId="5C80210C" w14:textId="77777777" w:rsidR="00000000" w:rsidRDefault="000A3118">
            <w:pPr>
              <w:rPr>
                <w:rFonts w:eastAsia="Times New Roman"/>
                <w:sz w:val="20"/>
                <w:szCs w:val="20"/>
              </w:rPr>
            </w:pPr>
          </w:p>
        </w:tc>
        <w:tc>
          <w:tcPr>
            <w:tcW w:w="0" w:type="auto"/>
            <w:gridSpan w:val="3"/>
            <w:vAlign w:val="center"/>
            <w:hideMark/>
          </w:tcPr>
          <w:p w14:paraId="3A809DEB" w14:textId="77777777" w:rsidR="00000000" w:rsidRDefault="000A3118">
            <w:pPr>
              <w:rPr>
                <w:rFonts w:eastAsia="Times New Roman"/>
                <w:sz w:val="20"/>
                <w:szCs w:val="20"/>
              </w:rPr>
            </w:pPr>
          </w:p>
        </w:tc>
        <w:tc>
          <w:tcPr>
            <w:tcW w:w="0" w:type="auto"/>
            <w:gridSpan w:val="3"/>
            <w:vAlign w:val="center"/>
            <w:hideMark/>
          </w:tcPr>
          <w:p w14:paraId="7337065A" w14:textId="77777777" w:rsidR="00000000" w:rsidRDefault="000A3118">
            <w:pPr>
              <w:rPr>
                <w:rFonts w:eastAsia="Times New Roman"/>
                <w:sz w:val="20"/>
                <w:szCs w:val="20"/>
              </w:rPr>
            </w:pPr>
          </w:p>
        </w:tc>
        <w:tc>
          <w:tcPr>
            <w:tcW w:w="0" w:type="auto"/>
            <w:vAlign w:val="center"/>
            <w:hideMark/>
          </w:tcPr>
          <w:p w14:paraId="20FB9D90" w14:textId="77777777" w:rsidR="00000000" w:rsidRDefault="000A3118">
            <w:pPr>
              <w:rPr>
                <w:rFonts w:eastAsia="Times New Roman"/>
                <w:sz w:val="20"/>
                <w:szCs w:val="20"/>
              </w:rPr>
            </w:pPr>
          </w:p>
        </w:tc>
        <w:tc>
          <w:tcPr>
            <w:tcW w:w="0" w:type="auto"/>
            <w:vAlign w:val="center"/>
            <w:hideMark/>
          </w:tcPr>
          <w:p w14:paraId="6FD86252" w14:textId="77777777" w:rsidR="00000000" w:rsidRDefault="000A3118">
            <w:pPr>
              <w:rPr>
                <w:rFonts w:eastAsia="Times New Roman"/>
                <w:sz w:val="20"/>
                <w:szCs w:val="20"/>
              </w:rPr>
            </w:pPr>
          </w:p>
        </w:tc>
      </w:tr>
      <w:tr w:rsidR="00000000" w14:paraId="3DABB2CA" w14:textId="77777777">
        <w:trPr>
          <w:divId w:val="1728453581"/>
        </w:trPr>
        <w:tc>
          <w:tcPr>
            <w:tcW w:w="0" w:type="auto"/>
            <w:gridSpan w:val="3"/>
            <w:shd w:val="clear" w:color="auto" w:fill="CCEEFF"/>
            <w:tcMar>
              <w:top w:w="30" w:type="dxa"/>
              <w:left w:w="20" w:type="dxa"/>
              <w:bottom w:w="30" w:type="dxa"/>
              <w:right w:w="20" w:type="dxa"/>
            </w:tcMar>
            <w:vAlign w:val="bottom"/>
            <w:hideMark/>
          </w:tcPr>
          <w:p w14:paraId="5F63E7E4" w14:textId="77777777" w:rsidR="00000000" w:rsidRDefault="000A3118">
            <w:pPr>
              <w:rPr>
                <w:rFonts w:eastAsia="Times New Roman"/>
              </w:rPr>
            </w:pPr>
            <w:r>
              <w:rPr>
                <w:rFonts w:eastAsia="Times New Roman"/>
                <w:color w:val="000000"/>
                <w:sz w:val="16"/>
                <w:szCs w:val="16"/>
              </w:rPr>
              <w:t>Long-term debt</w:t>
            </w:r>
          </w:p>
        </w:tc>
        <w:tc>
          <w:tcPr>
            <w:tcW w:w="0" w:type="auto"/>
            <w:gridSpan w:val="3"/>
            <w:shd w:val="clear" w:color="auto" w:fill="CCEEFF"/>
            <w:tcMar>
              <w:top w:w="0" w:type="dxa"/>
              <w:left w:w="20" w:type="dxa"/>
              <w:bottom w:w="0" w:type="dxa"/>
              <w:right w:w="20" w:type="dxa"/>
            </w:tcMar>
            <w:vAlign w:val="center"/>
            <w:hideMark/>
          </w:tcPr>
          <w:p w14:paraId="16C3EEFF"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B465F4" w14:textId="77777777" w:rsidR="00000000" w:rsidRDefault="000A3118">
            <w:pPr>
              <w:jc w:val="right"/>
              <w:rPr>
                <w:rFonts w:eastAsia="Times New Roman"/>
              </w:rPr>
            </w:pPr>
            <w:r>
              <w:rPr>
                <w:rFonts w:eastAsia="Times New Roman"/>
                <w:color w:val="000000"/>
                <w:sz w:val="16"/>
                <w:szCs w:val="16"/>
              </w:rPr>
              <w:t>506.9 </w:t>
            </w:r>
          </w:p>
        </w:tc>
        <w:tc>
          <w:tcPr>
            <w:tcW w:w="0" w:type="auto"/>
            <w:shd w:val="clear" w:color="auto" w:fill="CCEEFF"/>
            <w:tcMar>
              <w:top w:w="30" w:type="dxa"/>
              <w:left w:w="0" w:type="dxa"/>
              <w:bottom w:w="30" w:type="dxa"/>
              <w:right w:w="20" w:type="dxa"/>
            </w:tcMar>
            <w:vAlign w:val="bottom"/>
            <w:hideMark/>
          </w:tcPr>
          <w:p w14:paraId="24B8401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0B01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F133FC" w14:textId="77777777" w:rsidR="00000000" w:rsidRDefault="000A3118">
            <w:pPr>
              <w:jc w:val="right"/>
              <w:rPr>
                <w:rFonts w:eastAsia="Times New Roman"/>
              </w:rPr>
            </w:pPr>
            <w:r>
              <w:rPr>
                <w:rFonts w:eastAsia="Times New Roman"/>
                <w:color w:val="000000"/>
                <w:sz w:val="16"/>
                <w:szCs w:val="16"/>
              </w:rPr>
              <w:t>574.7 </w:t>
            </w:r>
          </w:p>
        </w:tc>
        <w:tc>
          <w:tcPr>
            <w:tcW w:w="0" w:type="auto"/>
            <w:shd w:val="clear" w:color="auto" w:fill="CCEEFF"/>
            <w:tcMar>
              <w:top w:w="30" w:type="dxa"/>
              <w:left w:w="0" w:type="dxa"/>
              <w:bottom w:w="30" w:type="dxa"/>
              <w:right w:w="20" w:type="dxa"/>
            </w:tcMar>
            <w:vAlign w:val="bottom"/>
            <w:hideMark/>
          </w:tcPr>
          <w:p w14:paraId="1A641028" w14:textId="77777777" w:rsidR="00000000" w:rsidRDefault="000A3118">
            <w:pPr>
              <w:jc w:val="right"/>
              <w:rPr>
                <w:rFonts w:eastAsia="Times New Roman"/>
              </w:rPr>
            </w:pPr>
          </w:p>
        </w:tc>
        <w:tc>
          <w:tcPr>
            <w:tcW w:w="0" w:type="auto"/>
            <w:vAlign w:val="center"/>
            <w:hideMark/>
          </w:tcPr>
          <w:p w14:paraId="0BCC9E8F" w14:textId="77777777" w:rsidR="00000000" w:rsidRDefault="000A3118">
            <w:pPr>
              <w:jc w:val="right"/>
              <w:rPr>
                <w:rFonts w:eastAsia="Times New Roman"/>
                <w:sz w:val="20"/>
                <w:szCs w:val="20"/>
              </w:rPr>
            </w:pPr>
          </w:p>
        </w:tc>
        <w:tc>
          <w:tcPr>
            <w:tcW w:w="0" w:type="auto"/>
            <w:vAlign w:val="center"/>
            <w:hideMark/>
          </w:tcPr>
          <w:p w14:paraId="43EB8720" w14:textId="77777777" w:rsidR="00000000" w:rsidRDefault="000A3118">
            <w:pPr>
              <w:rPr>
                <w:rFonts w:eastAsia="Times New Roman"/>
                <w:sz w:val="20"/>
                <w:szCs w:val="20"/>
              </w:rPr>
            </w:pPr>
          </w:p>
        </w:tc>
      </w:tr>
      <w:tr w:rsidR="00000000" w14:paraId="376F67D6" w14:textId="77777777">
        <w:trPr>
          <w:divId w:val="1728453581"/>
        </w:trPr>
        <w:tc>
          <w:tcPr>
            <w:tcW w:w="0" w:type="auto"/>
            <w:gridSpan w:val="3"/>
            <w:shd w:val="clear" w:color="auto" w:fill="FFFFFF"/>
            <w:tcMar>
              <w:top w:w="30" w:type="dxa"/>
              <w:left w:w="20" w:type="dxa"/>
              <w:bottom w:w="30" w:type="dxa"/>
              <w:right w:w="20" w:type="dxa"/>
            </w:tcMar>
            <w:vAlign w:val="bottom"/>
            <w:hideMark/>
          </w:tcPr>
          <w:p w14:paraId="7EF6B2E4" w14:textId="77777777" w:rsidR="00000000" w:rsidRDefault="000A3118">
            <w:pPr>
              <w:rPr>
                <w:rFonts w:eastAsia="Times New Roman"/>
              </w:rPr>
            </w:pPr>
            <w:r>
              <w:rPr>
                <w:rFonts w:eastAsia="Times New Roman"/>
                <w:color w:val="000000"/>
                <w:sz w:val="16"/>
                <w:szCs w:val="16"/>
              </w:rPr>
              <w:t>Non-current income tax liabilities, net</w:t>
            </w:r>
          </w:p>
        </w:tc>
        <w:tc>
          <w:tcPr>
            <w:tcW w:w="0" w:type="auto"/>
            <w:gridSpan w:val="3"/>
            <w:shd w:val="clear" w:color="auto" w:fill="FFFFFF"/>
            <w:tcMar>
              <w:top w:w="0" w:type="dxa"/>
              <w:left w:w="20" w:type="dxa"/>
              <w:bottom w:w="0" w:type="dxa"/>
              <w:right w:w="20" w:type="dxa"/>
            </w:tcMar>
            <w:vAlign w:val="center"/>
            <w:hideMark/>
          </w:tcPr>
          <w:p w14:paraId="5939C7EB"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B75C36" w14:textId="77777777" w:rsidR="00000000" w:rsidRDefault="000A3118">
            <w:pPr>
              <w:jc w:val="right"/>
              <w:rPr>
                <w:rFonts w:eastAsia="Times New Roman"/>
              </w:rPr>
            </w:pPr>
            <w:r>
              <w:rPr>
                <w:rFonts w:eastAsia="Times New Roman"/>
                <w:color w:val="000000"/>
                <w:sz w:val="16"/>
                <w:szCs w:val="16"/>
              </w:rPr>
              <w:t>215.6 </w:t>
            </w:r>
          </w:p>
        </w:tc>
        <w:tc>
          <w:tcPr>
            <w:tcW w:w="0" w:type="auto"/>
            <w:shd w:val="clear" w:color="auto" w:fill="FFFFFF"/>
            <w:tcMar>
              <w:top w:w="30" w:type="dxa"/>
              <w:left w:w="0" w:type="dxa"/>
              <w:bottom w:w="30" w:type="dxa"/>
              <w:right w:w="20" w:type="dxa"/>
            </w:tcMar>
            <w:vAlign w:val="bottom"/>
            <w:hideMark/>
          </w:tcPr>
          <w:p w14:paraId="4D59554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9D14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4E38A8" w14:textId="77777777" w:rsidR="00000000" w:rsidRDefault="000A3118">
            <w:pPr>
              <w:jc w:val="right"/>
              <w:rPr>
                <w:rFonts w:eastAsia="Times New Roman"/>
              </w:rPr>
            </w:pPr>
            <w:r>
              <w:rPr>
                <w:rFonts w:eastAsia="Times New Roman"/>
                <w:color w:val="000000"/>
                <w:sz w:val="16"/>
                <w:szCs w:val="16"/>
              </w:rPr>
              <w:t>210.1 </w:t>
            </w:r>
          </w:p>
        </w:tc>
        <w:tc>
          <w:tcPr>
            <w:tcW w:w="0" w:type="auto"/>
            <w:shd w:val="clear" w:color="auto" w:fill="FFFFFF"/>
            <w:tcMar>
              <w:top w:w="30" w:type="dxa"/>
              <w:left w:w="0" w:type="dxa"/>
              <w:bottom w:w="30" w:type="dxa"/>
              <w:right w:w="20" w:type="dxa"/>
            </w:tcMar>
            <w:vAlign w:val="bottom"/>
            <w:hideMark/>
          </w:tcPr>
          <w:p w14:paraId="45E050C9" w14:textId="77777777" w:rsidR="00000000" w:rsidRDefault="000A3118">
            <w:pPr>
              <w:jc w:val="right"/>
              <w:rPr>
                <w:rFonts w:eastAsia="Times New Roman"/>
              </w:rPr>
            </w:pPr>
          </w:p>
        </w:tc>
        <w:tc>
          <w:tcPr>
            <w:tcW w:w="0" w:type="auto"/>
            <w:vAlign w:val="center"/>
            <w:hideMark/>
          </w:tcPr>
          <w:p w14:paraId="4987FAFF" w14:textId="77777777" w:rsidR="00000000" w:rsidRDefault="000A3118">
            <w:pPr>
              <w:jc w:val="right"/>
              <w:rPr>
                <w:rFonts w:eastAsia="Times New Roman"/>
                <w:sz w:val="20"/>
                <w:szCs w:val="20"/>
              </w:rPr>
            </w:pPr>
          </w:p>
        </w:tc>
        <w:tc>
          <w:tcPr>
            <w:tcW w:w="0" w:type="auto"/>
            <w:vAlign w:val="center"/>
            <w:hideMark/>
          </w:tcPr>
          <w:p w14:paraId="00B4E986" w14:textId="77777777" w:rsidR="00000000" w:rsidRDefault="000A3118">
            <w:pPr>
              <w:rPr>
                <w:rFonts w:eastAsia="Times New Roman"/>
                <w:sz w:val="20"/>
                <w:szCs w:val="20"/>
              </w:rPr>
            </w:pPr>
          </w:p>
        </w:tc>
      </w:tr>
      <w:tr w:rsidR="00000000" w14:paraId="75FBAFDF" w14:textId="77777777">
        <w:trPr>
          <w:divId w:val="1728453581"/>
        </w:trPr>
        <w:tc>
          <w:tcPr>
            <w:tcW w:w="0" w:type="auto"/>
            <w:gridSpan w:val="3"/>
            <w:shd w:val="clear" w:color="auto" w:fill="CCEEFF"/>
            <w:tcMar>
              <w:top w:w="30" w:type="dxa"/>
              <w:left w:w="20" w:type="dxa"/>
              <w:bottom w:w="30" w:type="dxa"/>
              <w:right w:w="20" w:type="dxa"/>
            </w:tcMar>
            <w:vAlign w:val="bottom"/>
            <w:hideMark/>
          </w:tcPr>
          <w:p w14:paraId="47EF5263" w14:textId="77777777" w:rsidR="00000000" w:rsidRDefault="000A3118">
            <w:pPr>
              <w:rPr>
                <w:rFonts w:eastAsia="Times New Roman"/>
              </w:rPr>
            </w:pPr>
            <w:r>
              <w:rPr>
                <w:rFonts w:eastAsia="Times New Roman"/>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14:paraId="43387682"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272B32" w14:textId="77777777" w:rsidR="00000000" w:rsidRDefault="000A3118">
            <w:pPr>
              <w:jc w:val="right"/>
              <w:rPr>
                <w:rFonts w:eastAsia="Times New Roman"/>
              </w:rPr>
            </w:pPr>
            <w:r>
              <w:rPr>
                <w:rFonts w:eastAsia="Times New Roman"/>
                <w:color w:val="000000"/>
                <w:sz w:val="16"/>
                <w:szCs w:val="16"/>
              </w:rPr>
              <w:t>193.0 </w:t>
            </w:r>
          </w:p>
        </w:tc>
        <w:tc>
          <w:tcPr>
            <w:tcW w:w="0" w:type="auto"/>
            <w:shd w:val="clear" w:color="auto" w:fill="CCEEFF"/>
            <w:tcMar>
              <w:top w:w="30" w:type="dxa"/>
              <w:left w:w="0" w:type="dxa"/>
              <w:bottom w:w="30" w:type="dxa"/>
              <w:right w:w="20" w:type="dxa"/>
            </w:tcMar>
            <w:vAlign w:val="bottom"/>
            <w:hideMark/>
          </w:tcPr>
          <w:p w14:paraId="41B1126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CC3B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8C9DA5" w14:textId="77777777" w:rsidR="00000000" w:rsidRDefault="000A3118">
            <w:pPr>
              <w:jc w:val="right"/>
              <w:rPr>
                <w:rFonts w:eastAsia="Times New Roman"/>
              </w:rPr>
            </w:pPr>
            <w:r>
              <w:rPr>
                <w:rFonts w:eastAsia="Times New Roman"/>
                <w:color w:val="000000"/>
                <w:sz w:val="16"/>
                <w:szCs w:val="16"/>
              </w:rPr>
              <w:t>151.3 </w:t>
            </w:r>
          </w:p>
        </w:tc>
        <w:tc>
          <w:tcPr>
            <w:tcW w:w="0" w:type="auto"/>
            <w:shd w:val="clear" w:color="auto" w:fill="CCEEFF"/>
            <w:tcMar>
              <w:top w:w="30" w:type="dxa"/>
              <w:left w:w="0" w:type="dxa"/>
              <w:bottom w:w="30" w:type="dxa"/>
              <w:right w:w="20" w:type="dxa"/>
            </w:tcMar>
            <w:vAlign w:val="bottom"/>
            <w:hideMark/>
          </w:tcPr>
          <w:p w14:paraId="388880D5" w14:textId="77777777" w:rsidR="00000000" w:rsidRDefault="000A3118">
            <w:pPr>
              <w:jc w:val="right"/>
              <w:rPr>
                <w:rFonts w:eastAsia="Times New Roman"/>
              </w:rPr>
            </w:pPr>
          </w:p>
        </w:tc>
        <w:tc>
          <w:tcPr>
            <w:tcW w:w="0" w:type="auto"/>
            <w:vAlign w:val="center"/>
            <w:hideMark/>
          </w:tcPr>
          <w:p w14:paraId="67C34691" w14:textId="77777777" w:rsidR="00000000" w:rsidRDefault="000A3118">
            <w:pPr>
              <w:jc w:val="right"/>
              <w:rPr>
                <w:rFonts w:eastAsia="Times New Roman"/>
                <w:sz w:val="20"/>
                <w:szCs w:val="20"/>
              </w:rPr>
            </w:pPr>
          </w:p>
        </w:tc>
        <w:tc>
          <w:tcPr>
            <w:tcW w:w="0" w:type="auto"/>
            <w:vAlign w:val="center"/>
            <w:hideMark/>
          </w:tcPr>
          <w:p w14:paraId="497704B0" w14:textId="77777777" w:rsidR="00000000" w:rsidRDefault="000A3118">
            <w:pPr>
              <w:rPr>
                <w:rFonts w:eastAsia="Times New Roman"/>
                <w:sz w:val="20"/>
                <w:szCs w:val="20"/>
              </w:rPr>
            </w:pPr>
          </w:p>
        </w:tc>
      </w:tr>
      <w:tr w:rsidR="00000000" w14:paraId="1F74A4BB" w14:textId="77777777">
        <w:trPr>
          <w:divId w:val="1728453581"/>
        </w:trPr>
        <w:tc>
          <w:tcPr>
            <w:tcW w:w="0" w:type="auto"/>
            <w:gridSpan w:val="3"/>
            <w:vAlign w:val="center"/>
            <w:hideMark/>
          </w:tcPr>
          <w:p w14:paraId="5396F958" w14:textId="77777777" w:rsidR="00000000" w:rsidRDefault="000A3118">
            <w:pPr>
              <w:rPr>
                <w:rFonts w:eastAsia="Times New Roman"/>
                <w:sz w:val="20"/>
                <w:szCs w:val="20"/>
              </w:rPr>
            </w:pPr>
          </w:p>
        </w:tc>
        <w:tc>
          <w:tcPr>
            <w:tcW w:w="0" w:type="auto"/>
            <w:gridSpan w:val="3"/>
            <w:vAlign w:val="center"/>
            <w:hideMark/>
          </w:tcPr>
          <w:p w14:paraId="61E87E35" w14:textId="77777777" w:rsidR="00000000" w:rsidRDefault="000A3118">
            <w:pPr>
              <w:rPr>
                <w:rFonts w:eastAsia="Times New Roman"/>
                <w:sz w:val="20"/>
                <w:szCs w:val="20"/>
              </w:rPr>
            </w:pPr>
          </w:p>
        </w:tc>
        <w:tc>
          <w:tcPr>
            <w:tcW w:w="0" w:type="auto"/>
            <w:gridSpan w:val="3"/>
            <w:vAlign w:val="center"/>
            <w:hideMark/>
          </w:tcPr>
          <w:p w14:paraId="2F3E9DE8" w14:textId="77777777" w:rsidR="00000000" w:rsidRDefault="000A3118">
            <w:pPr>
              <w:rPr>
                <w:rFonts w:eastAsia="Times New Roman"/>
                <w:sz w:val="20"/>
                <w:szCs w:val="20"/>
              </w:rPr>
            </w:pPr>
          </w:p>
        </w:tc>
        <w:tc>
          <w:tcPr>
            <w:tcW w:w="0" w:type="auto"/>
            <w:gridSpan w:val="3"/>
            <w:vAlign w:val="center"/>
            <w:hideMark/>
          </w:tcPr>
          <w:p w14:paraId="103CA147" w14:textId="77777777" w:rsidR="00000000" w:rsidRDefault="000A3118">
            <w:pPr>
              <w:rPr>
                <w:rFonts w:eastAsia="Times New Roman"/>
                <w:sz w:val="20"/>
                <w:szCs w:val="20"/>
              </w:rPr>
            </w:pPr>
          </w:p>
        </w:tc>
        <w:tc>
          <w:tcPr>
            <w:tcW w:w="0" w:type="auto"/>
            <w:gridSpan w:val="3"/>
            <w:vAlign w:val="center"/>
            <w:hideMark/>
          </w:tcPr>
          <w:p w14:paraId="0103EC06" w14:textId="77777777" w:rsidR="00000000" w:rsidRDefault="000A3118">
            <w:pPr>
              <w:rPr>
                <w:rFonts w:eastAsia="Times New Roman"/>
                <w:sz w:val="20"/>
                <w:szCs w:val="20"/>
              </w:rPr>
            </w:pPr>
          </w:p>
        </w:tc>
        <w:tc>
          <w:tcPr>
            <w:tcW w:w="0" w:type="auto"/>
            <w:vAlign w:val="center"/>
            <w:hideMark/>
          </w:tcPr>
          <w:p w14:paraId="0E8263BF" w14:textId="77777777" w:rsidR="00000000" w:rsidRDefault="000A3118">
            <w:pPr>
              <w:rPr>
                <w:rFonts w:eastAsia="Times New Roman"/>
                <w:sz w:val="20"/>
                <w:szCs w:val="20"/>
              </w:rPr>
            </w:pPr>
          </w:p>
        </w:tc>
        <w:tc>
          <w:tcPr>
            <w:tcW w:w="0" w:type="auto"/>
            <w:vAlign w:val="center"/>
            <w:hideMark/>
          </w:tcPr>
          <w:p w14:paraId="3B394764" w14:textId="77777777" w:rsidR="00000000" w:rsidRDefault="000A3118">
            <w:pPr>
              <w:rPr>
                <w:rFonts w:eastAsia="Times New Roman"/>
                <w:sz w:val="20"/>
                <w:szCs w:val="20"/>
              </w:rPr>
            </w:pPr>
          </w:p>
        </w:tc>
      </w:tr>
      <w:tr w:rsidR="00000000" w14:paraId="4DF93AC7" w14:textId="77777777">
        <w:trPr>
          <w:divId w:val="1728453581"/>
        </w:trPr>
        <w:tc>
          <w:tcPr>
            <w:tcW w:w="0" w:type="auto"/>
            <w:gridSpan w:val="3"/>
            <w:tcBorders>
              <w:top w:val="single" w:sz="8" w:space="0" w:color="000000"/>
            </w:tcBorders>
            <w:shd w:val="clear" w:color="auto" w:fill="FFFFFF"/>
            <w:tcMar>
              <w:top w:w="30" w:type="dxa"/>
              <w:left w:w="225" w:type="dxa"/>
              <w:bottom w:w="30" w:type="dxa"/>
              <w:right w:w="20" w:type="dxa"/>
            </w:tcMar>
            <w:vAlign w:val="bottom"/>
            <w:hideMark/>
          </w:tcPr>
          <w:p w14:paraId="58E04A30" w14:textId="77777777" w:rsidR="00000000" w:rsidRDefault="000A3118">
            <w:pPr>
              <w:rPr>
                <w:rFonts w:eastAsia="Times New Roman"/>
              </w:rPr>
            </w:pPr>
            <w:r>
              <w:rPr>
                <w:rFonts w:eastAsia="Times New Roman"/>
                <w:color w:val="000000"/>
                <w:sz w:val="16"/>
                <w:szCs w:val="16"/>
              </w:rPr>
              <w:t>Total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8AEC61"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9B1003" w14:textId="77777777" w:rsidR="00000000" w:rsidRDefault="000A3118">
            <w:pPr>
              <w:jc w:val="right"/>
              <w:rPr>
                <w:rFonts w:eastAsia="Times New Roman"/>
              </w:rPr>
            </w:pPr>
            <w:r>
              <w:rPr>
                <w:rFonts w:eastAsia="Times New Roman"/>
                <w:color w:val="000000"/>
                <w:sz w:val="16"/>
                <w:szCs w:val="16"/>
              </w:rPr>
              <w:t>2,472.5 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C24DEE"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3493A2"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105E2D" w14:textId="77777777" w:rsidR="00000000" w:rsidRDefault="000A3118">
            <w:pPr>
              <w:jc w:val="right"/>
              <w:rPr>
                <w:rFonts w:eastAsia="Times New Roman"/>
              </w:rPr>
            </w:pPr>
            <w:r>
              <w:rPr>
                <w:rFonts w:eastAsia="Times New Roman"/>
                <w:color w:val="000000"/>
                <w:sz w:val="16"/>
                <w:szCs w:val="16"/>
              </w:rPr>
              <w:t>4,098.5 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F9EA9F" w14:textId="77777777" w:rsidR="00000000" w:rsidRDefault="000A3118">
            <w:pPr>
              <w:jc w:val="right"/>
              <w:rPr>
                <w:rFonts w:eastAsia="Times New Roman"/>
              </w:rPr>
            </w:pPr>
          </w:p>
        </w:tc>
        <w:tc>
          <w:tcPr>
            <w:tcW w:w="0" w:type="auto"/>
            <w:vAlign w:val="center"/>
            <w:hideMark/>
          </w:tcPr>
          <w:p w14:paraId="37AA9C6C" w14:textId="77777777" w:rsidR="00000000" w:rsidRDefault="000A3118">
            <w:pPr>
              <w:jc w:val="right"/>
              <w:rPr>
                <w:rFonts w:eastAsia="Times New Roman"/>
                <w:sz w:val="20"/>
                <w:szCs w:val="20"/>
              </w:rPr>
            </w:pPr>
          </w:p>
        </w:tc>
        <w:tc>
          <w:tcPr>
            <w:tcW w:w="0" w:type="auto"/>
            <w:vAlign w:val="center"/>
            <w:hideMark/>
          </w:tcPr>
          <w:p w14:paraId="273F99BA" w14:textId="77777777" w:rsidR="00000000" w:rsidRDefault="000A3118">
            <w:pPr>
              <w:rPr>
                <w:rFonts w:eastAsia="Times New Roman"/>
                <w:sz w:val="20"/>
                <w:szCs w:val="20"/>
              </w:rPr>
            </w:pPr>
          </w:p>
        </w:tc>
      </w:tr>
      <w:tr w:rsidR="00000000" w14:paraId="24D1C056" w14:textId="77777777">
        <w:trPr>
          <w:divId w:val="17284535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D50C5B3" w14:textId="77777777" w:rsidR="00000000" w:rsidRDefault="000A3118">
            <w:pPr>
              <w:rPr>
                <w:rFonts w:eastAsia="Times New Roman"/>
              </w:rPr>
            </w:pPr>
            <w:r>
              <w:rPr>
                <w:rFonts w:eastAsia="Times New Roman"/>
                <w:color w:val="000000"/>
                <w:sz w:val="16"/>
                <w:szCs w:val="16"/>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BD42F6"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BEB69A"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70069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BA989D" w14:textId="77777777" w:rsidR="00000000" w:rsidRDefault="000A3118">
            <w:pPr>
              <w:rPr>
                <w:rFonts w:eastAsia="Times New Roman"/>
                <w:sz w:val="20"/>
                <w:szCs w:val="20"/>
              </w:rPr>
            </w:pPr>
          </w:p>
        </w:tc>
        <w:tc>
          <w:tcPr>
            <w:tcW w:w="0" w:type="auto"/>
            <w:vAlign w:val="center"/>
            <w:hideMark/>
          </w:tcPr>
          <w:p w14:paraId="4D7DA83C" w14:textId="77777777" w:rsidR="00000000" w:rsidRDefault="000A3118">
            <w:pPr>
              <w:rPr>
                <w:rFonts w:eastAsia="Times New Roman"/>
                <w:sz w:val="20"/>
                <w:szCs w:val="20"/>
              </w:rPr>
            </w:pPr>
          </w:p>
        </w:tc>
        <w:tc>
          <w:tcPr>
            <w:tcW w:w="0" w:type="auto"/>
            <w:vAlign w:val="center"/>
            <w:hideMark/>
          </w:tcPr>
          <w:p w14:paraId="68ABE088" w14:textId="77777777" w:rsidR="00000000" w:rsidRDefault="000A3118">
            <w:pPr>
              <w:rPr>
                <w:rFonts w:eastAsia="Times New Roman"/>
                <w:sz w:val="20"/>
                <w:szCs w:val="20"/>
              </w:rPr>
            </w:pPr>
          </w:p>
        </w:tc>
      </w:tr>
      <w:tr w:rsidR="00000000" w14:paraId="2661E50C" w14:textId="77777777">
        <w:trPr>
          <w:divId w:val="1728453581"/>
        </w:trPr>
        <w:tc>
          <w:tcPr>
            <w:tcW w:w="0" w:type="auto"/>
            <w:gridSpan w:val="3"/>
            <w:shd w:val="clear" w:color="auto" w:fill="FFFFFF"/>
            <w:tcMar>
              <w:top w:w="30" w:type="dxa"/>
              <w:left w:w="20" w:type="dxa"/>
              <w:bottom w:w="30" w:type="dxa"/>
              <w:right w:w="20" w:type="dxa"/>
            </w:tcMar>
            <w:vAlign w:val="bottom"/>
            <w:hideMark/>
          </w:tcPr>
          <w:p w14:paraId="1DCC718B" w14:textId="77777777" w:rsidR="00000000" w:rsidRDefault="000A3118">
            <w:pPr>
              <w:rPr>
                <w:rFonts w:eastAsia="Times New Roman"/>
              </w:rPr>
            </w:pPr>
            <w:r>
              <w:rPr>
                <w:rFonts w:eastAsia="Times New Roman"/>
                <w:color w:val="000000"/>
                <w:sz w:val="16"/>
                <w:szCs w:val="16"/>
              </w:rPr>
              <w:t>Equity:</w:t>
            </w:r>
          </w:p>
        </w:tc>
        <w:tc>
          <w:tcPr>
            <w:tcW w:w="0" w:type="auto"/>
            <w:gridSpan w:val="3"/>
            <w:shd w:val="clear" w:color="auto" w:fill="FFFFFF"/>
            <w:tcMar>
              <w:top w:w="0" w:type="dxa"/>
              <w:left w:w="20" w:type="dxa"/>
              <w:bottom w:w="0" w:type="dxa"/>
              <w:right w:w="20" w:type="dxa"/>
            </w:tcMar>
            <w:vAlign w:val="center"/>
            <w:hideMark/>
          </w:tcPr>
          <w:p w14:paraId="472CB438" w14:textId="77777777" w:rsidR="00000000" w:rsidRDefault="000A311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0A9034" w14:textId="77777777" w:rsidR="00000000" w:rsidRDefault="000A3118">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54AD5C9" w14:textId="77777777" w:rsidR="00000000" w:rsidRDefault="000A3118">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2F85104" w14:textId="77777777" w:rsidR="00000000" w:rsidRDefault="000A3118">
            <w:pPr>
              <w:jc w:val="right"/>
              <w:rPr>
                <w:rFonts w:eastAsia="Times New Roman"/>
              </w:rPr>
            </w:pPr>
            <w:r>
              <w:rPr>
                <w:rFonts w:eastAsia="Times New Roman"/>
                <w:color w:val="000000"/>
                <w:sz w:val="20"/>
                <w:szCs w:val="20"/>
              </w:rPr>
              <w:t> </w:t>
            </w:r>
          </w:p>
        </w:tc>
        <w:tc>
          <w:tcPr>
            <w:tcW w:w="0" w:type="auto"/>
            <w:vAlign w:val="center"/>
            <w:hideMark/>
          </w:tcPr>
          <w:p w14:paraId="6B48EDDA" w14:textId="77777777" w:rsidR="00000000" w:rsidRDefault="000A3118">
            <w:pPr>
              <w:jc w:val="right"/>
              <w:rPr>
                <w:rFonts w:eastAsia="Times New Roman"/>
              </w:rPr>
            </w:pPr>
          </w:p>
        </w:tc>
        <w:tc>
          <w:tcPr>
            <w:tcW w:w="0" w:type="auto"/>
            <w:vAlign w:val="center"/>
            <w:hideMark/>
          </w:tcPr>
          <w:p w14:paraId="67D9B782" w14:textId="77777777" w:rsidR="00000000" w:rsidRDefault="000A3118">
            <w:pPr>
              <w:rPr>
                <w:rFonts w:eastAsia="Times New Roman"/>
                <w:sz w:val="20"/>
                <w:szCs w:val="20"/>
              </w:rPr>
            </w:pPr>
          </w:p>
        </w:tc>
      </w:tr>
      <w:tr w:rsidR="00000000" w14:paraId="23A14E83" w14:textId="77777777">
        <w:trPr>
          <w:divId w:val="1728453581"/>
        </w:trPr>
        <w:tc>
          <w:tcPr>
            <w:tcW w:w="0" w:type="auto"/>
            <w:gridSpan w:val="3"/>
            <w:shd w:val="clear" w:color="auto" w:fill="CCEEFF"/>
            <w:tcMar>
              <w:top w:w="30" w:type="dxa"/>
              <w:left w:w="20" w:type="dxa"/>
              <w:bottom w:w="30" w:type="dxa"/>
              <w:right w:w="20" w:type="dxa"/>
            </w:tcMar>
            <w:vAlign w:val="bottom"/>
            <w:hideMark/>
          </w:tcPr>
          <w:p w14:paraId="149CC9A4" w14:textId="77777777" w:rsidR="00000000" w:rsidRDefault="000A3118">
            <w:pPr>
              <w:rPr>
                <w:rFonts w:eastAsia="Times New Roman"/>
              </w:rPr>
            </w:pPr>
            <w:r>
              <w:rPr>
                <w:rFonts w:eastAsia="Times New Roman"/>
                <w:color w:val="000000"/>
                <w:sz w:val="16"/>
                <w:szCs w:val="16"/>
              </w:rPr>
              <w:t>World Fuel shareholders' equity:</w:t>
            </w:r>
          </w:p>
        </w:tc>
        <w:tc>
          <w:tcPr>
            <w:tcW w:w="0" w:type="auto"/>
            <w:gridSpan w:val="3"/>
            <w:shd w:val="clear" w:color="auto" w:fill="CCEEFF"/>
            <w:tcMar>
              <w:top w:w="0" w:type="dxa"/>
              <w:left w:w="20" w:type="dxa"/>
              <w:bottom w:w="0" w:type="dxa"/>
              <w:right w:w="20" w:type="dxa"/>
            </w:tcMar>
            <w:vAlign w:val="center"/>
            <w:hideMark/>
          </w:tcPr>
          <w:p w14:paraId="5DF0489B" w14:textId="77777777" w:rsidR="00000000" w:rsidRDefault="000A3118">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61E4CB4" w14:textId="77777777" w:rsidR="00000000" w:rsidRDefault="000A3118">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37192E6" w14:textId="77777777" w:rsidR="00000000" w:rsidRDefault="000A3118">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1D3E8C" w14:textId="77777777" w:rsidR="00000000" w:rsidRDefault="000A3118">
            <w:pPr>
              <w:jc w:val="right"/>
              <w:rPr>
                <w:rFonts w:eastAsia="Times New Roman"/>
              </w:rPr>
            </w:pPr>
            <w:r>
              <w:rPr>
                <w:rFonts w:eastAsia="Times New Roman"/>
                <w:color w:val="000000"/>
                <w:sz w:val="20"/>
                <w:szCs w:val="20"/>
              </w:rPr>
              <w:t> </w:t>
            </w:r>
          </w:p>
        </w:tc>
        <w:tc>
          <w:tcPr>
            <w:tcW w:w="0" w:type="auto"/>
            <w:vAlign w:val="center"/>
            <w:hideMark/>
          </w:tcPr>
          <w:p w14:paraId="27F55528" w14:textId="77777777" w:rsidR="00000000" w:rsidRDefault="000A3118">
            <w:pPr>
              <w:jc w:val="right"/>
              <w:rPr>
                <w:rFonts w:eastAsia="Times New Roman"/>
              </w:rPr>
            </w:pPr>
          </w:p>
        </w:tc>
        <w:tc>
          <w:tcPr>
            <w:tcW w:w="0" w:type="auto"/>
            <w:vAlign w:val="center"/>
            <w:hideMark/>
          </w:tcPr>
          <w:p w14:paraId="09D0A046" w14:textId="77777777" w:rsidR="00000000" w:rsidRDefault="000A3118">
            <w:pPr>
              <w:rPr>
                <w:rFonts w:eastAsia="Times New Roman"/>
                <w:sz w:val="20"/>
                <w:szCs w:val="20"/>
              </w:rPr>
            </w:pPr>
          </w:p>
        </w:tc>
      </w:tr>
      <w:tr w:rsidR="00000000" w14:paraId="5FFE3EB8" w14:textId="77777777">
        <w:trPr>
          <w:divId w:val="1728453581"/>
        </w:trPr>
        <w:tc>
          <w:tcPr>
            <w:tcW w:w="0" w:type="auto"/>
            <w:gridSpan w:val="3"/>
            <w:shd w:val="clear" w:color="auto" w:fill="FFFFFF"/>
            <w:tcMar>
              <w:top w:w="30" w:type="dxa"/>
              <w:left w:w="20" w:type="dxa"/>
              <w:bottom w:w="30" w:type="dxa"/>
              <w:right w:w="20" w:type="dxa"/>
            </w:tcMar>
            <w:vAlign w:val="bottom"/>
            <w:hideMark/>
          </w:tcPr>
          <w:p w14:paraId="7E4DAA17" w14:textId="77777777" w:rsidR="00000000" w:rsidRDefault="000A3118">
            <w:pPr>
              <w:divId w:val="87311395"/>
              <w:rPr>
                <w:rFonts w:eastAsia="Times New Roman"/>
              </w:rPr>
            </w:pPr>
            <w:r>
              <w:rPr>
                <w:rFonts w:eastAsia="Times New Roman"/>
                <w:color w:val="000000"/>
                <w:sz w:val="16"/>
                <w:szCs w:val="16"/>
              </w:rPr>
              <w:t>Preferred stock, $1.00 par value; 0.1 shares authorized, none issued</w:t>
            </w:r>
          </w:p>
        </w:tc>
        <w:tc>
          <w:tcPr>
            <w:tcW w:w="0" w:type="auto"/>
            <w:gridSpan w:val="3"/>
            <w:shd w:val="clear" w:color="auto" w:fill="FFFFFF"/>
            <w:tcMar>
              <w:top w:w="0" w:type="dxa"/>
              <w:left w:w="20" w:type="dxa"/>
              <w:bottom w:w="0" w:type="dxa"/>
              <w:right w:w="20" w:type="dxa"/>
            </w:tcMar>
            <w:vAlign w:val="center"/>
            <w:hideMark/>
          </w:tcPr>
          <w:p w14:paraId="04831E88"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3709B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B7CA82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C48A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8CBA2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CEA244" w14:textId="77777777" w:rsidR="00000000" w:rsidRDefault="000A3118">
            <w:pPr>
              <w:jc w:val="right"/>
              <w:rPr>
                <w:rFonts w:eastAsia="Times New Roman"/>
              </w:rPr>
            </w:pPr>
          </w:p>
        </w:tc>
        <w:tc>
          <w:tcPr>
            <w:tcW w:w="0" w:type="auto"/>
            <w:vAlign w:val="center"/>
            <w:hideMark/>
          </w:tcPr>
          <w:p w14:paraId="6833EFB4" w14:textId="77777777" w:rsidR="00000000" w:rsidRDefault="000A3118">
            <w:pPr>
              <w:jc w:val="right"/>
              <w:rPr>
                <w:rFonts w:eastAsia="Times New Roman"/>
                <w:sz w:val="20"/>
                <w:szCs w:val="20"/>
              </w:rPr>
            </w:pPr>
          </w:p>
        </w:tc>
        <w:tc>
          <w:tcPr>
            <w:tcW w:w="0" w:type="auto"/>
            <w:vAlign w:val="center"/>
            <w:hideMark/>
          </w:tcPr>
          <w:p w14:paraId="2B7FC6E6" w14:textId="77777777" w:rsidR="00000000" w:rsidRDefault="000A3118">
            <w:pPr>
              <w:rPr>
                <w:rFonts w:eastAsia="Times New Roman"/>
                <w:sz w:val="20"/>
                <w:szCs w:val="20"/>
              </w:rPr>
            </w:pPr>
          </w:p>
        </w:tc>
      </w:tr>
      <w:tr w:rsidR="00000000" w14:paraId="0847C8F4" w14:textId="77777777">
        <w:trPr>
          <w:divId w:val="1728453581"/>
        </w:trPr>
        <w:tc>
          <w:tcPr>
            <w:tcW w:w="0" w:type="auto"/>
            <w:gridSpan w:val="3"/>
            <w:shd w:val="clear" w:color="auto" w:fill="CCEEFF"/>
            <w:tcMar>
              <w:top w:w="30" w:type="dxa"/>
              <w:left w:w="20" w:type="dxa"/>
              <w:bottom w:w="30" w:type="dxa"/>
              <w:right w:w="20" w:type="dxa"/>
            </w:tcMar>
            <w:vAlign w:val="bottom"/>
            <w:hideMark/>
          </w:tcPr>
          <w:p w14:paraId="37B8F887" w14:textId="77777777" w:rsidR="00000000" w:rsidRDefault="000A3118">
            <w:pPr>
              <w:divId w:val="322590656"/>
              <w:rPr>
                <w:rFonts w:eastAsia="Times New Roman"/>
              </w:rPr>
            </w:pPr>
            <w:r>
              <w:rPr>
                <w:rFonts w:eastAsia="Times New Roman"/>
                <w:color w:val="000000"/>
                <w:sz w:val="16"/>
                <w:szCs w:val="16"/>
              </w:rPr>
              <w:t>Common stock, $0.01 par value; 100.0 shares authorized, 63.3 and 65.2 issued and outstanding as of September 30, 2020 and December 31, 2019, respectively</w:t>
            </w:r>
          </w:p>
        </w:tc>
        <w:tc>
          <w:tcPr>
            <w:tcW w:w="0" w:type="auto"/>
            <w:gridSpan w:val="3"/>
            <w:shd w:val="clear" w:color="auto" w:fill="CCEEFF"/>
            <w:tcMar>
              <w:top w:w="0" w:type="dxa"/>
              <w:left w:w="20" w:type="dxa"/>
              <w:bottom w:w="0" w:type="dxa"/>
              <w:right w:w="20" w:type="dxa"/>
            </w:tcMar>
            <w:vAlign w:val="center"/>
            <w:hideMark/>
          </w:tcPr>
          <w:p w14:paraId="4E232B28"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3B8EC0" w14:textId="77777777" w:rsidR="00000000" w:rsidRDefault="000A3118">
            <w:pPr>
              <w:jc w:val="right"/>
              <w:rPr>
                <w:rFonts w:eastAsia="Times New Roman"/>
              </w:rPr>
            </w:pPr>
            <w:r>
              <w:rPr>
                <w:rFonts w:eastAsia="Times New Roman"/>
                <w:color w:val="000000"/>
                <w:sz w:val="16"/>
                <w:szCs w:val="16"/>
              </w:rPr>
              <w:t>0.6 </w:t>
            </w:r>
          </w:p>
        </w:tc>
        <w:tc>
          <w:tcPr>
            <w:tcW w:w="0" w:type="auto"/>
            <w:shd w:val="clear" w:color="auto" w:fill="CCEEFF"/>
            <w:tcMar>
              <w:top w:w="30" w:type="dxa"/>
              <w:left w:w="0" w:type="dxa"/>
              <w:bottom w:w="30" w:type="dxa"/>
              <w:right w:w="20" w:type="dxa"/>
            </w:tcMar>
            <w:vAlign w:val="bottom"/>
            <w:hideMark/>
          </w:tcPr>
          <w:p w14:paraId="25E020D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58775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E787B8" w14:textId="77777777" w:rsidR="00000000" w:rsidRDefault="000A3118">
            <w:pPr>
              <w:jc w:val="right"/>
              <w:rPr>
                <w:rFonts w:eastAsia="Times New Roman"/>
              </w:rPr>
            </w:pPr>
            <w:r>
              <w:rPr>
                <w:rFonts w:eastAsia="Times New Roman"/>
                <w:color w:val="000000"/>
                <w:sz w:val="16"/>
                <w:szCs w:val="16"/>
              </w:rPr>
              <w:t>0.7 </w:t>
            </w:r>
          </w:p>
        </w:tc>
        <w:tc>
          <w:tcPr>
            <w:tcW w:w="0" w:type="auto"/>
            <w:shd w:val="clear" w:color="auto" w:fill="CCEEFF"/>
            <w:tcMar>
              <w:top w:w="30" w:type="dxa"/>
              <w:left w:w="0" w:type="dxa"/>
              <w:bottom w:w="30" w:type="dxa"/>
              <w:right w:w="20" w:type="dxa"/>
            </w:tcMar>
            <w:vAlign w:val="bottom"/>
            <w:hideMark/>
          </w:tcPr>
          <w:p w14:paraId="6B4E7761" w14:textId="77777777" w:rsidR="00000000" w:rsidRDefault="000A3118">
            <w:pPr>
              <w:jc w:val="right"/>
              <w:rPr>
                <w:rFonts w:eastAsia="Times New Roman"/>
              </w:rPr>
            </w:pPr>
          </w:p>
        </w:tc>
        <w:tc>
          <w:tcPr>
            <w:tcW w:w="0" w:type="auto"/>
            <w:vAlign w:val="center"/>
            <w:hideMark/>
          </w:tcPr>
          <w:p w14:paraId="3C46C6C4" w14:textId="77777777" w:rsidR="00000000" w:rsidRDefault="000A3118">
            <w:pPr>
              <w:jc w:val="right"/>
              <w:rPr>
                <w:rFonts w:eastAsia="Times New Roman"/>
                <w:sz w:val="20"/>
                <w:szCs w:val="20"/>
              </w:rPr>
            </w:pPr>
          </w:p>
        </w:tc>
        <w:tc>
          <w:tcPr>
            <w:tcW w:w="0" w:type="auto"/>
            <w:vAlign w:val="center"/>
            <w:hideMark/>
          </w:tcPr>
          <w:p w14:paraId="024410DE" w14:textId="77777777" w:rsidR="00000000" w:rsidRDefault="000A3118">
            <w:pPr>
              <w:rPr>
                <w:rFonts w:eastAsia="Times New Roman"/>
                <w:sz w:val="20"/>
                <w:szCs w:val="20"/>
              </w:rPr>
            </w:pPr>
          </w:p>
        </w:tc>
      </w:tr>
      <w:tr w:rsidR="00000000" w14:paraId="48B08626" w14:textId="77777777">
        <w:trPr>
          <w:divId w:val="1728453581"/>
        </w:trPr>
        <w:tc>
          <w:tcPr>
            <w:tcW w:w="0" w:type="auto"/>
            <w:gridSpan w:val="3"/>
            <w:shd w:val="clear" w:color="auto" w:fill="FFFFFF"/>
            <w:tcMar>
              <w:top w:w="30" w:type="dxa"/>
              <w:left w:w="135" w:type="dxa"/>
              <w:bottom w:w="30" w:type="dxa"/>
              <w:right w:w="20" w:type="dxa"/>
            </w:tcMar>
            <w:vAlign w:val="bottom"/>
            <w:hideMark/>
          </w:tcPr>
          <w:p w14:paraId="44F4E3E0" w14:textId="77777777" w:rsidR="00000000" w:rsidRDefault="000A3118">
            <w:pPr>
              <w:rPr>
                <w:rFonts w:eastAsia="Times New Roman"/>
              </w:rPr>
            </w:pPr>
            <w:r>
              <w:rPr>
                <w:rFonts w:eastAsia="Times New Roman"/>
                <w:color w:val="000000"/>
                <w:sz w:val="16"/>
                <w:szCs w:val="16"/>
              </w:rPr>
              <w:t>Capital in excess of par value</w:t>
            </w:r>
          </w:p>
        </w:tc>
        <w:tc>
          <w:tcPr>
            <w:tcW w:w="0" w:type="auto"/>
            <w:gridSpan w:val="3"/>
            <w:shd w:val="clear" w:color="auto" w:fill="FFFFFF"/>
            <w:tcMar>
              <w:top w:w="0" w:type="dxa"/>
              <w:left w:w="20" w:type="dxa"/>
              <w:bottom w:w="0" w:type="dxa"/>
              <w:right w:w="20" w:type="dxa"/>
            </w:tcMar>
            <w:vAlign w:val="center"/>
            <w:hideMark/>
          </w:tcPr>
          <w:p w14:paraId="01D6F1CB"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06B2BE" w14:textId="77777777" w:rsidR="00000000" w:rsidRDefault="000A3118">
            <w:pPr>
              <w:jc w:val="right"/>
              <w:rPr>
                <w:rFonts w:eastAsia="Times New Roman"/>
              </w:rPr>
            </w:pPr>
            <w:r>
              <w:rPr>
                <w:rFonts w:eastAsia="Times New Roman"/>
                <w:color w:val="000000"/>
                <w:sz w:val="16"/>
                <w:szCs w:val="16"/>
              </w:rPr>
              <w:t>221.1 </w:t>
            </w:r>
          </w:p>
        </w:tc>
        <w:tc>
          <w:tcPr>
            <w:tcW w:w="0" w:type="auto"/>
            <w:shd w:val="clear" w:color="auto" w:fill="FFFFFF"/>
            <w:tcMar>
              <w:top w:w="30" w:type="dxa"/>
              <w:left w:w="0" w:type="dxa"/>
              <w:bottom w:w="30" w:type="dxa"/>
              <w:right w:w="20" w:type="dxa"/>
            </w:tcMar>
            <w:vAlign w:val="bottom"/>
            <w:hideMark/>
          </w:tcPr>
          <w:p w14:paraId="5203ED2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CEE1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37DAA7" w14:textId="77777777" w:rsidR="00000000" w:rsidRDefault="000A3118">
            <w:pPr>
              <w:jc w:val="right"/>
              <w:rPr>
                <w:rFonts w:eastAsia="Times New Roman"/>
              </w:rPr>
            </w:pPr>
            <w:r>
              <w:rPr>
                <w:rFonts w:eastAsia="Times New Roman"/>
                <w:color w:val="000000"/>
                <w:sz w:val="16"/>
                <w:szCs w:val="16"/>
              </w:rPr>
              <w:t>274.7 </w:t>
            </w:r>
          </w:p>
        </w:tc>
        <w:tc>
          <w:tcPr>
            <w:tcW w:w="0" w:type="auto"/>
            <w:shd w:val="clear" w:color="auto" w:fill="FFFFFF"/>
            <w:tcMar>
              <w:top w:w="30" w:type="dxa"/>
              <w:left w:w="0" w:type="dxa"/>
              <w:bottom w:w="30" w:type="dxa"/>
              <w:right w:w="20" w:type="dxa"/>
            </w:tcMar>
            <w:vAlign w:val="bottom"/>
            <w:hideMark/>
          </w:tcPr>
          <w:p w14:paraId="5DCC05EB" w14:textId="77777777" w:rsidR="00000000" w:rsidRDefault="000A3118">
            <w:pPr>
              <w:jc w:val="right"/>
              <w:rPr>
                <w:rFonts w:eastAsia="Times New Roman"/>
              </w:rPr>
            </w:pPr>
          </w:p>
        </w:tc>
        <w:tc>
          <w:tcPr>
            <w:tcW w:w="0" w:type="auto"/>
            <w:vAlign w:val="center"/>
            <w:hideMark/>
          </w:tcPr>
          <w:p w14:paraId="770BEC9F" w14:textId="77777777" w:rsidR="00000000" w:rsidRDefault="000A3118">
            <w:pPr>
              <w:jc w:val="right"/>
              <w:rPr>
                <w:rFonts w:eastAsia="Times New Roman"/>
                <w:sz w:val="20"/>
                <w:szCs w:val="20"/>
              </w:rPr>
            </w:pPr>
          </w:p>
        </w:tc>
        <w:tc>
          <w:tcPr>
            <w:tcW w:w="0" w:type="auto"/>
            <w:vAlign w:val="center"/>
            <w:hideMark/>
          </w:tcPr>
          <w:p w14:paraId="1F819151" w14:textId="77777777" w:rsidR="00000000" w:rsidRDefault="000A3118">
            <w:pPr>
              <w:rPr>
                <w:rFonts w:eastAsia="Times New Roman"/>
                <w:sz w:val="20"/>
                <w:szCs w:val="20"/>
              </w:rPr>
            </w:pPr>
          </w:p>
        </w:tc>
      </w:tr>
      <w:tr w:rsidR="00000000" w14:paraId="446A17C4" w14:textId="77777777">
        <w:trPr>
          <w:divId w:val="1728453581"/>
        </w:trPr>
        <w:tc>
          <w:tcPr>
            <w:tcW w:w="0" w:type="auto"/>
            <w:gridSpan w:val="3"/>
            <w:shd w:val="clear" w:color="auto" w:fill="CCEEFF"/>
            <w:tcMar>
              <w:top w:w="30" w:type="dxa"/>
              <w:left w:w="135" w:type="dxa"/>
              <w:bottom w:w="30" w:type="dxa"/>
              <w:right w:w="20" w:type="dxa"/>
            </w:tcMar>
            <w:vAlign w:val="bottom"/>
            <w:hideMark/>
          </w:tcPr>
          <w:p w14:paraId="371742B6" w14:textId="77777777" w:rsidR="00000000" w:rsidRDefault="000A3118">
            <w:pPr>
              <w:rPr>
                <w:rFonts w:eastAsia="Times New Roman"/>
              </w:rPr>
            </w:pPr>
            <w:r>
              <w:rPr>
                <w:rFonts w:eastAsia="Times New Roman"/>
                <w:color w:val="000000"/>
                <w:sz w:val="16"/>
                <w:szCs w:val="16"/>
              </w:rPr>
              <w:t>Retained earnings</w:t>
            </w:r>
          </w:p>
        </w:tc>
        <w:tc>
          <w:tcPr>
            <w:tcW w:w="0" w:type="auto"/>
            <w:gridSpan w:val="3"/>
            <w:shd w:val="clear" w:color="auto" w:fill="CCEEFF"/>
            <w:tcMar>
              <w:top w:w="0" w:type="dxa"/>
              <w:left w:w="20" w:type="dxa"/>
              <w:bottom w:w="0" w:type="dxa"/>
              <w:right w:w="20" w:type="dxa"/>
            </w:tcMar>
            <w:vAlign w:val="center"/>
            <w:hideMark/>
          </w:tcPr>
          <w:p w14:paraId="126710F8"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02AD33" w14:textId="77777777" w:rsidR="00000000" w:rsidRDefault="000A3118">
            <w:pPr>
              <w:jc w:val="right"/>
              <w:rPr>
                <w:rFonts w:eastAsia="Times New Roman"/>
              </w:rPr>
            </w:pPr>
            <w:r>
              <w:rPr>
                <w:rFonts w:eastAsia="Times New Roman"/>
                <w:color w:val="000000"/>
                <w:sz w:val="16"/>
                <w:szCs w:val="16"/>
              </w:rPr>
              <w:t>1,846.6 </w:t>
            </w:r>
          </w:p>
        </w:tc>
        <w:tc>
          <w:tcPr>
            <w:tcW w:w="0" w:type="auto"/>
            <w:shd w:val="clear" w:color="auto" w:fill="CCEEFF"/>
            <w:tcMar>
              <w:top w:w="30" w:type="dxa"/>
              <w:left w:w="0" w:type="dxa"/>
              <w:bottom w:w="30" w:type="dxa"/>
              <w:right w:w="20" w:type="dxa"/>
            </w:tcMar>
            <w:vAlign w:val="bottom"/>
            <w:hideMark/>
          </w:tcPr>
          <w:p w14:paraId="5CBB2C5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18D0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AD1E70" w14:textId="77777777" w:rsidR="00000000" w:rsidRDefault="000A3118">
            <w:pPr>
              <w:jc w:val="right"/>
              <w:rPr>
                <w:rFonts w:eastAsia="Times New Roman"/>
              </w:rPr>
            </w:pPr>
            <w:r>
              <w:rPr>
                <w:rFonts w:eastAsia="Times New Roman"/>
                <w:color w:val="000000"/>
                <w:sz w:val="16"/>
                <w:szCs w:val="16"/>
              </w:rPr>
              <w:t>1,761.3 </w:t>
            </w:r>
          </w:p>
        </w:tc>
        <w:tc>
          <w:tcPr>
            <w:tcW w:w="0" w:type="auto"/>
            <w:shd w:val="clear" w:color="auto" w:fill="CCEEFF"/>
            <w:tcMar>
              <w:top w:w="30" w:type="dxa"/>
              <w:left w:w="0" w:type="dxa"/>
              <w:bottom w:w="30" w:type="dxa"/>
              <w:right w:w="20" w:type="dxa"/>
            </w:tcMar>
            <w:vAlign w:val="bottom"/>
            <w:hideMark/>
          </w:tcPr>
          <w:p w14:paraId="07758C0D" w14:textId="77777777" w:rsidR="00000000" w:rsidRDefault="000A3118">
            <w:pPr>
              <w:jc w:val="right"/>
              <w:rPr>
                <w:rFonts w:eastAsia="Times New Roman"/>
              </w:rPr>
            </w:pPr>
          </w:p>
        </w:tc>
        <w:tc>
          <w:tcPr>
            <w:tcW w:w="0" w:type="auto"/>
            <w:vAlign w:val="center"/>
            <w:hideMark/>
          </w:tcPr>
          <w:p w14:paraId="438A8EA3" w14:textId="77777777" w:rsidR="00000000" w:rsidRDefault="000A3118">
            <w:pPr>
              <w:jc w:val="right"/>
              <w:rPr>
                <w:rFonts w:eastAsia="Times New Roman"/>
                <w:sz w:val="20"/>
                <w:szCs w:val="20"/>
              </w:rPr>
            </w:pPr>
          </w:p>
        </w:tc>
        <w:tc>
          <w:tcPr>
            <w:tcW w:w="0" w:type="auto"/>
            <w:vAlign w:val="center"/>
            <w:hideMark/>
          </w:tcPr>
          <w:p w14:paraId="358EDABB" w14:textId="77777777" w:rsidR="00000000" w:rsidRDefault="000A3118">
            <w:pPr>
              <w:rPr>
                <w:rFonts w:eastAsia="Times New Roman"/>
                <w:sz w:val="20"/>
                <w:szCs w:val="20"/>
              </w:rPr>
            </w:pPr>
          </w:p>
        </w:tc>
      </w:tr>
      <w:tr w:rsidR="00000000" w14:paraId="6EB356C1" w14:textId="77777777">
        <w:trPr>
          <w:divId w:val="1728453581"/>
        </w:trPr>
        <w:tc>
          <w:tcPr>
            <w:tcW w:w="0" w:type="auto"/>
            <w:gridSpan w:val="3"/>
            <w:shd w:val="clear" w:color="auto" w:fill="FFFFFF"/>
            <w:tcMar>
              <w:top w:w="30" w:type="dxa"/>
              <w:left w:w="135" w:type="dxa"/>
              <w:bottom w:w="30" w:type="dxa"/>
              <w:right w:w="20" w:type="dxa"/>
            </w:tcMar>
            <w:vAlign w:val="bottom"/>
            <w:hideMark/>
          </w:tcPr>
          <w:p w14:paraId="351EA042" w14:textId="77777777" w:rsidR="00000000" w:rsidRDefault="000A3118">
            <w:pPr>
              <w:rPr>
                <w:rFonts w:eastAsia="Times New Roman"/>
              </w:rPr>
            </w:pPr>
            <w:r>
              <w:rPr>
                <w:rFonts w:eastAsia="Times New Roman"/>
                <w:color w:val="000000"/>
                <w:sz w:val="16"/>
                <w:szCs w:val="16"/>
              </w:rPr>
              <w:t>Accumulated other comprehensive loss</w:t>
            </w:r>
          </w:p>
        </w:tc>
        <w:tc>
          <w:tcPr>
            <w:tcW w:w="0" w:type="auto"/>
            <w:gridSpan w:val="3"/>
            <w:shd w:val="clear" w:color="auto" w:fill="FFFFFF"/>
            <w:tcMar>
              <w:top w:w="0" w:type="dxa"/>
              <w:left w:w="20" w:type="dxa"/>
              <w:bottom w:w="0" w:type="dxa"/>
              <w:right w:w="20" w:type="dxa"/>
            </w:tcMar>
            <w:vAlign w:val="center"/>
            <w:hideMark/>
          </w:tcPr>
          <w:p w14:paraId="72F6C696"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2D54B1" w14:textId="77777777" w:rsidR="00000000" w:rsidRDefault="000A3118">
            <w:pPr>
              <w:jc w:val="right"/>
              <w:rPr>
                <w:rFonts w:eastAsia="Times New Roman"/>
              </w:rPr>
            </w:pPr>
            <w:r>
              <w:rPr>
                <w:rFonts w:eastAsia="Times New Roman"/>
                <w:color w:val="000000"/>
                <w:sz w:val="16"/>
                <w:szCs w:val="16"/>
              </w:rPr>
              <w:t>(152.3)</w:t>
            </w:r>
          </w:p>
        </w:tc>
        <w:tc>
          <w:tcPr>
            <w:tcW w:w="0" w:type="auto"/>
            <w:shd w:val="clear" w:color="auto" w:fill="FFFFFF"/>
            <w:tcMar>
              <w:top w:w="30" w:type="dxa"/>
              <w:left w:w="0" w:type="dxa"/>
              <w:bottom w:w="30" w:type="dxa"/>
              <w:right w:w="20" w:type="dxa"/>
            </w:tcMar>
            <w:vAlign w:val="bottom"/>
            <w:hideMark/>
          </w:tcPr>
          <w:p w14:paraId="6616C8D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4B9D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9BF54" w14:textId="77777777" w:rsidR="00000000" w:rsidRDefault="000A3118">
            <w:pPr>
              <w:jc w:val="right"/>
              <w:rPr>
                <w:rFonts w:eastAsia="Times New Roman"/>
              </w:rPr>
            </w:pPr>
            <w:r>
              <w:rPr>
                <w:rFonts w:eastAsia="Times New Roman"/>
                <w:color w:val="000000"/>
                <w:sz w:val="16"/>
                <w:szCs w:val="16"/>
              </w:rPr>
              <w:t>(146.3)</w:t>
            </w:r>
          </w:p>
        </w:tc>
        <w:tc>
          <w:tcPr>
            <w:tcW w:w="0" w:type="auto"/>
            <w:shd w:val="clear" w:color="auto" w:fill="FFFFFF"/>
            <w:tcMar>
              <w:top w:w="30" w:type="dxa"/>
              <w:left w:w="0" w:type="dxa"/>
              <w:bottom w:w="30" w:type="dxa"/>
              <w:right w:w="20" w:type="dxa"/>
            </w:tcMar>
            <w:vAlign w:val="bottom"/>
            <w:hideMark/>
          </w:tcPr>
          <w:p w14:paraId="422DADAA" w14:textId="77777777" w:rsidR="00000000" w:rsidRDefault="000A3118">
            <w:pPr>
              <w:jc w:val="right"/>
              <w:rPr>
                <w:rFonts w:eastAsia="Times New Roman"/>
              </w:rPr>
            </w:pPr>
          </w:p>
        </w:tc>
        <w:tc>
          <w:tcPr>
            <w:tcW w:w="0" w:type="auto"/>
            <w:vAlign w:val="center"/>
            <w:hideMark/>
          </w:tcPr>
          <w:p w14:paraId="6D6C3CC8" w14:textId="77777777" w:rsidR="00000000" w:rsidRDefault="000A3118">
            <w:pPr>
              <w:jc w:val="right"/>
              <w:rPr>
                <w:rFonts w:eastAsia="Times New Roman"/>
                <w:sz w:val="20"/>
                <w:szCs w:val="20"/>
              </w:rPr>
            </w:pPr>
          </w:p>
        </w:tc>
        <w:tc>
          <w:tcPr>
            <w:tcW w:w="0" w:type="auto"/>
            <w:vAlign w:val="center"/>
            <w:hideMark/>
          </w:tcPr>
          <w:p w14:paraId="6C64B652" w14:textId="77777777" w:rsidR="00000000" w:rsidRDefault="000A3118">
            <w:pPr>
              <w:rPr>
                <w:rFonts w:eastAsia="Times New Roman"/>
                <w:sz w:val="20"/>
                <w:szCs w:val="20"/>
              </w:rPr>
            </w:pPr>
          </w:p>
        </w:tc>
      </w:tr>
      <w:tr w:rsidR="00000000" w14:paraId="13131F1A" w14:textId="77777777">
        <w:trPr>
          <w:divId w:val="1728453581"/>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14:paraId="71142AC3" w14:textId="77777777" w:rsidR="00000000" w:rsidRDefault="000A3118">
            <w:pPr>
              <w:rPr>
                <w:rFonts w:eastAsia="Times New Roman"/>
              </w:rPr>
            </w:pPr>
            <w:r>
              <w:rPr>
                <w:rFonts w:eastAsia="Times New Roman"/>
                <w:color w:val="000000"/>
                <w:sz w:val="16"/>
                <w:szCs w:val="16"/>
              </w:rPr>
              <w:t>Total World Fuel shareholders'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B97666"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FFEEC3" w14:textId="77777777" w:rsidR="00000000" w:rsidRDefault="000A3118">
            <w:pPr>
              <w:jc w:val="right"/>
              <w:rPr>
                <w:rFonts w:eastAsia="Times New Roman"/>
              </w:rPr>
            </w:pPr>
            <w:r>
              <w:rPr>
                <w:rFonts w:eastAsia="Times New Roman"/>
                <w:color w:val="000000"/>
                <w:sz w:val="16"/>
                <w:szCs w:val="16"/>
              </w:rPr>
              <w:t>1,916.0 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778228"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C93823"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7B5713" w14:textId="77777777" w:rsidR="00000000" w:rsidRDefault="000A3118">
            <w:pPr>
              <w:jc w:val="right"/>
              <w:rPr>
                <w:rFonts w:eastAsia="Times New Roman"/>
              </w:rPr>
            </w:pPr>
            <w:r>
              <w:rPr>
                <w:rFonts w:eastAsia="Times New Roman"/>
                <w:color w:val="000000"/>
                <w:sz w:val="16"/>
                <w:szCs w:val="16"/>
              </w:rPr>
              <w:t>1,890.4 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C8753A" w14:textId="77777777" w:rsidR="00000000" w:rsidRDefault="000A3118">
            <w:pPr>
              <w:jc w:val="right"/>
              <w:rPr>
                <w:rFonts w:eastAsia="Times New Roman"/>
              </w:rPr>
            </w:pPr>
          </w:p>
        </w:tc>
        <w:tc>
          <w:tcPr>
            <w:tcW w:w="0" w:type="auto"/>
            <w:vAlign w:val="center"/>
            <w:hideMark/>
          </w:tcPr>
          <w:p w14:paraId="6F461FB0" w14:textId="77777777" w:rsidR="00000000" w:rsidRDefault="000A3118">
            <w:pPr>
              <w:jc w:val="right"/>
              <w:rPr>
                <w:rFonts w:eastAsia="Times New Roman"/>
                <w:sz w:val="20"/>
                <w:szCs w:val="20"/>
              </w:rPr>
            </w:pPr>
          </w:p>
        </w:tc>
        <w:tc>
          <w:tcPr>
            <w:tcW w:w="0" w:type="auto"/>
            <w:vAlign w:val="center"/>
            <w:hideMark/>
          </w:tcPr>
          <w:p w14:paraId="703A992C" w14:textId="77777777" w:rsidR="00000000" w:rsidRDefault="000A3118">
            <w:pPr>
              <w:rPr>
                <w:rFonts w:eastAsia="Times New Roman"/>
                <w:sz w:val="20"/>
                <w:szCs w:val="20"/>
              </w:rPr>
            </w:pPr>
          </w:p>
        </w:tc>
      </w:tr>
      <w:tr w:rsidR="00000000" w14:paraId="620BD2D8" w14:textId="77777777">
        <w:trPr>
          <w:divId w:val="1728453581"/>
        </w:trPr>
        <w:tc>
          <w:tcPr>
            <w:tcW w:w="0" w:type="auto"/>
            <w:gridSpan w:val="3"/>
            <w:shd w:val="clear" w:color="auto" w:fill="FFFFFF"/>
            <w:tcMar>
              <w:top w:w="30" w:type="dxa"/>
              <w:left w:w="135" w:type="dxa"/>
              <w:bottom w:w="30" w:type="dxa"/>
              <w:right w:w="20" w:type="dxa"/>
            </w:tcMar>
            <w:vAlign w:val="bottom"/>
            <w:hideMark/>
          </w:tcPr>
          <w:p w14:paraId="5F9CF47F" w14:textId="77777777" w:rsidR="00000000" w:rsidRDefault="000A3118">
            <w:pPr>
              <w:rPr>
                <w:rFonts w:eastAsia="Times New Roman"/>
              </w:rPr>
            </w:pPr>
            <w:r>
              <w:rPr>
                <w:rFonts w:eastAsia="Times New Roman"/>
                <w:color w:val="000000"/>
                <w:sz w:val="16"/>
                <w:szCs w:val="16"/>
              </w:rPr>
              <w:t>Noncontrolling interest</w:t>
            </w:r>
          </w:p>
        </w:tc>
        <w:tc>
          <w:tcPr>
            <w:tcW w:w="0" w:type="auto"/>
            <w:gridSpan w:val="3"/>
            <w:shd w:val="clear" w:color="auto" w:fill="FFFFFF"/>
            <w:tcMar>
              <w:top w:w="0" w:type="dxa"/>
              <w:left w:w="20" w:type="dxa"/>
              <w:bottom w:w="0" w:type="dxa"/>
              <w:right w:w="20" w:type="dxa"/>
            </w:tcMar>
            <w:vAlign w:val="center"/>
            <w:hideMark/>
          </w:tcPr>
          <w:p w14:paraId="235C93FD"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A6214F" w14:textId="77777777" w:rsidR="00000000" w:rsidRDefault="000A3118">
            <w:pPr>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14:paraId="4D58A9B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73BF6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8297CD" w14:textId="77777777" w:rsidR="00000000" w:rsidRDefault="000A3118">
            <w:pPr>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14:paraId="790674F4" w14:textId="77777777" w:rsidR="00000000" w:rsidRDefault="000A3118">
            <w:pPr>
              <w:jc w:val="right"/>
              <w:rPr>
                <w:rFonts w:eastAsia="Times New Roman"/>
              </w:rPr>
            </w:pPr>
          </w:p>
        </w:tc>
        <w:tc>
          <w:tcPr>
            <w:tcW w:w="0" w:type="auto"/>
            <w:vAlign w:val="center"/>
            <w:hideMark/>
          </w:tcPr>
          <w:p w14:paraId="07C19A8C" w14:textId="77777777" w:rsidR="00000000" w:rsidRDefault="000A3118">
            <w:pPr>
              <w:jc w:val="right"/>
              <w:rPr>
                <w:rFonts w:eastAsia="Times New Roman"/>
                <w:sz w:val="20"/>
                <w:szCs w:val="20"/>
              </w:rPr>
            </w:pPr>
          </w:p>
        </w:tc>
        <w:tc>
          <w:tcPr>
            <w:tcW w:w="0" w:type="auto"/>
            <w:vAlign w:val="center"/>
            <w:hideMark/>
          </w:tcPr>
          <w:p w14:paraId="2952A189" w14:textId="77777777" w:rsidR="00000000" w:rsidRDefault="000A3118">
            <w:pPr>
              <w:rPr>
                <w:rFonts w:eastAsia="Times New Roman"/>
                <w:sz w:val="20"/>
                <w:szCs w:val="20"/>
              </w:rPr>
            </w:pPr>
          </w:p>
        </w:tc>
      </w:tr>
      <w:tr w:rsidR="00000000" w14:paraId="7DF216EE" w14:textId="77777777">
        <w:trPr>
          <w:divId w:val="1728453581"/>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14:paraId="7AA48CA5" w14:textId="77777777" w:rsidR="00000000" w:rsidRDefault="000A3118">
            <w:pPr>
              <w:rPr>
                <w:rFonts w:eastAsia="Times New Roman"/>
              </w:rPr>
            </w:pPr>
            <w:r>
              <w:rPr>
                <w:rFonts w:eastAsia="Times New Roman"/>
                <w:color w:val="000000"/>
                <w:sz w:val="16"/>
                <w:szCs w:val="16"/>
              </w:rPr>
              <w:t>Total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B49087"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1944D0" w14:textId="77777777" w:rsidR="00000000" w:rsidRDefault="000A3118">
            <w:pPr>
              <w:jc w:val="right"/>
              <w:rPr>
                <w:rFonts w:eastAsia="Times New Roman"/>
              </w:rPr>
            </w:pPr>
            <w:r>
              <w:rPr>
                <w:rFonts w:eastAsia="Times New Roman"/>
                <w:color w:val="000000"/>
                <w:sz w:val="16"/>
                <w:szCs w:val="16"/>
              </w:rPr>
              <w:t>1,919.8 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71BB2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24931D"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2CAD3B" w14:textId="77777777" w:rsidR="00000000" w:rsidRDefault="000A3118">
            <w:pPr>
              <w:jc w:val="right"/>
              <w:rPr>
                <w:rFonts w:eastAsia="Times New Roman"/>
              </w:rPr>
            </w:pPr>
            <w:r>
              <w:rPr>
                <w:rFonts w:eastAsia="Times New Roman"/>
                <w:color w:val="000000"/>
                <w:sz w:val="16"/>
                <w:szCs w:val="16"/>
              </w:rPr>
              <w:t>1,893.9 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FE8746" w14:textId="77777777" w:rsidR="00000000" w:rsidRDefault="000A3118">
            <w:pPr>
              <w:jc w:val="right"/>
              <w:rPr>
                <w:rFonts w:eastAsia="Times New Roman"/>
              </w:rPr>
            </w:pPr>
          </w:p>
        </w:tc>
        <w:tc>
          <w:tcPr>
            <w:tcW w:w="0" w:type="auto"/>
            <w:vAlign w:val="center"/>
            <w:hideMark/>
          </w:tcPr>
          <w:p w14:paraId="72987646" w14:textId="77777777" w:rsidR="00000000" w:rsidRDefault="000A3118">
            <w:pPr>
              <w:jc w:val="right"/>
              <w:rPr>
                <w:rFonts w:eastAsia="Times New Roman"/>
                <w:sz w:val="20"/>
                <w:szCs w:val="20"/>
              </w:rPr>
            </w:pPr>
          </w:p>
        </w:tc>
        <w:tc>
          <w:tcPr>
            <w:tcW w:w="0" w:type="auto"/>
            <w:vAlign w:val="center"/>
            <w:hideMark/>
          </w:tcPr>
          <w:p w14:paraId="5DFE4035" w14:textId="77777777" w:rsidR="00000000" w:rsidRDefault="000A3118">
            <w:pPr>
              <w:rPr>
                <w:rFonts w:eastAsia="Times New Roman"/>
                <w:sz w:val="20"/>
                <w:szCs w:val="20"/>
              </w:rPr>
            </w:pPr>
          </w:p>
        </w:tc>
      </w:tr>
      <w:tr w:rsidR="00000000" w14:paraId="41209638" w14:textId="77777777">
        <w:trPr>
          <w:divId w:val="1728453581"/>
        </w:trPr>
        <w:tc>
          <w:tcPr>
            <w:tcW w:w="0" w:type="auto"/>
            <w:gridSpan w:val="3"/>
            <w:tcBorders>
              <w:top w:val="single" w:sz="8" w:space="0" w:color="000000"/>
              <w:bottom w:val="double" w:sz="6" w:space="0" w:color="000000"/>
            </w:tcBorders>
            <w:shd w:val="clear" w:color="auto" w:fill="FFFFFF"/>
            <w:tcMar>
              <w:top w:w="30" w:type="dxa"/>
              <w:left w:w="225" w:type="dxa"/>
              <w:bottom w:w="30" w:type="dxa"/>
              <w:right w:w="20" w:type="dxa"/>
            </w:tcMar>
            <w:vAlign w:val="bottom"/>
            <w:hideMark/>
          </w:tcPr>
          <w:p w14:paraId="4B6694F5" w14:textId="77777777" w:rsidR="00000000" w:rsidRDefault="000A3118">
            <w:pPr>
              <w:rPr>
                <w:rFonts w:eastAsia="Times New Roman"/>
              </w:rPr>
            </w:pPr>
            <w:r>
              <w:rPr>
                <w:rFonts w:eastAsia="Times New Roman"/>
                <w:color w:val="000000"/>
                <w:sz w:val="16"/>
                <w:szCs w:val="16"/>
              </w:rPr>
              <w:lastRenderedPageBreak/>
              <w:t>Total liabilities and equity</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96D5571" w14:textId="77777777" w:rsidR="00000000" w:rsidRDefault="000A3118">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73B31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AAF198" w14:textId="77777777" w:rsidR="00000000" w:rsidRDefault="000A3118">
            <w:pPr>
              <w:jc w:val="right"/>
              <w:rPr>
                <w:rFonts w:eastAsia="Times New Roman"/>
              </w:rPr>
            </w:pPr>
            <w:r>
              <w:rPr>
                <w:rFonts w:eastAsia="Times New Roman"/>
                <w:color w:val="000000"/>
                <w:sz w:val="16"/>
                <w:szCs w:val="16"/>
              </w:rPr>
              <w:t>4,392.3 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032572"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BC035FD"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E4383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4DD2BA" w14:textId="77777777" w:rsidR="00000000" w:rsidRDefault="000A3118">
            <w:pPr>
              <w:jc w:val="right"/>
              <w:rPr>
                <w:rFonts w:eastAsia="Times New Roman"/>
              </w:rPr>
            </w:pPr>
            <w:r>
              <w:rPr>
                <w:rFonts w:eastAsia="Times New Roman"/>
                <w:color w:val="000000"/>
                <w:sz w:val="16"/>
                <w:szCs w:val="16"/>
              </w:rPr>
              <w:t>5,992.4 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99F241" w14:textId="77777777" w:rsidR="00000000" w:rsidRDefault="000A3118">
            <w:pPr>
              <w:jc w:val="right"/>
              <w:rPr>
                <w:rFonts w:eastAsia="Times New Roman"/>
              </w:rPr>
            </w:pPr>
          </w:p>
        </w:tc>
        <w:tc>
          <w:tcPr>
            <w:tcW w:w="0" w:type="auto"/>
            <w:vAlign w:val="center"/>
            <w:hideMark/>
          </w:tcPr>
          <w:p w14:paraId="11EF626F" w14:textId="77777777" w:rsidR="00000000" w:rsidRDefault="000A3118">
            <w:pPr>
              <w:jc w:val="right"/>
              <w:rPr>
                <w:rFonts w:eastAsia="Times New Roman"/>
                <w:sz w:val="20"/>
                <w:szCs w:val="20"/>
              </w:rPr>
            </w:pPr>
          </w:p>
        </w:tc>
        <w:tc>
          <w:tcPr>
            <w:tcW w:w="0" w:type="auto"/>
            <w:vAlign w:val="center"/>
            <w:hideMark/>
          </w:tcPr>
          <w:p w14:paraId="27A0065B" w14:textId="77777777" w:rsidR="00000000" w:rsidRDefault="000A3118">
            <w:pPr>
              <w:rPr>
                <w:rFonts w:eastAsia="Times New Roman"/>
                <w:sz w:val="20"/>
                <w:szCs w:val="20"/>
              </w:rPr>
            </w:pPr>
          </w:p>
        </w:tc>
      </w:tr>
    </w:tbl>
    <w:p w14:paraId="1A2FAEEC" w14:textId="77777777" w:rsidR="00000000" w:rsidRDefault="000A3118">
      <w:pPr>
        <w:ind w:firstLine="720"/>
        <w:jc w:val="center"/>
        <w:rPr>
          <w:rFonts w:eastAsia="Times New Roman"/>
        </w:rPr>
      </w:pPr>
      <w:r>
        <w:rPr>
          <w:rFonts w:eastAsia="Times New Roman"/>
          <w:color w:val="000000"/>
          <w:sz w:val="20"/>
          <w:szCs w:val="20"/>
        </w:rPr>
        <w:t> </w:t>
      </w:r>
    </w:p>
    <w:p w14:paraId="32565FA3" w14:textId="77777777" w:rsidR="00000000" w:rsidRDefault="000A3118">
      <w:pPr>
        <w:ind w:firstLine="720"/>
        <w:jc w:val="center"/>
        <w:rPr>
          <w:rFonts w:eastAsia="Times New Roman"/>
        </w:rPr>
      </w:pPr>
      <w:r>
        <w:rPr>
          <w:rFonts w:eastAsia="Times New Roman"/>
          <w:color w:val="000000"/>
          <w:sz w:val="20"/>
          <w:szCs w:val="20"/>
        </w:rPr>
        <w:t>Th</w:t>
      </w:r>
      <w:r>
        <w:rPr>
          <w:rFonts w:eastAsia="Times New Roman"/>
          <w:color w:val="000000"/>
          <w:sz w:val="20"/>
          <w:szCs w:val="20"/>
        </w:rPr>
        <w:t>e accompanying notes are an integral part of these unaudited Consolidated Financial Statements.</w:t>
      </w:r>
    </w:p>
    <w:p w14:paraId="369FCA21" w14:textId="77777777" w:rsidR="00000000" w:rsidRDefault="000A3118">
      <w:pPr>
        <w:ind w:firstLine="720"/>
        <w:divId w:val="307125240"/>
        <w:rPr>
          <w:rFonts w:eastAsia="Times New Roman"/>
        </w:rPr>
      </w:pPr>
    </w:p>
    <w:p w14:paraId="2B1A2CA1" w14:textId="77777777" w:rsidR="00000000" w:rsidRDefault="000A3118">
      <w:pPr>
        <w:jc w:val="center"/>
        <w:divId w:val="1588154712"/>
        <w:rPr>
          <w:rFonts w:eastAsia="Times New Roman"/>
        </w:rPr>
      </w:pPr>
      <w:r>
        <w:rPr>
          <w:rFonts w:eastAsia="Times New Roman"/>
          <w:color w:val="000000"/>
          <w:sz w:val="20"/>
          <w:szCs w:val="20"/>
        </w:rPr>
        <w:t>1</w:t>
      </w:r>
    </w:p>
    <w:p w14:paraId="262EF1C2" w14:textId="77777777" w:rsidR="00000000" w:rsidRDefault="000A3118">
      <w:pPr>
        <w:rPr>
          <w:rFonts w:eastAsia="Times New Roman"/>
        </w:rPr>
      </w:pPr>
      <w:r>
        <w:rPr>
          <w:rFonts w:eastAsia="Times New Roman"/>
        </w:rPr>
        <w:pict w14:anchorId="54F4FDFE">
          <v:rect id="_x0000_i1029" style="width:0;height:1.5pt" o:hralign="center" o:hrstd="t" o:hr="t" fillcolor="#a0a0a0" stroked="f"/>
        </w:pict>
      </w:r>
    </w:p>
    <w:p w14:paraId="71FD6E13" w14:textId="77777777" w:rsidR="00000000" w:rsidRDefault="000A3118">
      <w:pPr>
        <w:divId w:val="293339780"/>
        <w:rPr>
          <w:rFonts w:eastAsia="Times New Roman"/>
        </w:rPr>
      </w:pPr>
    </w:p>
    <w:p w14:paraId="2274BD80" w14:textId="77777777" w:rsidR="00000000" w:rsidRDefault="000A3118">
      <w:pPr>
        <w:jc w:val="center"/>
        <w:rPr>
          <w:rFonts w:eastAsia="Times New Roman"/>
        </w:rPr>
      </w:pPr>
      <w:r>
        <w:rPr>
          <w:rFonts w:eastAsia="Times New Roman"/>
          <w:b/>
          <w:bCs/>
          <w:color w:val="000000"/>
          <w:sz w:val="20"/>
          <w:szCs w:val="20"/>
        </w:rPr>
        <w:t>World Fuel Services Corporation</w:t>
      </w:r>
    </w:p>
    <w:p w14:paraId="73968EDF" w14:textId="77777777" w:rsidR="00000000" w:rsidRDefault="000A3118">
      <w:pPr>
        <w:jc w:val="center"/>
        <w:rPr>
          <w:rFonts w:eastAsia="Times New Roman"/>
        </w:rPr>
      </w:pPr>
      <w:r>
        <w:rPr>
          <w:rFonts w:eastAsia="Times New Roman"/>
          <w:b/>
          <w:bCs/>
          <w:color w:val="000000"/>
          <w:sz w:val="20"/>
          <w:szCs w:val="20"/>
        </w:rPr>
        <w:t>Consolidated Statements of Income and Comprehensive Income</w:t>
      </w:r>
    </w:p>
    <w:p w14:paraId="71F3E3C4" w14:textId="77777777" w:rsidR="00000000" w:rsidRDefault="000A3118">
      <w:pPr>
        <w:jc w:val="center"/>
        <w:rPr>
          <w:rFonts w:eastAsia="Times New Roman"/>
        </w:rPr>
      </w:pPr>
      <w:r>
        <w:rPr>
          <w:rFonts w:eastAsia="Times New Roman"/>
          <w:color w:val="000000"/>
          <w:sz w:val="20"/>
          <w:szCs w:val="20"/>
        </w:rPr>
        <w:t>(Unaudited – In millions, except per share data)</w:t>
      </w:r>
    </w:p>
    <w:p w14:paraId="3475BFA1" w14:textId="77777777" w:rsidR="00000000" w:rsidRDefault="000A3118">
      <w:pPr>
        <w:ind w:firstLine="720"/>
        <w:divId w:val="1415937678"/>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4045"/>
        <w:gridCol w:w="38"/>
        <w:gridCol w:w="36"/>
        <w:gridCol w:w="36"/>
        <w:gridCol w:w="36"/>
        <w:gridCol w:w="100"/>
        <w:gridCol w:w="801"/>
        <w:gridCol w:w="36"/>
        <w:gridCol w:w="36"/>
        <w:gridCol w:w="36"/>
        <w:gridCol w:w="36"/>
        <w:gridCol w:w="100"/>
        <w:gridCol w:w="801"/>
        <w:gridCol w:w="36"/>
        <w:gridCol w:w="36"/>
        <w:gridCol w:w="36"/>
        <w:gridCol w:w="36"/>
        <w:gridCol w:w="100"/>
        <w:gridCol w:w="801"/>
        <w:gridCol w:w="36"/>
        <w:gridCol w:w="36"/>
        <w:gridCol w:w="36"/>
        <w:gridCol w:w="36"/>
        <w:gridCol w:w="100"/>
        <w:gridCol w:w="804"/>
        <w:gridCol w:w="36"/>
      </w:tblGrid>
      <w:tr w:rsidR="00000000" w14:paraId="5045D3E8" w14:textId="77777777">
        <w:trPr>
          <w:divId w:val="1877042328"/>
        </w:trPr>
        <w:tc>
          <w:tcPr>
            <w:tcW w:w="50" w:type="pct"/>
            <w:vAlign w:val="center"/>
            <w:hideMark/>
          </w:tcPr>
          <w:p w14:paraId="24454CD8" w14:textId="77777777" w:rsidR="00000000" w:rsidRDefault="000A3118">
            <w:pPr>
              <w:ind w:firstLine="720"/>
              <w:rPr>
                <w:rFonts w:eastAsia="Times New Roman"/>
              </w:rPr>
            </w:pPr>
          </w:p>
        </w:tc>
        <w:tc>
          <w:tcPr>
            <w:tcW w:w="2459" w:type="pct"/>
            <w:vAlign w:val="center"/>
            <w:hideMark/>
          </w:tcPr>
          <w:p w14:paraId="11A1CDA4" w14:textId="77777777" w:rsidR="00000000" w:rsidRDefault="000A3118">
            <w:pPr>
              <w:rPr>
                <w:rFonts w:eastAsia="Times New Roman"/>
                <w:sz w:val="20"/>
                <w:szCs w:val="20"/>
              </w:rPr>
            </w:pPr>
          </w:p>
        </w:tc>
        <w:tc>
          <w:tcPr>
            <w:tcW w:w="5" w:type="pct"/>
            <w:vAlign w:val="center"/>
            <w:hideMark/>
          </w:tcPr>
          <w:p w14:paraId="075AD7E3" w14:textId="77777777" w:rsidR="00000000" w:rsidRDefault="000A3118">
            <w:pPr>
              <w:rPr>
                <w:rFonts w:eastAsia="Times New Roman"/>
                <w:sz w:val="20"/>
                <w:szCs w:val="20"/>
              </w:rPr>
            </w:pPr>
          </w:p>
        </w:tc>
        <w:tc>
          <w:tcPr>
            <w:tcW w:w="5" w:type="pct"/>
            <w:vAlign w:val="center"/>
            <w:hideMark/>
          </w:tcPr>
          <w:p w14:paraId="4318C1A2" w14:textId="77777777" w:rsidR="00000000" w:rsidRDefault="000A3118">
            <w:pPr>
              <w:rPr>
                <w:rFonts w:eastAsia="Times New Roman"/>
                <w:sz w:val="20"/>
                <w:szCs w:val="20"/>
              </w:rPr>
            </w:pPr>
          </w:p>
        </w:tc>
        <w:tc>
          <w:tcPr>
            <w:tcW w:w="26" w:type="pct"/>
            <w:vAlign w:val="center"/>
            <w:hideMark/>
          </w:tcPr>
          <w:p w14:paraId="27C93719" w14:textId="77777777" w:rsidR="00000000" w:rsidRDefault="000A3118">
            <w:pPr>
              <w:rPr>
                <w:rFonts w:eastAsia="Times New Roman"/>
                <w:sz w:val="20"/>
                <w:szCs w:val="20"/>
              </w:rPr>
            </w:pPr>
          </w:p>
        </w:tc>
        <w:tc>
          <w:tcPr>
            <w:tcW w:w="5" w:type="pct"/>
            <w:vAlign w:val="center"/>
            <w:hideMark/>
          </w:tcPr>
          <w:p w14:paraId="6D538C5A" w14:textId="77777777" w:rsidR="00000000" w:rsidRDefault="000A3118">
            <w:pPr>
              <w:rPr>
                <w:rFonts w:eastAsia="Times New Roman"/>
                <w:sz w:val="20"/>
                <w:szCs w:val="20"/>
              </w:rPr>
            </w:pPr>
          </w:p>
        </w:tc>
        <w:tc>
          <w:tcPr>
            <w:tcW w:w="50" w:type="pct"/>
            <w:vAlign w:val="center"/>
            <w:hideMark/>
          </w:tcPr>
          <w:p w14:paraId="393C4378" w14:textId="77777777" w:rsidR="00000000" w:rsidRDefault="000A3118">
            <w:pPr>
              <w:rPr>
                <w:rFonts w:eastAsia="Times New Roman"/>
                <w:sz w:val="20"/>
                <w:szCs w:val="20"/>
              </w:rPr>
            </w:pPr>
          </w:p>
        </w:tc>
        <w:tc>
          <w:tcPr>
            <w:tcW w:w="529" w:type="pct"/>
            <w:vAlign w:val="center"/>
            <w:hideMark/>
          </w:tcPr>
          <w:p w14:paraId="57F5264A" w14:textId="77777777" w:rsidR="00000000" w:rsidRDefault="000A3118">
            <w:pPr>
              <w:rPr>
                <w:rFonts w:eastAsia="Times New Roman"/>
                <w:sz w:val="20"/>
                <w:szCs w:val="20"/>
              </w:rPr>
            </w:pPr>
          </w:p>
        </w:tc>
        <w:tc>
          <w:tcPr>
            <w:tcW w:w="5" w:type="pct"/>
            <w:vAlign w:val="center"/>
            <w:hideMark/>
          </w:tcPr>
          <w:p w14:paraId="72CABA99" w14:textId="77777777" w:rsidR="00000000" w:rsidRDefault="000A3118">
            <w:pPr>
              <w:rPr>
                <w:rFonts w:eastAsia="Times New Roman"/>
                <w:sz w:val="20"/>
                <w:szCs w:val="20"/>
              </w:rPr>
            </w:pPr>
          </w:p>
        </w:tc>
        <w:tc>
          <w:tcPr>
            <w:tcW w:w="5" w:type="pct"/>
            <w:vAlign w:val="center"/>
            <w:hideMark/>
          </w:tcPr>
          <w:p w14:paraId="666577FD" w14:textId="77777777" w:rsidR="00000000" w:rsidRDefault="000A3118">
            <w:pPr>
              <w:rPr>
                <w:rFonts w:eastAsia="Times New Roman"/>
                <w:sz w:val="20"/>
                <w:szCs w:val="20"/>
              </w:rPr>
            </w:pPr>
          </w:p>
        </w:tc>
        <w:tc>
          <w:tcPr>
            <w:tcW w:w="26" w:type="pct"/>
            <w:vAlign w:val="center"/>
            <w:hideMark/>
          </w:tcPr>
          <w:p w14:paraId="5DB92137" w14:textId="77777777" w:rsidR="00000000" w:rsidRDefault="000A3118">
            <w:pPr>
              <w:rPr>
                <w:rFonts w:eastAsia="Times New Roman"/>
                <w:sz w:val="20"/>
                <w:szCs w:val="20"/>
              </w:rPr>
            </w:pPr>
          </w:p>
        </w:tc>
        <w:tc>
          <w:tcPr>
            <w:tcW w:w="5" w:type="pct"/>
            <w:vAlign w:val="center"/>
            <w:hideMark/>
          </w:tcPr>
          <w:p w14:paraId="223C21EF" w14:textId="77777777" w:rsidR="00000000" w:rsidRDefault="000A3118">
            <w:pPr>
              <w:rPr>
                <w:rFonts w:eastAsia="Times New Roman"/>
                <w:sz w:val="20"/>
                <w:szCs w:val="20"/>
              </w:rPr>
            </w:pPr>
          </w:p>
        </w:tc>
        <w:tc>
          <w:tcPr>
            <w:tcW w:w="50" w:type="pct"/>
            <w:vAlign w:val="center"/>
            <w:hideMark/>
          </w:tcPr>
          <w:p w14:paraId="77EE9753" w14:textId="77777777" w:rsidR="00000000" w:rsidRDefault="000A3118">
            <w:pPr>
              <w:rPr>
                <w:rFonts w:eastAsia="Times New Roman"/>
                <w:sz w:val="20"/>
                <w:szCs w:val="20"/>
              </w:rPr>
            </w:pPr>
          </w:p>
        </w:tc>
        <w:tc>
          <w:tcPr>
            <w:tcW w:w="529" w:type="pct"/>
            <w:vAlign w:val="center"/>
            <w:hideMark/>
          </w:tcPr>
          <w:p w14:paraId="173052A0" w14:textId="77777777" w:rsidR="00000000" w:rsidRDefault="000A3118">
            <w:pPr>
              <w:rPr>
                <w:rFonts w:eastAsia="Times New Roman"/>
                <w:sz w:val="20"/>
                <w:szCs w:val="20"/>
              </w:rPr>
            </w:pPr>
          </w:p>
        </w:tc>
        <w:tc>
          <w:tcPr>
            <w:tcW w:w="5" w:type="pct"/>
            <w:vAlign w:val="center"/>
            <w:hideMark/>
          </w:tcPr>
          <w:p w14:paraId="33DE8730" w14:textId="77777777" w:rsidR="00000000" w:rsidRDefault="000A3118">
            <w:pPr>
              <w:rPr>
                <w:rFonts w:eastAsia="Times New Roman"/>
                <w:sz w:val="20"/>
                <w:szCs w:val="20"/>
              </w:rPr>
            </w:pPr>
          </w:p>
        </w:tc>
        <w:tc>
          <w:tcPr>
            <w:tcW w:w="5" w:type="pct"/>
            <w:vAlign w:val="center"/>
            <w:hideMark/>
          </w:tcPr>
          <w:p w14:paraId="7AF505B7" w14:textId="77777777" w:rsidR="00000000" w:rsidRDefault="000A3118">
            <w:pPr>
              <w:rPr>
                <w:rFonts w:eastAsia="Times New Roman"/>
                <w:sz w:val="20"/>
                <w:szCs w:val="20"/>
              </w:rPr>
            </w:pPr>
          </w:p>
        </w:tc>
        <w:tc>
          <w:tcPr>
            <w:tcW w:w="26" w:type="pct"/>
            <w:vAlign w:val="center"/>
            <w:hideMark/>
          </w:tcPr>
          <w:p w14:paraId="24E9300C" w14:textId="77777777" w:rsidR="00000000" w:rsidRDefault="000A3118">
            <w:pPr>
              <w:rPr>
                <w:rFonts w:eastAsia="Times New Roman"/>
                <w:sz w:val="20"/>
                <w:szCs w:val="20"/>
              </w:rPr>
            </w:pPr>
          </w:p>
        </w:tc>
        <w:tc>
          <w:tcPr>
            <w:tcW w:w="5" w:type="pct"/>
            <w:vAlign w:val="center"/>
            <w:hideMark/>
          </w:tcPr>
          <w:p w14:paraId="20E50BDC" w14:textId="77777777" w:rsidR="00000000" w:rsidRDefault="000A3118">
            <w:pPr>
              <w:rPr>
                <w:rFonts w:eastAsia="Times New Roman"/>
                <w:sz w:val="20"/>
                <w:szCs w:val="20"/>
              </w:rPr>
            </w:pPr>
          </w:p>
        </w:tc>
        <w:tc>
          <w:tcPr>
            <w:tcW w:w="50" w:type="pct"/>
            <w:vAlign w:val="center"/>
            <w:hideMark/>
          </w:tcPr>
          <w:p w14:paraId="0E04C60D" w14:textId="77777777" w:rsidR="00000000" w:rsidRDefault="000A3118">
            <w:pPr>
              <w:rPr>
                <w:rFonts w:eastAsia="Times New Roman"/>
                <w:sz w:val="20"/>
                <w:szCs w:val="20"/>
              </w:rPr>
            </w:pPr>
          </w:p>
        </w:tc>
        <w:tc>
          <w:tcPr>
            <w:tcW w:w="529" w:type="pct"/>
            <w:vAlign w:val="center"/>
            <w:hideMark/>
          </w:tcPr>
          <w:p w14:paraId="682E8D01" w14:textId="77777777" w:rsidR="00000000" w:rsidRDefault="000A3118">
            <w:pPr>
              <w:rPr>
                <w:rFonts w:eastAsia="Times New Roman"/>
                <w:sz w:val="20"/>
                <w:szCs w:val="20"/>
              </w:rPr>
            </w:pPr>
          </w:p>
        </w:tc>
        <w:tc>
          <w:tcPr>
            <w:tcW w:w="5" w:type="pct"/>
            <w:vAlign w:val="center"/>
            <w:hideMark/>
          </w:tcPr>
          <w:p w14:paraId="5CE4469D" w14:textId="77777777" w:rsidR="00000000" w:rsidRDefault="000A3118">
            <w:pPr>
              <w:rPr>
                <w:rFonts w:eastAsia="Times New Roman"/>
                <w:sz w:val="20"/>
                <w:szCs w:val="20"/>
              </w:rPr>
            </w:pPr>
          </w:p>
        </w:tc>
        <w:tc>
          <w:tcPr>
            <w:tcW w:w="5" w:type="pct"/>
            <w:vAlign w:val="center"/>
            <w:hideMark/>
          </w:tcPr>
          <w:p w14:paraId="3C75DA6A" w14:textId="77777777" w:rsidR="00000000" w:rsidRDefault="000A3118">
            <w:pPr>
              <w:rPr>
                <w:rFonts w:eastAsia="Times New Roman"/>
                <w:sz w:val="20"/>
                <w:szCs w:val="20"/>
              </w:rPr>
            </w:pPr>
          </w:p>
        </w:tc>
        <w:tc>
          <w:tcPr>
            <w:tcW w:w="26" w:type="pct"/>
            <w:vAlign w:val="center"/>
            <w:hideMark/>
          </w:tcPr>
          <w:p w14:paraId="1048E522" w14:textId="77777777" w:rsidR="00000000" w:rsidRDefault="000A3118">
            <w:pPr>
              <w:rPr>
                <w:rFonts w:eastAsia="Times New Roman"/>
                <w:sz w:val="20"/>
                <w:szCs w:val="20"/>
              </w:rPr>
            </w:pPr>
          </w:p>
        </w:tc>
        <w:tc>
          <w:tcPr>
            <w:tcW w:w="5" w:type="pct"/>
            <w:vAlign w:val="center"/>
            <w:hideMark/>
          </w:tcPr>
          <w:p w14:paraId="578B0DE9" w14:textId="77777777" w:rsidR="00000000" w:rsidRDefault="000A3118">
            <w:pPr>
              <w:rPr>
                <w:rFonts w:eastAsia="Times New Roman"/>
                <w:sz w:val="20"/>
                <w:szCs w:val="20"/>
              </w:rPr>
            </w:pPr>
          </w:p>
        </w:tc>
        <w:tc>
          <w:tcPr>
            <w:tcW w:w="50" w:type="pct"/>
            <w:vAlign w:val="center"/>
            <w:hideMark/>
          </w:tcPr>
          <w:p w14:paraId="0CA18534" w14:textId="77777777" w:rsidR="00000000" w:rsidRDefault="000A3118">
            <w:pPr>
              <w:rPr>
                <w:rFonts w:eastAsia="Times New Roman"/>
                <w:sz w:val="20"/>
                <w:szCs w:val="20"/>
              </w:rPr>
            </w:pPr>
          </w:p>
        </w:tc>
        <w:tc>
          <w:tcPr>
            <w:tcW w:w="530" w:type="pct"/>
            <w:vAlign w:val="center"/>
            <w:hideMark/>
          </w:tcPr>
          <w:p w14:paraId="2B7FE266" w14:textId="77777777" w:rsidR="00000000" w:rsidRDefault="000A3118">
            <w:pPr>
              <w:rPr>
                <w:rFonts w:eastAsia="Times New Roman"/>
                <w:sz w:val="20"/>
                <w:szCs w:val="20"/>
              </w:rPr>
            </w:pPr>
          </w:p>
        </w:tc>
        <w:tc>
          <w:tcPr>
            <w:tcW w:w="5" w:type="pct"/>
            <w:vAlign w:val="center"/>
            <w:hideMark/>
          </w:tcPr>
          <w:p w14:paraId="641D39F8" w14:textId="77777777" w:rsidR="00000000" w:rsidRDefault="000A3118">
            <w:pPr>
              <w:rPr>
                <w:rFonts w:eastAsia="Times New Roman"/>
                <w:sz w:val="20"/>
                <w:szCs w:val="20"/>
              </w:rPr>
            </w:pPr>
          </w:p>
        </w:tc>
      </w:tr>
      <w:tr w:rsidR="00000000" w14:paraId="463D7F31" w14:textId="77777777">
        <w:trPr>
          <w:divId w:val="1877042328"/>
        </w:trPr>
        <w:tc>
          <w:tcPr>
            <w:tcW w:w="0" w:type="auto"/>
            <w:gridSpan w:val="3"/>
            <w:tcMar>
              <w:top w:w="30" w:type="dxa"/>
              <w:left w:w="20" w:type="dxa"/>
              <w:bottom w:w="30" w:type="dxa"/>
              <w:right w:w="20" w:type="dxa"/>
            </w:tcMar>
            <w:vAlign w:val="bottom"/>
            <w:hideMark/>
          </w:tcPr>
          <w:p w14:paraId="21DF4BF1" w14:textId="77777777" w:rsidR="00000000" w:rsidRDefault="000A311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E711C2B" w14:textId="77777777" w:rsidR="00000000" w:rsidRDefault="000A3118">
            <w:pPr>
              <w:rPr>
                <w:rFonts w:eastAsia="Times New Roman"/>
              </w:rPr>
            </w:pPr>
          </w:p>
        </w:tc>
        <w:tc>
          <w:tcPr>
            <w:tcW w:w="0" w:type="auto"/>
            <w:gridSpan w:val="9"/>
            <w:tcMar>
              <w:top w:w="30" w:type="dxa"/>
              <w:left w:w="20" w:type="dxa"/>
              <w:bottom w:w="30" w:type="dxa"/>
              <w:right w:w="20" w:type="dxa"/>
            </w:tcMar>
            <w:vAlign w:val="bottom"/>
            <w:hideMark/>
          </w:tcPr>
          <w:p w14:paraId="24525944" w14:textId="77777777" w:rsidR="00000000" w:rsidRDefault="000A3118">
            <w:pPr>
              <w:jc w:val="center"/>
              <w:rPr>
                <w:rFonts w:eastAsia="Times New Roman"/>
              </w:rPr>
            </w:pPr>
            <w:r>
              <w:rPr>
                <w:rFonts w:eastAsia="Times New Roman"/>
                <w:color w:val="000000"/>
                <w:sz w:val="16"/>
                <w:szCs w:val="16"/>
              </w:rPr>
              <w:t>For the Three Months Ended</w:t>
            </w:r>
          </w:p>
        </w:tc>
        <w:tc>
          <w:tcPr>
            <w:tcW w:w="0" w:type="auto"/>
            <w:gridSpan w:val="3"/>
            <w:tcMar>
              <w:top w:w="0" w:type="dxa"/>
              <w:left w:w="20" w:type="dxa"/>
              <w:bottom w:w="0" w:type="dxa"/>
              <w:right w:w="20" w:type="dxa"/>
            </w:tcMar>
            <w:vAlign w:val="center"/>
            <w:hideMark/>
          </w:tcPr>
          <w:p w14:paraId="06374FA9" w14:textId="77777777" w:rsidR="00000000" w:rsidRDefault="000A3118">
            <w:pPr>
              <w:jc w:val="center"/>
              <w:rPr>
                <w:rFonts w:eastAsia="Times New Roman"/>
              </w:rPr>
            </w:pPr>
          </w:p>
        </w:tc>
        <w:tc>
          <w:tcPr>
            <w:tcW w:w="0" w:type="auto"/>
            <w:gridSpan w:val="9"/>
            <w:tcMar>
              <w:top w:w="30" w:type="dxa"/>
              <w:left w:w="20" w:type="dxa"/>
              <w:bottom w:w="30" w:type="dxa"/>
              <w:right w:w="20" w:type="dxa"/>
            </w:tcMar>
            <w:vAlign w:val="bottom"/>
            <w:hideMark/>
          </w:tcPr>
          <w:p w14:paraId="12F7C497" w14:textId="77777777" w:rsidR="00000000" w:rsidRDefault="000A3118">
            <w:pPr>
              <w:jc w:val="center"/>
              <w:rPr>
                <w:rFonts w:eastAsia="Times New Roman"/>
              </w:rPr>
            </w:pPr>
            <w:r>
              <w:rPr>
                <w:rFonts w:eastAsia="Times New Roman"/>
                <w:color w:val="000000"/>
                <w:sz w:val="16"/>
                <w:szCs w:val="16"/>
              </w:rPr>
              <w:t>For the Nine Months Ended</w:t>
            </w:r>
          </w:p>
        </w:tc>
      </w:tr>
      <w:tr w:rsidR="00000000" w14:paraId="6EDFD5B3" w14:textId="77777777">
        <w:trPr>
          <w:divId w:val="1877042328"/>
        </w:trPr>
        <w:tc>
          <w:tcPr>
            <w:tcW w:w="0" w:type="auto"/>
            <w:gridSpan w:val="3"/>
            <w:tcMar>
              <w:top w:w="30" w:type="dxa"/>
              <w:left w:w="20" w:type="dxa"/>
              <w:bottom w:w="30" w:type="dxa"/>
              <w:right w:w="20" w:type="dxa"/>
            </w:tcMar>
            <w:vAlign w:val="bottom"/>
            <w:hideMark/>
          </w:tcPr>
          <w:p w14:paraId="40454654" w14:textId="77777777" w:rsidR="00000000" w:rsidRDefault="000A311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CA7E1F4" w14:textId="77777777" w:rsidR="00000000" w:rsidRDefault="000A3118">
            <w:pPr>
              <w:rPr>
                <w:rFonts w:eastAsia="Times New Roman"/>
              </w:rPr>
            </w:pPr>
          </w:p>
        </w:tc>
        <w:tc>
          <w:tcPr>
            <w:tcW w:w="0" w:type="auto"/>
            <w:gridSpan w:val="9"/>
            <w:tcMar>
              <w:top w:w="30" w:type="dxa"/>
              <w:left w:w="20" w:type="dxa"/>
              <w:bottom w:w="30" w:type="dxa"/>
              <w:right w:w="20" w:type="dxa"/>
            </w:tcMar>
            <w:vAlign w:val="bottom"/>
            <w:hideMark/>
          </w:tcPr>
          <w:p w14:paraId="0F941487" w14:textId="77777777" w:rsidR="00000000" w:rsidRDefault="000A3118">
            <w:pPr>
              <w:jc w:val="center"/>
              <w:rPr>
                <w:rFonts w:eastAsia="Times New Roman"/>
              </w:rPr>
            </w:pPr>
            <w:r>
              <w:rPr>
                <w:rFonts w:eastAsia="Times New Roman"/>
                <w:color w:val="000000"/>
                <w:sz w:val="16"/>
                <w:szCs w:val="16"/>
              </w:rPr>
              <w:t>September 30,</w:t>
            </w:r>
          </w:p>
        </w:tc>
        <w:tc>
          <w:tcPr>
            <w:tcW w:w="0" w:type="auto"/>
            <w:gridSpan w:val="3"/>
            <w:tcMar>
              <w:top w:w="0" w:type="dxa"/>
              <w:left w:w="20" w:type="dxa"/>
              <w:bottom w:w="0" w:type="dxa"/>
              <w:right w:w="20" w:type="dxa"/>
            </w:tcMar>
            <w:vAlign w:val="center"/>
            <w:hideMark/>
          </w:tcPr>
          <w:p w14:paraId="3EE42C13" w14:textId="77777777" w:rsidR="00000000" w:rsidRDefault="000A3118">
            <w:pPr>
              <w:jc w:val="center"/>
              <w:rPr>
                <w:rFonts w:eastAsia="Times New Roman"/>
              </w:rPr>
            </w:pPr>
          </w:p>
        </w:tc>
        <w:tc>
          <w:tcPr>
            <w:tcW w:w="0" w:type="auto"/>
            <w:gridSpan w:val="9"/>
            <w:tcMar>
              <w:top w:w="30" w:type="dxa"/>
              <w:left w:w="20" w:type="dxa"/>
              <w:bottom w:w="30" w:type="dxa"/>
              <w:right w:w="20" w:type="dxa"/>
            </w:tcMar>
            <w:vAlign w:val="bottom"/>
            <w:hideMark/>
          </w:tcPr>
          <w:p w14:paraId="527BB51C" w14:textId="77777777" w:rsidR="00000000" w:rsidRDefault="000A3118">
            <w:pPr>
              <w:jc w:val="center"/>
              <w:rPr>
                <w:rFonts w:eastAsia="Times New Roman"/>
              </w:rPr>
            </w:pPr>
            <w:r>
              <w:rPr>
                <w:rFonts w:eastAsia="Times New Roman"/>
                <w:color w:val="000000"/>
                <w:sz w:val="16"/>
                <w:szCs w:val="16"/>
              </w:rPr>
              <w:t>September 30,</w:t>
            </w:r>
          </w:p>
        </w:tc>
      </w:tr>
      <w:tr w:rsidR="00000000" w14:paraId="67D58026" w14:textId="77777777">
        <w:trPr>
          <w:divId w:val="1877042328"/>
        </w:trPr>
        <w:tc>
          <w:tcPr>
            <w:tcW w:w="0" w:type="auto"/>
            <w:gridSpan w:val="3"/>
            <w:tcMar>
              <w:top w:w="30" w:type="dxa"/>
              <w:left w:w="20" w:type="dxa"/>
              <w:bottom w:w="30" w:type="dxa"/>
              <w:right w:w="20" w:type="dxa"/>
            </w:tcMar>
            <w:vAlign w:val="bottom"/>
            <w:hideMark/>
          </w:tcPr>
          <w:p w14:paraId="1C162EC3" w14:textId="77777777" w:rsidR="00000000" w:rsidRDefault="000A311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A0CB6B3" w14:textId="77777777" w:rsidR="00000000" w:rsidRDefault="000A311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C9ABEB" w14:textId="77777777" w:rsidR="00000000" w:rsidRDefault="000A3118">
            <w:pPr>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7D54DBB"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13E669" w14:textId="77777777" w:rsidR="00000000" w:rsidRDefault="000A3118">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0F7B1E24"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40164F" w14:textId="77777777" w:rsidR="00000000" w:rsidRDefault="000A3118">
            <w:pPr>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2A49644"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255FB5" w14:textId="77777777" w:rsidR="00000000" w:rsidRDefault="000A3118">
            <w:pPr>
              <w:jc w:val="center"/>
              <w:rPr>
                <w:rFonts w:eastAsia="Times New Roman"/>
              </w:rPr>
            </w:pPr>
            <w:r>
              <w:rPr>
                <w:rFonts w:eastAsia="Times New Roman"/>
                <w:color w:val="000000"/>
                <w:sz w:val="16"/>
                <w:szCs w:val="16"/>
              </w:rPr>
              <w:t>2019</w:t>
            </w:r>
          </w:p>
        </w:tc>
      </w:tr>
      <w:tr w:rsidR="00000000" w14:paraId="295D6F30" w14:textId="77777777">
        <w:trPr>
          <w:divId w:val="18770423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4A22ECA" w14:textId="77777777" w:rsidR="00000000" w:rsidRDefault="000A3118">
            <w:pPr>
              <w:rPr>
                <w:rFonts w:eastAsia="Times New Roman"/>
              </w:rPr>
            </w:pPr>
            <w:r>
              <w:rPr>
                <w:rFonts w:eastAsia="Times New Roman"/>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E9ADF5"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C3812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3E4CEB" w14:textId="77777777" w:rsidR="00000000" w:rsidRDefault="000A3118">
            <w:pPr>
              <w:jc w:val="right"/>
              <w:rPr>
                <w:rFonts w:eastAsia="Times New Roman"/>
              </w:rPr>
            </w:pPr>
            <w:r>
              <w:rPr>
                <w:rFonts w:eastAsia="Times New Roman"/>
                <w:color w:val="000000"/>
                <w:sz w:val="16"/>
                <w:szCs w:val="16"/>
              </w:rPr>
              <w:t>4,482.7 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19C376"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6C7BE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D943E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0DB9C0" w14:textId="77777777" w:rsidR="00000000" w:rsidRDefault="000A3118">
            <w:pPr>
              <w:jc w:val="right"/>
              <w:rPr>
                <w:rFonts w:eastAsia="Times New Roman"/>
              </w:rPr>
            </w:pPr>
            <w:r>
              <w:rPr>
                <w:rFonts w:eastAsia="Times New Roman"/>
                <w:color w:val="000000"/>
                <w:sz w:val="16"/>
                <w:szCs w:val="16"/>
              </w:rPr>
              <w:t>9,322.7 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9BB845"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F8E76A"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D2A56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20165E" w14:textId="77777777" w:rsidR="00000000" w:rsidRDefault="000A3118">
            <w:pPr>
              <w:jc w:val="right"/>
              <w:rPr>
                <w:rFonts w:eastAsia="Times New Roman"/>
              </w:rPr>
            </w:pPr>
            <w:r>
              <w:rPr>
                <w:rFonts w:eastAsia="Times New Roman"/>
                <w:color w:val="000000"/>
                <w:sz w:val="16"/>
                <w:szCs w:val="16"/>
              </w:rPr>
              <w:t>15,656.2 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06E598"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A2E31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EDDDE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673292" w14:textId="77777777" w:rsidR="00000000" w:rsidRDefault="000A3118">
            <w:pPr>
              <w:jc w:val="right"/>
              <w:rPr>
                <w:rFonts w:eastAsia="Times New Roman"/>
              </w:rPr>
            </w:pPr>
            <w:r>
              <w:rPr>
                <w:rFonts w:eastAsia="Times New Roman"/>
                <w:color w:val="000000"/>
                <w:sz w:val="16"/>
                <w:szCs w:val="16"/>
              </w:rPr>
              <w:t>27,460.9 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0BFFB4" w14:textId="77777777" w:rsidR="00000000" w:rsidRDefault="000A3118">
            <w:pPr>
              <w:jc w:val="right"/>
              <w:rPr>
                <w:rFonts w:eastAsia="Times New Roman"/>
              </w:rPr>
            </w:pPr>
          </w:p>
        </w:tc>
      </w:tr>
      <w:tr w:rsidR="00000000" w14:paraId="1F9924D1" w14:textId="77777777">
        <w:trPr>
          <w:divId w:val="1877042328"/>
        </w:trPr>
        <w:tc>
          <w:tcPr>
            <w:tcW w:w="0" w:type="auto"/>
            <w:gridSpan w:val="3"/>
            <w:shd w:val="clear" w:color="auto" w:fill="FFFFFF"/>
            <w:tcMar>
              <w:top w:w="30" w:type="dxa"/>
              <w:left w:w="20" w:type="dxa"/>
              <w:bottom w:w="30" w:type="dxa"/>
              <w:right w:w="20" w:type="dxa"/>
            </w:tcMar>
            <w:vAlign w:val="bottom"/>
            <w:hideMark/>
          </w:tcPr>
          <w:p w14:paraId="007F5344" w14:textId="77777777" w:rsidR="00000000" w:rsidRDefault="000A3118">
            <w:pPr>
              <w:rPr>
                <w:rFonts w:eastAsia="Times New Roman"/>
              </w:rPr>
            </w:pPr>
            <w:r>
              <w:rPr>
                <w:rFonts w:eastAsia="Times New Roman"/>
                <w:color w:val="000000"/>
                <w:sz w:val="16"/>
                <w:szCs w:val="16"/>
              </w:rPr>
              <w:t>Cost of revenue</w:t>
            </w:r>
          </w:p>
        </w:tc>
        <w:tc>
          <w:tcPr>
            <w:tcW w:w="0" w:type="auto"/>
            <w:gridSpan w:val="3"/>
            <w:shd w:val="clear" w:color="auto" w:fill="FFFFFF"/>
            <w:tcMar>
              <w:top w:w="0" w:type="dxa"/>
              <w:left w:w="20" w:type="dxa"/>
              <w:bottom w:w="0" w:type="dxa"/>
              <w:right w:w="20" w:type="dxa"/>
            </w:tcMar>
            <w:vAlign w:val="center"/>
            <w:hideMark/>
          </w:tcPr>
          <w:p w14:paraId="2FAA0E7A"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FA2FB2" w14:textId="77777777" w:rsidR="00000000" w:rsidRDefault="000A3118">
            <w:pPr>
              <w:jc w:val="right"/>
              <w:rPr>
                <w:rFonts w:eastAsia="Times New Roman"/>
              </w:rPr>
            </w:pPr>
            <w:r>
              <w:rPr>
                <w:rFonts w:eastAsia="Times New Roman"/>
                <w:color w:val="000000"/>
                <w:sz w:val="16"/>
                <w:szCs w:val="16"/>
              </w:rPr>
              <w:t>4,268.7 </w:t>
            </w:r>
          </w:p>
        </w:tc>
        <w:tc>
          <w:tcPr>
            <w:tcW w:w="0" w:type="auto"/>
            <w:shd w:val="clear" w:color="auto" w:fill="FFFFFF"/>
            <w:tcMar>
              <w:top w:w="30" w:type="dxa"/>
              <w:left w:w="0" w:type="dxa"/>
              <w:bottom w:w="30" w:type="dxa"/>
              <w:right w:w="20" w:type="dxa"/>
            </w:tcMar>
            <w:vAlign w:val="bottom"/>
            <w:hideMark/>
          </w:tcPr>
          <w:p w14:paraId="7E0488A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C689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4473BF" w14:textId="77777777" w:rsidR="00000000" w:rsidRDefault="000A3118">
            <w:pPr>
              <w:jc w:val="right"/>
              <w:rPr>
                <w:rFonts w:eastAsia="Times New Roman"/>
              </w:rPr>
            </w:pPr>
            <w:r>
              <w:rPr>
                <w:rFonts w:eastAsia="Times New Roman"/>
                <w:color w:val="000000"/>
                <w:sz w:val="16"/>
                <w:szCs w:val="16"/>
              </w:rPr>
              <w:t>9,017.0 </w:t>
            </w:r>
          </w:p>
        </w:tc>
        <w:tc>
          <w:tcPr>
            <w:tcW w:w="0" w:type="auto"/>
            <w:shd w:val="clear" w:color="auto" w:fill="FFFFFF"/>
            <w:tcMar>
              <w:top w:w="30" w:type="dxa"/>
              <w:left w:w="0" w:type="dxa"/>
              <w:bottom w:w="30" w:type="dxa"/>
              <w:right w:w="20" w:type="dxa"/>
            </w:tcMar>
            <w:vAlign w:val="bottom"/>
            <w:hideMark/>
          </w:tcPr>
          <w:p w14:paraId="51191D8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EDE9F"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FF4909"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6A1BEDA" w14:textId="77777777" w:rsidR="00000000" w:rsidRDefault="000A3118">
            <w:pPr>
              <w:jc w:val="right"/>
              <w:rPr>
                <w:rFonts w:eastAsia="Times New Roman"/>
              </w:rPr>
            </w:pPr>
            <w:r>
              <w:rPr>
                <w:rFonts w:eastAsia="Times New Roman"/>
                <w:color w:val="000000"/>
                <w:sz w:val="16"/>
                <w:szCs w:val="16"/>
              </w:rPr>
              <w:t>14,969.6 </w:t>
            </w:r>
          </w:p>
        </w:tc>
        <w:tc>
          <w:tcPr>
            <w:tcW w:w="0" w:type="auto"/>
            <w:shd w:val="clear" w:color="auto" w:fill="FFFFFF"/>
            <w:tcMar>
              <w:top w:w="30" w:type="dxa"/>
              <w:left w:w="0" w:type="dxa"/>
              <w:bottom w:w="30" w:type="dxa"/>
              <w:right w:w="20" w:type="dxa"/>
            </w:tcMar>
            <w:vAlign w:val="bottom"/>
            <w:hideMark/>
          </w:tcPr>
          <w:p w14:paraId="1623903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00104"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13E666"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17A98EA" w14:textId="77777777" w:rsidR="00000000" w:rsidRDefault="000A3118">
            <w:pPr>
              <w:jc w:val="right"/>
              <w:rPr>
                <w:rFonts w:eastAsia="Times New Roman"/>
              </w:rPr>
            </w:pPr>
            <w:r>
              <w:rPr>
                <w:rFonts w:eastAsia="Times New Roman"/>
                <w:color w:val="000000"/>
                <w:sz w:val="16"/>
                <w:szCs w:val="16"/>
              </w:rPr>
              <w:t>26,635.6 </w:t>
            </w:r>
          </w:p>
        </w:tc>
        <w:tc>
          <w:tcPr>
            <w:tcW w:w="0" w:type="auto"/>
            <w:shd w:val="clear" w:color="auto" w:fill="FFFFFF"/>
            <w:tcMar>
              <w:top w:w="30" w:type="dxa"/>
              <w:left w:w="0" w:type="dxa"/>
              <w:bottom w:w="30" w:type="dxa"/>
              <w:right w:w="20" w:type="dxa"/>
            </w:tcMar>
            <w:vAlign w:val="bottom"/>
            <w:hideMark/>
          </w:tcPr>
          <w:p w14:paraId="07493C40" w14:textId="77777777" w:rsidR="00000000" w:rsidRDefault="000A3118">
            <w:pPr>
              <w:jc w:val="right"/>
              <w:rPr>
                <w:rFonts w:eastAsia="Times New Roman"/>
              </w:rPr>
            </w:pPr>
          </w:p>
        </w:tc>
      </w:tr>
      <w:tr w:rsidR="00000000" w14:paraId="44E930AF" w14:textId="77777777">
        <w:trPr>
          <w:divId w:val="1877042328"/>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14:paraId="512616EE" w14:textId="77777777" w:rsidR="00000000" w:rsidRDefault="000A3118">
            <w:pPr>
              <w:rPr>
                <w:rFonts w:eastAsia="Times New Roman"/>
              </w:rPr>
            </w:pPr>
            <w:r>
              <w:rPr>
                <w:rFonts w:eastAsia="Times New Roman"/>
                <w:color w:val="000000"/>
                <w:sz w:val="16"/>
                <w:szCs w:val="16"/>
              </w:rPr>
              <w:t>Gross profit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4A7A5C"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44E35A" w14:textId="77777777" w:rsidR="00000000" w:rsidRDefault="000A3118">
            <w:pPr>
              <w:jc w:val="right"/>
              <w:rPr>
                <w:rFonts w:eastAsia="Times New Roman"/>
              </w:rPr>
            </w:pPr>
            <w:r>
              <w:rPr>
                <w:rFonts w:eastAsia="Times New Roman"/>
                <w:color w:val="000000"/>
                <w:sz w:val="16"/>
                <w:szCs w:val="16"/>
              </w:rPr>
              <w:t>214.0 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D2DBED"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4BB9AF"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1F5D52" w14:textId="77777777" w:rsidR="00000000" w:rsidRDefault="000A3118">
            <w:pPr>
              <w:jc w:val="right"/>
              <w:rPr>
                <w:rFonts w:eastAsia="Times New Roman"/>
              </w:rPr>
            </w:pPr>
            <w:r>
              <w:rPr>
                <w:rFonts w:eastAsia="Times New Roman"/>
                <w:color w:val="000000"/>
                <w:sz w:val="16"/>
                <w:szCs w:val="16"/>
              </w:rPr>
              <w:t>305.7 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4BD819"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AE1198"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E5DE3E" w14:textId="77777777" w:rsidR="00000000" w:rsidRDefault="000A3118">
            <w:pPr>
              <w:jc w:val="right"/>
              <w:rPr>
                <w:rFonts w:eastAsia="Times New Roman"/>
              </w:rPr>
            </w:pPr>
            <w:r>
              <w:rPr>
                <w:rFonts w:eastAsia="Times New Roman"/>
                <w:color w:val="000000"/>
                <w:sz w:val="16"/>
                <w:szCs w:val="16"/>
              </w:rPr>
              <w:t>686.6 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8BCB3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FEC208"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66A5B1" w14:textId="77777777" w:rsidR="00000000" w:rsidRDefault="000A3118">
            <w:pPr>
              <w:jc w:val="right"/>
              <w:rPr>
                <w:rFonts w:eastAsia="Times New Roman"/>
              </w:rPr>
            </w:pPr>
            <w:r>
              <w:rPr>
                <w:rFonts w:eastAsia="Times New Roman"/>
                <w:color w:val="000000"/>
                <w:sz w:val="16"/>
                <w:szCs w:val="16"/>
              </w:rPr>
              <w:t>825.3 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EF49A6" w14:textId="77777777" w:rsidR="00000000" w:rsidRDefault="000A3118">
            <w:pPr>
              <w:jc w:val="right"/>
              <w:rPr>
                <w:rFonts w:eastAsia="Times New Roman"/>
              </w:rPr>
            </w:pPr>
          </w:p>
        </w:tc>
      </w:tr>
      <w:tr w:rsidR="00000000" w14:paraId="6A8035D3" w14:textId="77777777">
        <w:trPr>
          <w:divId w:val="187704232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0FD7913" w14:textId="77777777" w:rsidR="00000000" w:rsidRDefault="000A3118">
            <w:pPr>
              <w:rPr>
                <w:rFonts w:eastAsia="Times New Roman"/>
              </w:rPr>
            </w:pPr>
            <w:r>
              <w:rPr>
                <w:rFonts w:eastAsia="Times New Roman"/>
                <w:color w:val="000000"/>
                <w:sz w:val="16"/>
                <w:szCs w:val="16"/>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1A9D07" w14:textId="77777777" w:rsidR="00000000" w:rsidRDefault="000A3118">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306E831" w14:textId="77777777" w:rsidR="00000000" w:rsidRDefault="000A3118">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0660B1"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EB82551" w14:textId="77777777" w:rsidR="00000000" w:rsidRDefault="000A3118">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7C650C"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43D6848" w14:textId="77777777" w:rsidR="00000000" w:rsidRDefault="000A3118">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D673B7"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821F9FE" w14:textId="77777777" w:rsidR="00000000" w:rsidRDefault="000A3118">
            <w:pPr>
              <w:jc w:val="right"/>
              <w:rPr>
                <w:rFonts w:eastAsia="Times New Roman"/>
              </w:rPr>
            </w:pPr>
            <w:r>
              <w:rPr>
                <w:rFonts w:eastAsia="Times New Roman"/>
                <w:color w:val="000000"/>
                <w:sz w:val="16"/>
                <w:szCs w:val="16"/>
              </w:rPr>
              <w:t> </w:t>
            </w:r>
          </w:p>
        </w:tc>
      </w:tr>
      <w:tr w:rsidR="00000000" w14:paraId="0EF23D2E" w14:textId="77777777">
        <w:trPr>
          <w:divId w:val="1877042328"/>
        </w:trPr>
        <w:tc>
          <w:tcPr>
            <w:tcW w:w="0" w:type="auto"/>
            <w:gridSpan w:val="3"/>
            <w:shd w:val="clear" w:color="auto" w:fill="CCEEFF"/>
            <w:tcMar>
              <w:top w:w="30" w:type="dxa"/>
              <w:left w:w="135" w:type="dxa"/>
              <w:bottom w:w="30" w:type="dxa"/>
              <w:right w:w="20" w:type="dxa"/>
            </w:tcMar>
            <w:vAlign w:val="bottom"/>
            <w:hideMark/>
          </w:tcPr>
          <w:p w14:paraId="539DD477" w14:textId="77777777" w:rsidR="00000000" w:rsidRDefault="000A3118">
            <w:pPr>
              <w:rPr>
                <w:rFonts w:eastAsia="Times New Roman"/>
              </w:rPr>
            </w:pPr>
            <w:r>
              <w:rPr>
                <w:rFonts w:eastAsia="Times New Roman"/>
                <w:color w:val="000000"/>
                <w:sz w:val="16"/>
                <w:szCs w:val="16"/>
              </w:rPr>
              <w:t>Compensation and employee benefits</w:t>
            </w:r>
          </w:p>
        </w:tc>
        <w:tc>
          <w:tcPr>
            <w:tcW w:w="0" w:type="auto"/>
            <w:gridSpan w:val="3"/>
            <w:shd w:val="clear" w:color="auto" w:fill="CCEEFF"/>
            <w:tcMar>
              <w:top w:w="0" w:type="dxa"/>
              <w:left w:w="20" w:type="dxa"/>
              <w:bottom w:w="0" w:type="dxa"/>
              <w:right w:w="20" w:type="dxa"/>
            </w:tcMar>
            <w:vAlign w:val="center"/>
            <w:hideMark/>
          </w:tcPr>
          <w:p w14:paraId="68ECB9E3"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A41F71" w14:textId="77777777" w:rsidR="00000000" w:rsidRDefault="000A3118">
            <w:pPr>
              <w:jc w:val="right"/>
              <w:rPr>
                <w:rFonts w:eastAsia="Times New Roman"/>
              </w:rPr>
            </w:pPr>
            <w:r>
              <w:rPr>
                <w:rFonts w:eastAsia="Times New Roman"/>
                <w:color w:val="000000"/>
                <w:sz w:val="16"/>
                <w:szCs w:val="16"/>
              </w:rPr>
              <w:t>91.4 </w:t>
            </w:r>
          </w:p>
        </w:tc>
        <w:tc>
          <w:tcPr>
            <w:tcW w:w="0" w:type="auto"/>
            <w:shd w:val="clear" w:color="auto" w:fill="CCEEFF"/>
            <w:tcMar>
              <w:top w:w="30" w:type="dxa"/>
              <w:left w:w="0" w:type="dxa"/>
              <w:bottom w:w="30" w:type="dxa"/>
              <w:right w:w="20" w:type="dxa"/>
            </w:tcMar>
            <w:vAlign w:val="bottom"/>
            <w:hideMark/>
          </w:tcPr>
          <w:p w14:paraId="1F57140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A94D6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0B4CF8" w14:textId="77777777" w:rsidR="00000000" w:rsidRDefault="000A3118">
            <w:pPr>
              <w:jc w:val="right"/>
              <w:rPr>
                <w:rFonts w:eastAsia="Times New Roman"/>
              </w:rPr>
            </w:pPr>
            <w:r>
              <w:rPr>
                <w:rFonts w:eastAsia="Times New Roman"/>
                <w:color w:val="000000"/>
                <w:sz w:val="16"/>
                <w:szCs w:val="16"/>
              </w:rPr>
              <w:t>126.7 </w:t>
            </w:r>
          </w:p>
        </w:tc>
        <w:tc>
          <w:tcPr>
            <w:tcW w:w="0" w:type="auto"/>
            <w:shd w:val="clear" w:color="auto" w:fill="CCEEFF"/>
            <w:tcMar>
              <w:top w:w="30" w:type="dxa"/>
              <w:left w:w="0" w:type="dxa"/>
              <w:bottom w:w="30" w:type="dxa"/>
              <w:right w:w="20" w:type="dxa"/>
            </w:tcMar>
            <w:vAlign w:val="bottom"/>
            <w:hideMark/>
          </w:tcPr>
          <w:p w14:paraId="5894BD2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9732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32C3C2" w14:textId="77777777" w:rsidR="00000000" w:rsidRDefault="000A3118">
            <w:pPr>
              <w:jc w:val="right"/>
              <w:rPr>
                <w:rFonts w:eastAsia="Times New Roman"/>
              </w:rPr>
            </w:pPr>
            <w:r>
              <w:rPr>
                <w:rFonts w:eastAsia="Times New Roman"/>
                <w:color w:val="000000"/>
                <w:sz w:val="16"/>
                <w:szCs w:val="16"/>
              </w:rPr>
              <w:t>289.8 </w:t>
            </w:r>
          </w:p>
        </w:tc>
        <w:tc>
          <w:tcPr>
            <w:tcW w:w="0" w:type="auto"/>
            <w:shd w:val="clear" w:color="auto" w:fill="CCEEFF"/>
            <w:tcMar>
              <w:top w:w="30" w:type="dxa"/>
              <w:left w:w="0" w:type="dxa"/>
              <w:bottom w:w="30" w:type="dxa"/>
              <w:right w:w="20" w:type="dxa"/>
            </w:tcMar>
            <w:vAlign w:val="bottom"/>
            <w:hideMark/>
          </w:tcPr>
          <w:p w14:paraId="288CAC3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873E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444E26" w14:textId="77777777" w:rsidR="00000000" w:rsidRDefault="000A3118">
            <w:pPr>
              <w:jc w:val="right"/>
              <w:rPr>
                <w:rFonts w:eastAsia="Times New Roman"/>
              </w:rPr>
            </w:pPr>
            <w:r>
              <w:rPr>
                <w:rFonts w:eastAsia="Times New Roman"/>
                <w:color w:val="000000"/>
                <w:sz w:val="16"/>
                <w:szCs w:val="16"/>
              </w:rPr>
              <w:t>347.0 </w:t>
            </w:r>
          </w:p>
        </w:tc>
        <w:tc>
          <w:tcPr>
            <w:tcW w:w="0" w:type="auto"/>
            <w:shd w:val="clear" w:color="auto" w:fill="CCEEFF"/>
            <w:tcMar>
              <w:top w:w="30" w:type="dxa"/>
              <w:left w:w="0" w:type="dxa"/>
              <w:bottom w:w="30" w:type="dxa"/>
              <w:right w:w="20" w:type="dxa"/>
            </w:tcMar>
            <w:vAlign w:val="bottom"/>
            <w:hideMark/>
          </w:tcPr>
          <w:p w14:paraId="6976D5BA" w14:textId="77777777" w:rsidR="00000000" w:rsidRDefault="000A3118">
            <w:pPr>
              <w:jc w:val="right"/>
              <w:rPr>
                <w:rFonts w:eastAsia="Times New Roman"/>
              </w:rPr>
            </w:pPr>
          </w:p>
        </w:tc>
      </w:tr>
      <w:tr w:rsidR="00000000" w14:paraId="04D4E37D" w14:textId="77777777">
        <w:trPr>
          <w:divId w:val="1877042328"/>
        </w:trPr>
        <w:tc>
          <w:tcPr>
            <w:tcW w:w="0" w:type="auto"/>
            <w:gridSpan w:val="3"/>
            <w:shd w:val="clear" w:color="auto" w:fill="FFFFFF"/>
            <w:tcMar>
              <w:top w:w="30" w:type="dxa"/>
              <w:left w:w="135" w:type="dxa"/>
              <w:bottom w:w="30" w:type="dxa"/>
              <w:right w:w="20" w:type="dxa"/>
            </w:tcMar>
            <w:vAlign w:val="bottom"/>
            <w:hideMark/>
          </w:tcPr>
          <w:p w14:paraId="7E21C3CE" w14:textId="77777777" w:rsidR="00000000" w:rsidRDefault="000A3118">
            <w:pPr>
              <w:rPr>
                <w:rFonts w:eastAsia="Times New Roman"/>
              </w:rPr>
            </w:pPr>
            <w:r>
              <w:rPr>
                <w:rFonts w:eastAsia="Times New Roman"/>
                <w:color w:val="000000"/>
                <w:sz w:val="16"/>
                <w:szCs w:val="16"/>
              </w:rPr>
              <w:t>General and administrative</w:t>
            </w:r>
          </w:p>
        </w:tc>
        <w:tc>
          <w:tcPr>
            <w:tcW w:w="0" w:type="auto"/>
            <w:gridSpan w:val="3"/>
            <w:shd w:val="clear" w:color="auto" w:fill="FFFFFF"/>
            <w:tcMar>
              <w:top w:w="0" w:type="dxa"/>
              <w:left w:w="20" w:type="dxa"/>
              <w:bottom w:w="0" w:type="dxa"/>
              <w:right w:w="20" w:type="dxa"/>
            </w:tcMar>
            <w:vAlign w:val="center"/>
            <w:hideMark/>
          </w:tcPr>
          <w:p w14:paraId="7061BB95"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6625CF" w14:textId="77777777" w:rsidR="00000000" w:rsidRDefault="000A3118">
            <w:pPr>
              <w:jc w:val="right"/>
              <w:rPr>
                <w:rFonts w:eastAsia="Times New Roman"/>
              </w:rPr>
            </w:pPr>
            <w:r>
              <w:rPr>
                <w:rFonts w:eastAsia="Times New Roman"/>
                <w:color w:val="000000"/>
                <w:sz w:val="16"/>
                <w:szCs w:val="16"/>
              </w:rPr>
              <w:t>80.9 </w:t>
            </w:r>
          </w:p>
        </w:tc>
        <w:tc>
          <w:tcPr>
            <w:tcW w:w="0" w:type="auto"/>
            <w:shd w:val="clear" w:color="auto" w:fill="FFFFFF"/>
            <w:tcMar>
              <w:top w:w="30" w:type="dxa"/>
              <w:left w:w="0" w:type="dxa"/>
              <w:bottom w:w="30" w:type="dxa"/>
              <w:right w:w="20" w:type="dxa"/>
            </w:tcMar>
            <w:vAlign w:val="bottom"/>
            <w:hideMark/>
          </w:tcPr>
          <w:p w14:paraId="19C5589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412A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ABCE22" w14:textId="77777777" w:rsidR="00000000" w:rsidRDefault="000A3118">
            <w:pPr>
              <w:jc w:val="right"/>
              <w:rPr>
                <w:rFonts w:eastAsia="Times New Roman"/>
              </w:rPr>
            </w:pPr>
            <w:r>
              <w:rPr>
                <w:rFonts w:eastAsia="Times New Roman"/>
                <w:color w:val="000000"/>
                <w:sz w:val="16"/>
                <w:szCs w:val="16"/>
              </w:rPr>
              <w:t>82.8 </w:t>
            </w:r>
          </w:p>
        </w:tc>
        <w:tc>
          <w:tcPr>
            <w:tcW w:w="0" w:type="auto"/>
            <w:shd w:val="clear" w:color="auto" w:fill="FFFFFF"/>
            <w:tcMar>
              <w:top w:w="30" w:type="dxa"/>
              <w:left w:w="0" w:type="dxa"/>
              <w:bottom w:w="30" w:type="dxa"/>
              <w:right w:w="20" w:type="dxa"/>
            </w:tcMar>
            <w:vAlign w:val="bottom"/>
            <w:hideMark/>
          </w:tcPr>
          <w:p w14:paraId="540FBCC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AE52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C508F7" w14:textId="77777777" w:rsidR="00000000" w:rsidRDefault="000A3118">
            <w:pPr>
              <w:jc w:val="right"/>
              <w:rPr>
                <w:rFonts w:eastAsia="Times New Roman"/>
              </w:rPr>
            </w:pPr>
            <w:r>
              <w:rPr>
                <w:rFonts w:eastAsia="Times New Roman"/>
                <w:color w:val="000000"/>
                <w:sz w:val="16"/>
                <w:szCs w:val="16"/>
              </w:rPr>
              <w:t>249.1 </w:t>
            </w:r>
          </w:p>
        </w:tc>
        <w:tc>
          <w:tcPr>
            <w:tcW w:w="0" w:type="auto"/>
            <w:shd w:val="clear" w:color="auto" w:fill="FFFFFF"/>
            <w:tcMar>
              <w:top w:w="30" w:type="dxa"/>
              <w:left w:w="0" w:type="dxa"/>
              <w:bottom w:w="30" w:type="dxa"/>
              <w:right w:w="20" w:type="dxa"/>
            </w:tcMar>
            <w:vAlign w:val="bottom"/>
            <w:hideMark/>
          </w:tcPr>
          <w:p w14:paraId="25F5CDD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5757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D8F67B" w14:textId="77777777" w:rsidR="00000000" w:rsidRDefault="000A3118">
            <w:pPr>
              <w:jc w:val="right"/>
              <w:rPr>
                <w:rFonts w:eastAsia="Times New Roman"/>
              </w:rPr>
            </w:pPr>
            <w:r>
              <w:rPr>
                <w:rFonts w:eastAsia="Times New Roman"/>
                <w:color w:val="000000"/>
                <w:sz w:val="16"/>
                <w:szCs w:val="16"/>
              </w:rPr>
              <w:t>232.9 </w:t>
            </w:r>
          </w:p>
        </w:tc>
        <w:tc>
          <w:tcPr>
            <w:tcW w:w="0" w:type="auto"/>
            <w:shd w:val="clear" w:color="auto" w:fill="FFFFFF"/>
            <w:tcMar>
              <w:top w:w="30" w:type="dxa"/>
              <w:left w:w="0" w:type="dxa"/>
              <w:bottom w:w="30" w:type="dxa"/>
              <w:right w:w="20" w:type="dxa"/>
            </w:tcMar>
            <w:vAlign w:val="bottom"/>
            <w:hideMark/>
          </w:tcPr>
          <w:p w14:paraId="30749DC2" w14:textId="77777777" w:rsidR="00000000" w:rsidRDefault="000A3118">
            <w:pPr>
              <w:jc w:val="right"/>
              <w:rPr>
                <w:rFonts w:eastAsia="Times New Roman"/>
              </w:rPr>
            </w:pPr>
          </w:p>
        </w:tc>
      </w:tr>
      <w:tr w:rsidR="00000000" w14:paraId="693B98E0" w14:textId="77777777">
        <w:trPr>
          <w:divId w:val="1877042328"/>
        </w:trPr>
        <w:tc>
          <w:tcPr>
            <w:tcW w:w="0" w:type="auto"/>
            <w:gridSpan w:val="3"/>
            <w:shd w:val="clear" w:color="auto" w:fill="CCEEFF"/>
            <w:tcMar>
              <w:top w:w="30" w:type="dxa"/>
              <w:left w:w="135" w:type="dxa"/>
              <w:bottom w:w="30" w:type="dxa"/>
              <w:right w:w="20" w:type="dxa"/>
            </w:tcMar>
            <w:vAlign w:val="bottom"/>
            <w:hideMark/>
          </w:tcPr>
          <w:p w14:paraId="7627D4E0" w14:textId="77777777" w:rsidR="00000000" w:rsidRDefault="000A3118">
            <w:pPr>
              <w:rPr>
                <w:rFonts w:eastAsia="Times New Roman"/>
              </w:rPr>
            </w:pPr>
            <w:r>
              <w:rPr>
                <w:rFonts w:eastAsia="Times New Roman"/>
                <w:color w:val="000000"/>
                <w:sz w:val="16"/>
                <w:szCs w:val="16"/>
              </w:rPr>
              <w:t>Asset impairments</w:t>
            </w:r>
          </w:p>
        </w:tc>
        <w:tc>
          <w:tcPr>
            <w:tcW w:w="0" w:type="auto"/>
            <w:gridSpan w:val="3"/>
            <w:shd w:val="clear" w:color="auto" w:fill="CCEEFF"/>
            <w:tcMar>
              <w:top w:w="0" w:type="dxa"/>
              <w:left w:w="20" w:type="dxa"/>
              <w:bottom w:w="0" w:type="dxa"/>
              <w:right w:w="20" w:type="dxa"/>
            </w:tcMar>
            <w:vAlign w:val="center"/>
            <w:hideMark/>
          </w:tcPr>
          <w:p w14:paraId="711E847E"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CDBE0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1FED2F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FA30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4DE27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9F6C6E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3A530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911B93" w14:textId="77777777" w:rsidR="00000000" w:rsidRDefault="000A3118">
            <w:pPr>
              <w:jc w:val="right"/>
              <w:rPr>
                <w:rFonts w:eastAsia="Times New Roman"/>
              </w:rPr>
            </w:pPr>
            <w:r>
              <w:rPr>
                <w:rFonts w:eastAsia="Times New Roman"/>
                <w:color w:val="000000"/>
                <w:sz w:val="16"/>
                <w:szCs w:val="16"/>
              </w:rPr>
              <w:t>18.6 </w:t>
            </w:r>
          </w:p>
        </w:tc>
        <w:tc>
          <w:tcPr>
            <w:tcW w:w="0" w:type="auto"/>
            <w:shd w:val="clear" w:color="auto" w:fill="CCEEFF"/>
            <w:tcMar>
              <w:top w:w="30" w:type="dxa"/>
              <w:left w:w="0" w:type="dxa"/>
              <w:bottom w:w="30" w:type="dxa"/>
              <w:right w:w="20" w:type="dxa"/>
            </w:tcMar>
            <w:vAlign w:val="bottom"/>
            <w:hideMark/>
          </w:tcPr>
          <w:p w14:paraId="54DBA80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8DA6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70339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077A681" w14:textId="77777777" w:rsidR="00000000" w:rsidRDefault="000A3118">
            <w:pPr>
              <w:jc w:val="right"/>
              <w:rPr>
                <w:rFonts w:eastAsia="Times New Roman"/>
              </w:rPr>
            </w:pPr>
          </w:p>
        </w:tc>
      </w:tr>
      <w:tr w:rsidR="00000000" w14:paraId="1074D305" w14:textId="77777777">
        <w:trPr>
          <w:divId w:val="1877042328"/>
        </w:trPr>
        <w:tc>
          <w:tcPr>
            <w:tcW w:w="0" w:type="auto"/>
            <w:gridSpan w:val="3"/>
            <w:shd w:val="clear" w:color="auto" w:fill="FFFFFF"/>
            <w:tcMar>
              <w:top w:w="30" w:type="dxa"/>
              <w:left w:w="135" w:type="dxa"/>
              <w:bottom w:w="30" w:type="dxa"/>
              <w:right w:w="20" w:type="dxa"/>
            </w:tcMar>
            <w:vAlign w:val="bottom"/>
            <w:hideMark/>
          </w:tcPr>
          <w:p w14:paraId="2E64A670" w14:textId="77777777" w:rsidR="00000000" w:rsidRDefault="000A3118">
            <w:pPr>
              <w:rPr>
                <w:rFonts w:eastAsia="Times New Roman"/>
              </w:rPr>
            </w:pPr>
            <w:r>
              <w:rPr>
                <w:rFonts w:eastAsia="Times New Roman"/>
                <w:color w:val="000000"/>
                <w:sz w:val="16"/>
                <w:szCs w:val="16"/>
              </w:rPr>
              <w:t>Restructuring charges</w:t>
            </w:r>
          </w:p>
        </w:tc>
        <w:tc>
          <w:tcPr>
            <w:tcW w:w="0" w:type="auto"/>
            <w:gridSpan w:val="3"/>
            <w:shd w:val="clear" w:color="auto" w:fill="FFFFFF"/>
            <w:tcMar>
              <w:top w:w="0" w:type="dxa"/>
              <w:left w:w="20" w:type="dxa"/>
              <w:bottom w:w="0" w:type="dxa"/>
              <w:right w:w="20" w:type="dxa"/>
            </w:tcMar>
            <w:vAlign w:val="center"/>
            <w:hideMark/>
          </w:tcPr>
          <w:p w14:paraId="6651E117"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35175A" w14:textId="77777777" w:rsidR="00000000" w:rsidRDefault="000A3118">
            <w:pPr>
              <w:jc w:val="right"/>
              <w:rPr>
                <w:rFonts w:eastAsia="Times New Roman"/>
              </w:rPr>
            </w:pPr>
            <w:r>
              <w:rPr>
                <w:rFonts w:eastAsia="Times New Roman"/>
                <w:color w:val="000000"/>
                <w:sz w:val="16"/>
                <w:szCs w:val="16"/>
              </w:rPr>
              <w:t>2.9 </w:t>
            </w:r>
          </w:p>
        </w:tc>
        <w:tc>
          <w:tcPr>
            <w:tcW w:w="0" w:type="auto"/>
            <w:shd w:val="clear" w:color="auto" w:fill="FFFFFF"/>
            <w:tcMar>
              <w:top w:w="30" w:type="dxa"/>
              <w:left w:w="0" w:type="dxa"/>
              <w:bottom w:w="30" w:type="dxa"/>
              <w:right w:w="20" w:type="dxa"/>
            </w:tcMar>
            <w:vAlign w:val="bottom"/>
            <w:hideMark/>
          </w:tcPr>
          <w:p w14:paraId="05CDDC6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CDC8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F58FC5" w14:textId="77777777" w:rsidR="00000000" w:rsidRDefault="000A3118">
            <w:pPr>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14:paraId="3299592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DE5D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6642B1" w14:textId="77777777" w:rsidR="00000000" w:rsidRDefault="000A3118">
            <w:pPr>
              <w:jc w:val="right"/>
              <w:rPr>
                <w:rFonts w:eastAsia="Times New Roman"/>
              </w:rPr>
            </w:pPr>
            <w:r>
              <w:rPr>
                <w:rFonts w:eastAsia="Times New Roman"/>
                <w:color w:val="000000"/>
                <w:sz w:val="16"/>
                <w:szCs w:val="16"/>
              </w:rPr>
              <w:t>7.7 </w:t>
            </w:r>
          </w:p>
        </w:tc>
        <w:tc>
          <w:tcPr>
            <w:tcW w:w="0" w:type="auto"/>
            <w:shd w:val="clear" w:color="auto" w:fill="FFFFFF"/>
            <w:tcMar>
              <w:top w:w="30" w:type="dxa"/>
              <w:left w:w="0" w:type="dxa"/>
              <w:bottom w:w="30" w:type="dxa"/>
              <w:right w:w="20" w:type="dxa"/>
            </w:tcMar>
            <w:vAlign w:val="bottom"/>
            <w:hideMark/>
          </w:tcPr>
          <w:p w14:paraId="101949E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424D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7524DE" w14:textId="77777777" w:rsidR="00000000" w:rsidRDefault="000A3118">
            <w:pPr>
              <w:jc w:val="right"/>
              <w:rPr>
                <w:rFonts w:eastAsia="Times New Roman"/>
              </w:rPr>
            </w:pPr>
            <w:r>
              <w:rPr>
                <w:rFonts w:eastAsia="Times New Roman"/>
                <w:color w:val="000000"/>
                <w:sz w:val="16"/>
                <w:szCs w:val="16"/>
              </w:rPr>
              <w:t>6.3 </w:t>
            </w:r>
          </w:p>
        </w:tc>
        <w:tc>
          <w:tcPr>
            <w:tcW w:w="0" w:type="auto"/>
            <w:shd w:val="clear" w:color="auto" w:fill="FFFFFF"/>
            <w:tcMar>
              <w:top w:w="30" w:type="dxa"/>
              <w:left w:w="0" w:type="dxa"/>
              <w:bottom w:w="30" w:type="dxa"/>
              <w:right w:w="20" w:type="dxa"/>
            </w:tcMar>
            <w:vAlign w:val="bottom"/>
            <w:hideMark/>
          </w:tcPr>
          <w:p w14:paraId="2514224E" w14:textId="77777777" w:rsidR="00000000" w:rsidRDefault="000A3118">
            <w:pPr>
              <w:jc w:val="right"/>
              <w:rPr>
                <w:rFonts w:eastAsia="Times New Roman"/>
              </w:rPr>
            </w:pPr>
          </w:p>
        </w:tc>
      </w:tr>
      <w:tr w:rsidR="00000000" w14:paraId="55F41BAD" w14:textId="77777777">
        <w:trPr>
          <w:divId w:val="1877042328"/>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D021A2"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A7343F" w14:textId="77777777" w:rsidR="00000000" w:rsidRDefault="000A3118">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8C1A0C" w14:textId="77777777" w:rsidR="00000000" w:rsidRDefault="000A3118">
            <w:pPr>
              <w:jc w:val="right"/>
              <w:rPr>
                <w:rFonts w:eastAsia="Times New Roman"/>
              </w:rPr>
            </w:pPr>
            <w:r>
              <w:rPr>
                <w:rFonts w:eastAsia="Times New Roman"/>
                <w:color w:val="000000"/>
                <w:sz w:val="16"/>
                <w:szCs w:val="16"/>
              </w:rPr>
              <w:t>175.2 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D00AEF"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406517"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72FD59" w14:textId="77777777" w:rsidR="00000000" w:rsidRDefault="000A3118">
            <w:pPr>
              <w:jc w:val="right"/>
              <w:rPr>
                <w:rFonts w:eastAsia="Times New Roman"/>
              </w:rPr>
            </w:pPr>
            <w:r>
              <w:rPr>
                <w:rFonts w:eastAsia="Times New Roman"/>
                <w:color w:val="000000"/>
                <w:sz w:val="16"/>
                <w:szCs w:val="16"/>
              </w:rPr>
              <w:t>212.0 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6DF893"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E616EA"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09DE10" w14:textId="77777777" w:rsidR="00000000" w:rsidRDefault="000A3118">
            <w:pPr>
              <w:jc w:val="right"/>
              <w:rPr>
                <w:rFonts w:eastAsia="Times New Roman"/>
              </w:rPr>
            </w:pPr>
            <w:r>
              <w:rPr>
                <w:rFonts w:eastAsia="Times New Roman"/>
                <w:color w:val="000000"/>
                <w:sz w:val="16"/>
                <w:szCs w:val="16"/>
              </w:rPr>
              <w:t>565.1 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98B121"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D003FF"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3649A4" w14:textId="77777777" w:rsidR="00000000" w:rsidRDefault="000A3118">
            <w:pPr>
              <w:jc w:val="right"/>
              <w:rPr>
                <w:rFonts w:eastAsia="Times New Roman"/>
              </w:rPr>
            </w:pPr>
            <w:r>
              <w:rPr>
                <w:rFonts w:eastAsia="Times New Roman"/>
                <w:color w:val="000000"/>
                <w:sz w:val="16"/>
                <w:szCs w:val="16"/>
              </w:rPr>
              <w:t>586.2 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B40A18" w14:textId="77777777" w:rsidR="00000000" w:rsidRDefault="000A3118">
            <w:pPr>
              <w:jc w:val="right"/>
              <w:rPr>
                <w:rFonts w:eastAsia="Times New Roman"/>
              </w:rPr>
            </w:pPr>
          </w:p>
        </w:tc>
      </w:tr>
      <w:tr w:rsidR="00000000" w14:paraId="380F2C65" w14:textId="77777777">
        <w:trPr>
          <w:divId w:val="1877042328"/>
        </w:trPr>
        <w:tc>
          <w:tcPr>
            <w:tcW w:w="0" w:type="auto"/>
            <w:gridSpan w:val="3"/>
            <w:tcBorders>
              <w:top w:val="single" w:sz="8" w:space="0" w:color="000000"/>
            </w:tcBorders>
            <w:shd w:val="clear" w:color="auto" w:fill="FFFFFF"/>
            <w:tcMar>
              <w:top w:w="30" w:type="dxa"/>
              <w:left w:w="225" w:type="dxa"/>
              <w:bottom w:w="30" w:type="dxa"/>
              <w:right w:w="20" w:type="dxa"/>
            </w:tcMar>
            <w:vAlign w:val="bottom"/>
            <w:hideMark/>
          </w:tcPr>
          <w:p w14:paraId="10D69757" w14:textId="77777777" w:rsidR="00000000" w:rsidRDefault="000A3118">
            <w:pPr>
              <w:rPr>
                <w:rFonts w:eastAsia="Times New Roman"/>
              </w:rPr>
            </w:pPr>
            <w:r>
              <w:rPr>
                <w:rFonts w:eastAsia="Times New Roman"/>
                <w:color w:val="000000"/>
                <w:sz w:val="16"/>
                <w:szCs w:val="16"/>
              </w:rPr>
              <w:t>Income from operations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788FC4"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301DA9" w14:textId="77777777" w:rsidR="00000000" w:rsidRDefault="000A3118">
            <w:pPr>
              <w:jc w:val="right"/>
              <w:rPr>
                <w:rFonts w:eastAsia="Times New Roman"/>
              </w:rPr>
            </w:pPr>
            <w:r>
              <w:rPr>
                <w:rFonts w:eastAsia="Times New Roman"/>
                <w:color w:val="000000"/>
                <w:sz w:val="16"/>
                <w:szCs w:val="16"/>
              </w:rPr>
              <w:t>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EE8C80"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90D581"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5B88E3" w14:textId="77777777" w:rsidR="00000000" w:rsidRDefault="000A3118">
            <w:pPr>
              <w:jc w:val="right"/>
              <w:rPr>
                <w:rFonts w:eastAsia="Times New Roman"/>
              </w:rPr>
            </w:pPr>
            <w:r>
              <w:rPr>
                <w:rFonts w:eastAsia="Times New Roman"/>
                <w:color w:val="000000"/>
                <w:sz w:val="16"/>
                <w:szCs w:val="16"/>
              </w:rPr>
              <w:t>93.6 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9F29D5"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F14A126"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7727AB" w14:textId="77777777" w:rsidR="00000000" w:rsidRDefault="000A3118">
            <w:pPr>
              <w:jc w:val="right"/>
              <w:rPr>
                <w:rFonts w:eastAsia="Times New Roman"/>
              </w:rPr>
            </w:pPr>
            <w:r>
              <w:rPr>
                <w:rFonts w:eastAsia="Times New Roman"/>
                <w:color w:val="000000"/>
                <w:sz w:val="16"/>
                <w:szCs w:val="16"/>
              </w:rPr>
              <w:t>121.5 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397E26"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A94609"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F06CA9" w14:textId="77777777" w:rsidR="00000000" w:rsidRDefault="000A3118">
            <w:pPr>
              <w:jc w:val="right"/>
              <w:rPr>
                <w:rFonts w:eastAsia="Times New Roman"/>
              </w:rPr>
            </w:pPr>
            <w:r>
              <w:rPr>
                <w:rFonts w:eastAsia="Times New Roman"/>
                <w:color w:val="000000"/>
                <w:sz w:val="16"/>
                <w:szCs w:val="16"/>
              </w:rPr>
              <w:t>239.2 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855B60" w14:textId="77777777" w:rsidR="00000000" w:rsidRDefault="000A3118">
            <w:pPr>
              <w:jc w:val="right"/>
              <w:rPr>
                <w:rFonts w:eastAsia="Times New Roman"/>
              </w:rPr>
            </w:pPr>
          </w:p>
        </w:tc>
      </w:tr>
      <w:tr w:rsidR="00000000" w14:paraId="6BFEFC3B" w14:textId="77777777">
        <w:trPr>
          <w:divId w:val="18770423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26F336" w14:textId="77777777" w:rsidR="00000000" w:rsidRDefault="000A3118">
            <w:pPr>
              <w:rPr>
                <w:rFonts w:eastAsia="Times New Roman"/>
              </w:rPr>
            </w:pPr>
            <w:r>
              <w:rPr>
                <w:rFonts w:eastAsia="Times New Roman"/>
                <w:color w:val="000000"/>
                <w:sz w:val="16"/>
                <w:szCs w:val="16"/>
              </w:rPr>
              <w:t>Non-operating income (expenses),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4D3443" w14:textId="77777777" w:rsidR="00000000" w:rsidRDefault="000A3118">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ADAB96A" w14:textId="77777777" w:rsidR="00000000" w:rsidRDefault="000A3118">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0817DC"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88329B" w14:textId="77777777" w:rsidR="00000000" w:rsidRDefault="000A3118">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0A3C6D"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BCEC74" w14:textId="77777777" w:rsidR="00000000" w:rsidRDefault="000A3118">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C7E339"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564EDAD" w14:textId="77777777" w:rsidR="00000000" w:rsidRDefault="000A3118">
            <w:pPr>
              <w:jc w:val="right"/>
              <w:rPr>
                <w:rFonts w:eastAsia="Times New Roman"/>
              </w:rPr>
            </w:pPr>
            <w:r>
              <w:rPr>
                <w:rFonts w:eastAsia="Times New Roman"/>
                <w:color w:val="000000"/>
                <w:sz w:val="16"/>
                <w:szCs w:val="16"/>
              </w:rPr>
              <w:t> </w:t>
            </w:r>
          </w:p>
        </w:tc>
      </w:tr>
      <w:tr w:rsidR="00000000" w14:paraId="7D6A5873" w14:textId="77777777">
        <w:trPr>
          <w:divId w:val="1877042328"/>
        </w:trPr>
        <w:tc>
          <w:tcPr>
            <w:tcW w:w="0" w:type="auto"/>
            <w:gridSpan w:val="3"/>
            <w:shd w:val="clear" w:color="auto" w:fill="FFFFFF"/>
            <w:tcMar>
              <w:top w:w="30" w:type="dxa"/>
              <w:left w:w="135" w:type="dxa"/>
              <w:bottom w:w="30" w:type="dxa"/>
              <w:right w:w="20" w:type="dxa"/>
            </w:tcMar>
            <w:vAlign w:val="bottom"/>
            <w:hideMark/>
          </w:tcPr>
          <w:p w14:paraId="301F6356" w14:textId="77777777" w:rsidR="00000000" w:rsidRDefault="000A3118">
            <w:pPr>
              <w:rPr>
                <w:rFonts w:eastAsia="Times New Roman"/>
              </w:rPr>
            </w:pPr>
            <w:r>
              <w:rPr>
                <w:rFonts w:eastAsia="Times New Roman"/>
                <w:color w:val="000000"/>
                <w:sz w:val="16"/>
                <w:szCs w:val="16"/>
              </w:rPr>
              <w:t>Interest expense and other financing costs, net</w:t>
            </w:r>
          </w:p>
        </w:tc>
        <w:tc>
          <w:tcPr>
            <w:tcW w:w="0" w:type="auto"/>
            <w:gridSpan w:val="3"/>
            <w:shd w:val="clear" w:color="auto" w:fill="FFFFFF"/>
            <w:tcMar>
              <w:top w:w="0" w:type="dxa"/>
              <w:left w:w="20" w:type="dxa"/>
              <w:bottom w:w="0" w:type="dxa"/>
              <w:right w:w="20" w:type="dxa"/>
            </w:tcMar>
            <w:vAlign w:val="center"/>
            <w:hideMark/>
          </w:tcPr>
          <w:p w14:paraId="3F32B67B"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8F572A" w14:textId="77777777" w:rsidR="00000000" w:rsidRDefault="000A3118">
            <w:pPr>
              <w:jc w:val="right"/>
              <w:rPr>
                <w:rFonts w:eastAsia="Times New Roman"/>
              </w:rPr>
            </w:pPr>
            <w:r>
              <w:rPr>
                <w:rFonts w:eastAsia="Times New Roman"/>
                <w:color w:val="000000"/>
                <w:sz w:val="16"/>
                <w:szCs w:val="16"/>
              </w:rPr>
              <w:t>(8.7)</w:t>
            </w:r>
          </w:p>
        </w:tc>
        <w:tc>
          <w:tcPr>
            <w:tcW w:w="0" w:type="auto"/>
            <w:shd w:val="clear" w:color="auto" w:fill="FFFFFF"/>
            <w:tcMar>
              <w:top w:w="30" w:type="dxa"/>
              <w:left w:w="0" w:type="dxa"/>
              <w:bottom w:w="30" w:type="dxa"/>
              <w:right w:w="20" w:type="dxa"/>
            </w:tcMar>
            <w:vAlign w:val="bottom"/>
            <w:hideMark/>
          </w:tcPr>
          <w:p w14:paraId="710FAED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B42E8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68B2A6" w14:textId="77777777" w:rsidR="00000000" w:rsidRDefault="000A3118">
            <w:pPr>
              <w:jc w:val="right"/>
              <w:rPr>
                <w:rFonts w:eastAsia="Times New Roman"/>
              </w:rPr>
            </w:pPr>
            <w:r>
              <w:rPr>
                <w:rFonts w:eastAsia="Times New Roman"/>
                <w:color w:val="000000"/>
                <w:sz w:val="16"/>
                <w:szCs w:val="16"/>
              </w:rPr>
              <w:t>(19.5)</w:t>
            </w:r>
          </w:p>
        </w:tc>
        <w:tc>
          <w:tcPr>
            <w:tcW w:w="0" w:type="auto"/>
            <w:shd w:val="clear" w:color="auto" w:fill="FFFFFF"/>
            <w:tcMar>
              <w:top w:w="30" w:type="dxa"/>
              <w:left w:w="0" w:type="dxa"/>
              <w:bottom w:w="30" w:type="dxa"/>
              <w:right w:w="20" w:type="dxa"/>
            </w:tcMar>
            <w:vAlign w:val="bottom"/>
            <w:hideMark/>
          </w:tcPr>
          <w:p w14:paraId="639A757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8CA5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9663D5" w14:textId="77777777" w:rsidR="00000000" w:rsidRDefault="000A3118">
            <w:pPr>
              <w:jc w:val="right"/>
              <w:rPr>
                <w:rFonts w:eastAsia="Times New Roman"/>
              </w:rPr>
            </w:pPr>
            <w:r>
              <w:rPr>
                <w:rFonts w:eastAsia="Times New Roman"/>
                <w:color w:val="000000"/>
                <w:sz w:val="16"/>
                <w:szCs w:val="16"/>
              </w:rPr>
              <w:t>(34.1)</w:t>
            </w:r>
          </w:p>
        </w:tc>
        <w:tc>
          <w:tcPr>
            <w:tcW w:w="0" w:type="auto"/>
            <w:shd w:val="clear" w:color="auto" w:fill="FFFFFF"/>
            <w:tcMar>
              <w:top w:w="30" w:type="dxa"/>
              <w:left w:w="0" w:type="dxa"/>
              <w:bottom w:w="30" w:type="dxa"/>
              <w:right w:w="20" w:type="dxa"/>
            </w:tcMar>
            <w:vAlign w:val="bottom"/>
            <w:hideMark/>
          </w:tcPr>
          <w:p w14:paraId="5380DD7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DC8A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C8342B" w14:textId="77777777" w:rsidR="00000000" w:rsidRDefault="000A3118">
            <w:pPr>
              <w:jc w:val="right"/>
              <w:rPr>
                <w:rFonts w:eastAsia="Times New Roman"/>
              </w:rPr>
            </w:pPr>
            <w:r>
              <w:rPr>
                <w:rFonts w:eastAsia="Times New Roman"/>
                <w:color w:val="000000"/>
                <w:sz w:val="16"/>
                <w:szCs w:val="16"/>
              </w:rPr>
              <w:t>(59.1)</w:t>
            </w:r>
          </w:p>
        </w:tc>
        <w:tc>
          <w:tcPr>
            <w:tcW w:w="0" w:type="auto"/>
            <w:shd w:val="clear" w:color="auto" w:fill="FFFFFF"/>
            <w:tcMar>
              <w:top w:w="30" w:type="dxa"/>
              <w:left w:w="0" w:type="dxa"/>
              <w:bottom w:w="30" w:type="dxa"/>
              <w:right w:w="20" w:type="dxa"/>
            </w:tcMar>
            <w:vAlign w:val="bottom"/>
            <w:hideMark/>
          </w:tcPr>
          <w:p w14:paraId="73862C9C" w14:textId="77777777" w:rsidR="00000000" w:rsidRDefault="000A3118">
            <w:pPr>
              <w:jc w:val="right"/>
              <w:rPr>
                <w:rFonts w:eastAsia="Times New Roman"/>
              </w:rPr>
            </w:pPr>
          </w:p>
        </w:tc>
      </w:tr>
      <w:tr w:rsidR="00000000" w14:paraId="3880ADD1" w14:textId="77777777">
        <w:trPr>
          <w:divId w:val="1877042328"/>
        </w:trPr>
        <w:tc>
          <w:tcPr>
            <w:tcW w:w="0" w:type="auto"/>
            <w:gridSpan w:val="3"/>
            <w:shd w:val="clear" w:color="auto" w:fill="CCEEFF"/>
            <w:tcMar>
              <w:top w:w="30" w:type="dxa"/>
              <w:left w:w="135" w:type="dxa"/>
              <w:bottom w:w="30" w:type="dxa"/>
              <w:right w:w="20" w:type="dxa"/>
            </w:tcMar>
            <w:vAlign w:val="bottom"/>
            <w:hideMark/>
          </w:tcPr>
          <w:p w14:paraId="73D036AD" w14:textId="77777777" w:rsidR="00000000" w:rsidRDefault="000A3118">
            <w:pPr>
              <w:rPr>
                <w:rFonts w:eastAsia="Times New Roman"/>
              </w:rPr>
            </w:pPr>
            <w:r>
              <w:rPr>
                <w:rFonts w:eastAsia="Times New Roman"/>
                <w:color w:val="000000"/>
                <w:sz w:val="16"/>
                <w:szCs w:val="16"/>
              </w:rPr>
              <w:t>Other income (expense), net</w:t>
            </w:r>
          </w:p>
        </w:tc>
        <w:tc>
          <w:tcPr>
            <w:tcW w:w="0" w:type="auto"/>
            <w:gridSpan w:val="3"/>
            <w:shd w:val="clear" w:color="auto" w:fill="CCEEFF"/>
            <w:tcMar>
              <w:top w:w="0" w:type="dxa"/>
              <w:left w:w="20" w:type="dxa"/>
              <w:bottom w:w="0" w:type="dxa"/>
              <w:right w:w="20" w:type="dxa"/>
            </w:tcMar>
            <w:vAlign w:val="center"/>
            <w:hideMark/>
          </w:tcPr>
          <w:p w14:paraId="15CE7147"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DC6FF6" w14:textId="77777777" w:rsidR="00000000" w:rsidRDefault="000A3118">
            <w:pPr>
              <w:jc w:val="right"/>
              <w:rPr>
                <w:rFonts w:eastAsia="Times New Roman"/>
              </w:rPr>
            </w:pPr>
            <w:r>
              <w:rPr>
                <w:rFonts w:eastAsia="Times New Roman"/>
                <w:color w:val="000000"/>
                <w:sz w:val="16"/>
                <w:szCs w:val="16"/>
              </w:rPr>
              <w:t>77.7 </w:t>
            </w:r>
          </w:p>
        </w:tc>
        <w:tc>
          <w:tcPr>
            <w:tcW w:w="0" w:type="auto"/>
            <w:shd w:val="clear" w:color="auto" w:fill="CCEEFF"/>
            <w:tcMar>
              <w:top w:w="30" w:type="dxa"/>
              <w:left w:w="0" w:type="dxa"/>
              <w:bottom w:w="30" w:type="dxa"/>
              <w:right w:w="20" w:type="dxa"/>
            </w:tcMar>
            <w:vAlign w:val="bottom"/>
            <w:hideMark/>
          </w:tcPr>
          <w:p w14:paraId="42BFE89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9BEF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0F894" w14:textId="77777777" w:rsidR="00000000" w:rsidRDefault="000A3118">
            <w:pPr>
              <w:jc w:val="right"/>
              <w:rPr>
                <w:rFonts w:eastAsia="Times New Roman"/>
              </w:rPr>
            </w:pPr>
            <w:r>
              <w:rPr>
                <w:rFonts w:eastAsia="Times New Roman"/>
                <w:color w:val="000000"/>
                <w:sz w:val="16"/>
                <w:szCs w:val="16"/>
              </w:rPr>
              <w:t>(3.3)</w:t>
            </w:r>
          </w:p>
        </w:tc>
        <w:tc>
          <w:tcPr>
            <w:tcW w:w="0" w:type="auto"/>
            <w:shd w:val="clear" w:color="auto" w:fill="CCEEFF"/>
            <w:tcMar>
              <w:top w:w="30" w:type="dxa"/>
              <w:left w:w="0" w:type="dxa"/>
              <w:bottom w:w="30" w:type="dxa"/>
              <w:right w:w="20" w:type="dxa"/>
            </w:tcMar>
            <w:vAlign w:val="bottom"/>
            <w:hideMark/>
          </w:tcPr>
          <w:p w14:paraId="48BD2B9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E3A4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4EFB15" w14:textId="77777777" w:rsidR="00000000" w:rsidRDefault="000A3118">
            <w:pPr>
              <w:jc w:val="right"/>
              <w:rPr>
                <w:rFonts w:eastAsia="Times New Roman"/>
              </w:rPr>
            </w:pPr>
            <w:r>
              <w:rPr>
                <w:rFonts w:eastAsia="Times New Roman"/>
                <w:color w:val="000000"/>
                <w:sz w:val="16"/>
                <w:szCs w:val="16"/>
              </w:rPr>
              <w:t>75.0 </w:t>
            </w:r>
          </w:p>
        </w:tc>
        <w:tc>
          <w:tcPr>
            <w:tcW w:w="0" w:type="auto"/>
            <w:shd w:val="clear" w:color="auto" w:fill="CCEEFF"/>
            <w:tcMar>
              <w:top w:w="30" w:type="dxa"/>
              <w:left w:w="0" w:type="dxa"/>
              <w:bottom w:w="30" w:type="dxa"/>
              <w:right w:w="20" w:type="dxa"/>
            </w:tcMar>
            <w:vAlign w:val="bottom"/>
            <w:hideMark/>
          </w:tcPr>
          <w:p w14:paraId="6303121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9144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EBDC88" w14:textId="77777777" w:rsidR="00000000" w:rsidRDefault="000A3118">
            <w:pPr>
              <w:jc w:val="right"/>
              <w:rPr>
                <w:rFonts w:eastAsia="Times New Roman"/>
              </w:rPr>
            </w:pPr>
            <w:r>
              <w:rPr>
                <w:rFonts w:eastAsia="Times New Roman"/>
                <w:color w:val="000000"/>
                <w:sz w:val="16"/>
                <w:szCs w:val="16"/>
              </w:rPr>
              <w:t>(0.3)</w:t>
            </w:r>
          </w:p>
        </w:tc>
        <w:tc>
          <w:tcPr>
            <w:tcW w:w="0" w:type="auto"/>
            <w:shd w:val="clear" w:color="auto" w:fill="CCEEFF"/>
            <w:tcMar>
              <w:top w:w="30" w:type="dxa"/>
              <w:left w:w="0" w:type="dxa"/>
              <w:bottom w:w="30" w:type="dxa"/>
              <w:right w:w="20" w:type="dxa"/>
            </w:tcMar>
            <w:vAlign w:val="bottom"/>
            <w:hideMark/>
          </w:tcPr>
          <w:p w14:paraId="4C782718" w14:textId="77777777" w:rsidR="00000000" w:rsidRDefault="000A3118">
            <w:pPr>
              <w:jc w:val="right"/>
              <w:rPr>
                <w:rFonts w:eastAsia="Times New Roman"/>
              </w:rPr>
            </w:pPr>
          </w:p>
        </w:tc>
      </w:tr>
      <w:tr w:rsidR="00000000" w14:paraId="56602240" w14:textId="77777777">
        <w:trPr>
          <w:divId w:val="187704232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B990C8F" w14:textId="77777777" w:rsidR="00000000" w:rsidRDefault="000A3118">
            <w:pPr>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83976C"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550365" w14:textId="77777777" w:rsidR="00000000" w:rsidRDefault="000A3118">
            <w:pPr>
              <w:jc w:val="right"/>
              <w:rPr>
                <w:rFonts w:eastAsia="Times New Roman"/>
              </w:rPr>
            </w:pPr>
            <w:r>
              <w:rPr>
                <w:rFonts w:eastAsia="Times New Roman"/>
                <w:color w:val="000000"/>
                <w:sz w:val="16"/>
                <w:szCs w:val="16"/>
              </w:rPr>
              <w:t>69.0 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700898"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066CF5"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8EE69F" w14:textId="77777777" w:rsidR="00000000" w:rsidRDefault="000A3118">
            <w:pPr>
              <w:jc w:val="right"/>
              <w:rPr>
                <w:rFonts w:eastAsia="Times New Roman"/>
              </w:rPr>
            </w:pPr>
            <w:r>
              <w:rPr>
                <w:rFonts w:eastAsia="Times New Roman"/>
                <w:color w:val="000000"/>
                <w:sz w:val="16"/>
                <w:szCs w:val="16"/>
              </w:rPr>
              <w:t>(22.8)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322B1D"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ACF112"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A90AFD" w14:textId="77777777" w:rsidR="00000000" w:rsidRDefault="000A3118">
            <w:pPr>
              <w:jc w:val="right"/>
              <w:rPr>
                <w:rFonts w:eastAsia="Times New Roman"/>
              </w:rPr>
            </w:pPr>
            <w:r>
              <w:rPr>
                <w:rFonts w:eastAsia="Times New Roman"/>
                <w:color w:val="000000"/>
                <w:sz w:val="16"/>
                <w:szCs w:val="16"/>
              </w:rPr>
              <w:t>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1788BE"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E5AC2E"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0B1B4D" w14:textId="77777777" w:rsidR="00000000" w:rsidRDefault="000A3118">
            <w:pPr>
              <w:jc w:val="right"/>
              <w:rPr>
                <w:rFonts w:eastAsia="Times New Roman"/>
              </w:rPr>
            </w:pPr>
            <w:r>
              <w:rPr>
                <w:rFonts w:eastAsia="Times New Roman"/>
                <w:color w:val="000000"/>
                <w:sz w:val="16"/>
                <w:szCs w:val="16"/>
              </w:rPr>
              <w:t>(59.4)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235AD3" w14:textId="77777777" w:rsidR="00000000" w:rsidRDefault="000A3118">
            <w:pPr>
              <w:jc w:val="right"/>
              <w:rPr>
                <w:rFonts w:eastAsia="Times New Roman"/>
              </w:rPr>
            </w:pPr>
          </w:p>
        </w:tc>
      </w:tr>
      <w:tr w:rsidR="00000000" w14:paraId="66857823" w14:textId="77777777">
        <w:trPr>
          <w:divId w:val="18770423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0EC3AC" w14:textId="77777777" w:rsidR="00000000" w:rsidRDefault="000A3118">
            <w:pPr>
              <w:rPr>
                <w:rFonts w:eastAsia="Times New Roman"/>
              </w:rPr>
            </w:pPr>
            <w:r>
              <w:rPr>
                <w:rFonts w:eastAsia="Times New Roman"/>
                <w:color w:val="000000"/>
                <w:sz w:val="16"/>
                <w:szCs w:val="16"/>
              </w:rPr>
              <w:t>Income (loss) before income taxes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756FD4"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5009C2" w14:textId="77777777" w:rsidR="00000000" w:rsidRDefault="000A3118">
            <w:pPr>
              <w:jc w:val="right"/>
              <w:rPr>
                <w:rFonts w:eastAsia="Times New Roman"/>
              </w:rPr>
            </w:pPr>
            <w:r>
              <w:rPr>
                <w:rFonts w:eastAsia="Times New Roman"/>
                <w:color w:val="000000"/>
                <w:sz w:val="16"/>
                <w:szCs w:val="16"/>
              </w:rPr>
              <w:t>107.8 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93272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50D3B0"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D5D158" w14:textId="77777777" w:rsidR="00000000" w:rsidRDefault="000A3118">
            <w:pPr>
              <w:jc w:val="right"/>
              <w:rPr>
                <w:rFonts w:eastAsia="Times New Roman"/>
              </w:rPr>
            </w:pPr>
            <w:r>
              <w:rPr>
                <w:rFonts w:eastAsia="Times New Roman"/>
                <w:color w:val="000000"/>
                <w:sz w:val="16"/>
                <w:szCs w:val="16"/>
              </w:rPr>
              <w:t>70.9 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CCDE9B"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84BEA6"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928DB7" w14:textId="77777777" w:rsidR="00000000" w:rsidRDefault="000A3118">
            <w:pPr>
              <w:jc w:val="right"/>
              <w:rPr>
                <w:rFonts w:eastAsia="Times New Roman"/>
              </w:rPr>
            </w:pPr>
            <w:r>
              <w:rPr>
                <w:rFonts w:eastAsia="Times New Roman"/>
                <w:color w:val="000000"/>
                <w:sz w:val="16"/>
                <w:szCs w:val="16"/>
              </w:rPr>
              <w:t>162.4 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539426"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6765FA"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BFD826" w14:textId="77777777" w:rsidR="00000000" w:rsidRDefault="000A3118">
            <w:pPr>
              <w:jc w:val="right"/>
              <w:rPr>
                <w:rFonts w:eastAsia="Times New Roman"/>
              </w:rPr>
            </w:pPr>
            <w:r>
              <w:rPr>
                <w:rFonts w:eastAsia="Times New Roman"/>
                <w:color w:val="000000"/>
                <w:sz w:val="16"/>
                <w:szCs w:val="16"/>
              </w:rPr>
              <w:t>179.8 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D409B6" w14:textId="77777777" w:rsidR="00000000" w:rsidRDefault="000A3118">
            <w:pPr>
              <w:jc w:val="right"/>
              <w:rPr>
                <w:rFonts w:eastAsia="Times New Roman"/>
              </w:rPr>
            </w:pPr>
          </w:p>
        </w:tc>
      </w:tr>
      <w:tr w:rsidR="00000000" w14:paraId="07FE0634" w14:textId="77777777">
        <w:trPr>
          <w:divId w:val="1877042328"/>
        </w:trPr>
        <w:tc>
          <w:tcPr>
            <w:tcW w:w="0" w:type="auto"/>
            <w:gridSpan w:val="3"/>
            <w:shd w:val="clear" w:color="auto" w:fill="FFFFFF"/>
            <w:tcMar>
              <w:top w:w="30" w:type="dxa"/>
              <w:left w:w="20" w:type="dxa"/>
              <w:bottom w:w="30" w:type="dxa"/>
              <w:right w:w="20" w:type="dxa"/>
            </w:tcMar>
            <w:vAlign w:val="bottom"/>
            <w:hideMark/>
          </w:tcPr>
          <w:p w14:paraId="295EBB92" w14:textId="77777777" w:rsidR="00000000" w:rsidRDefault="000A3118">
            <w:pPr>
              <w:rPr>
                <w:rFonts w:eastAsia="Times New Roman"/>
              </w:rPr>
            </w:pPr>
            <w:r>
              <w:rPr>
                <w:rFonts w:eastAsia="Times New Roman"/>
                <w:color w:val="000000"/>
                <w:sz w:val="16"/>
                <w:szCs w:val="16"/>
              </w:rPr>
              <w:t>Provision for income taxes</w:t>
            </w:r>
          </w:p>
        </w:tc>
        <w:tc>
          <w:tcPr>
            <w:tcW w:w="0" w:type="auto"/>
            <w:gridSpan w:val="3"/>
            <w:shd w:val="clear" w:color="auto" w:fill="FFFFFF"/>
            <w:tcMar>
              <w:top w:w="0" w:type="dxa"/>
              <w:left w:w="20" w:type="dxa"/>
              <w:bottom w:w="0" w:type="dxa"/>
              <w:right w:w="20" w:type="dxa"/>
            </w:tcMar>
            <w:vAlign w:val="center"/>
            <w:hideMark/>
          </w:tcPr>
          <w:p w14:paraId="324E963F"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E6D04C" w14:textId="77777777" w:rsidR="00000000" w:rsidRDefault="000A3118">
            <w:pPr>
              <w:jc w:val="right"/>
              <w:rPr>
                <w:rFonts w:eastAsia="Times New Roman"/>
              </w:rPr>
            </w:pPr>
            <w:r>
              <w:rPr>
                <w:rFonts w:eastAsia="Times New Roman"/>
                <w:color w:val="000000"/>
                <w:sz w:val="16"/>
                <w:szCs w:val="16"/>
              </w:rPr>
              <w:t>25.4 </w:t>
            </w:r>
          </w:p>
        </w:tc>
        <w:tc>
          <w:tcPr>
            <w:tcW w:w="0" w:type="auto"/>
            <w:shd w:val="clear" w:color="auto" w:fill="FFFFFF"/>
            <w:tcMar>
              <w:top w:w="30" w:type="dxa"/>
              <w:left w:w="0" w:type="dxa"/>
              <w:bottom w:w="30" w:type="dxa"/>
              <w:right w:w="20" w:type="dxa"/>
            </w:tcMar>
            <w:vAlign w:val="bottom"/>
            <w:hideMark/>
          </w:tcPr>
          <w:p w14:paraId="30D1AC2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73FD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EA1BB6" w14:textId="77777777" w:rsidR="00000000" w:rsidRDefault="000A3118">
            <w:pPr>
              <w:jc w:val="right"/>
              <w:rPr>
                <w:rFonts w:eastAsia="Times New Roman"/>
              </w:rPr>
            </w:pPr>
            <w:r>
              <w:rPr>
                <w:rFonts w:eastAsia="Times New Roman"/>
                <w:color w:val="000000"/>
                <w:sz w:val="16"/>
                <w:szCs w:val="16"/>
              </w:rPr>
              <w:t>21.5 </w:t>
            </w:r>
          </w:p>
        </w:tc>
        <w:tc>
          <w:tcPr>
            <w:tcW w:w="0" w:type="auto"/>
            <w:shd w:val="clear" w:color="auto" w:fill="FFFFFF"/>
            <w:tcMar>
              <w:top w:w="30" w:type="dxa"/>
              <w:left w:w="0" w:type="dxa"/>
              <w:bottom w:w="30" w:type="dxa"/>
              <w:right w:w="20" w:type="dxa"/>
            </w:tcMar>
            <w:vAlign w:val="bottom"/>
            <w:hideMark/>
          </w:tcPr>
          <w:p w14:paraId="3435FCE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3A6A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8BFBE6" w14:textId="77777777" w:rsidR="00000000" w:rsidRDefault="000A3118">
            <w:pPr>
              <w:jc w:val="right"/>
              <w:rPr>
                <w:rFonts w:eastAsia="Times New Roman"/>
              </w:rPr>
            </w:pPr>
            <w:r>
              <w:rPr>
                <w:rFonts w:eastAsia="Times New Roman"/>
                <w:color w:val="000000"/>
                <w:sz w:val="16"/>
                <w:szCs w:val="16"/>
              </w:rPr>
              <w:t>49.0 </w:t>
            </w:r>
          </w:p>
        </w:tc>
        <w:tc>
          <w:tcPr>
            <w:tcW w:w="0" w:type="auto"/>
            <w:shd w:val="clear" w:color="auto" w:fill="FFFFFF"/>
            <w:tcMar>
              <w:top w:w="30" w:type="dxa"/>
              <w:left w:w="0" w:type="dxa"/>
              <w:bottom w:w="30" w:type="dxa"/>
              <w:right w:w="20" w:type="dxa"/>
            </w:tcMar>
            <w:vAlign w:val="bottom"/>
            <w:hideMark/>
          </w:tcPr>
          <w:p w14:paraId="534B941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D725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98B66C" w14:textId="77777777" w:rsidR="00000000" w:rsidRDefault="000A3118">
            <w:pPr>
              <w:jc w:val="right"/>
              <w:rPr>
                <w:rFonts w:eastAsia="Times New Roman"/>
              </w:rPr>
            </w:pPr>
            <w:r>
              <w:rPr>
                <w:rFonts w:eastAsia="Times New Roman"/>
                <w:color w:val="000000"/>
                <w:sz w:val="16"/>
                <w:szCs w:val="16"/>
              </w:rPr>
              <w:t>55.5 </w:t>
            </w:r>
          </w:p>
        </w:tc>
        <w:tc>
          <w:tcPr>
            <w:tcW w:w="0" w:type="auto"/>
            <w:shd w:val="clear" w:color="auto" w:fill="FFFFFF"/>
            <w:tcMar>
              <w:top w:w="30" w:type="dxa"/>
              <w:left w:w="0" w:type="dxa"/>
              <w:bottom w:w="30" w:type="dxa"/>
              <w:right w:w="20" w:type="dxa"/>
            </w:tcMar>
            <w:vAlign w:val="bottom"/>
            <w:hideMark/>
          </w:tcPr>
          <w:p w14:paraId="659B0AE6" w14:textId="77777777" w:rsidR="00000000" w:rsidRDefault="000A3118">
            <w:pPr>
              <w:jc w:val="right"/>
              <w:rPr>
                <w:rFonts w:eastAsia="Times New Roman"/>
              </w:rPr>
            </w:pPr>
          </w:p>
        </w:tc>
      </w:tr>
      <w:tr w:rsidR="00000000" w14:paraId="77057B66" w14:textId="77777777">
        <w:trPr>
          <w:divId w:val="18770423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40BAE7" w14:textId="77777777" w:rsidR="00000000" w:rsidRDefault="000A3118">
            <w:pPr>
              <w:rPr>
                <w:rFonts w:eastAsia="Times New Roman"/>
              </w:rPr>
            </w:pPr>
            <w:r>
              <w:rPr>
                <w:rFonts w:eastAsia="Times New Roman"/>
                <w:color w:val="000000"/>
                <w:sz w:val="16"/>
                <w:szCs w:val="16"/>
              </w:rPr>
              <w:t>Net income (loss) including noncontrolling interest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4F0ABB"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5B8777" w14:textId="77777777" w:rsidR="00000000" w:rsidRDefault="000A3118">
            <w:pPr>
              <w:jc w:val="right"/>
              <w:rPr>
                <w:rFonts w:eastAsia="Times New Roman"/>
              </w:rPr>
            </w:pPr>
            <w:r>
              <w:rPr>
                <w:rFonts w:eastAsia="Times New Roman"/>
                <w:color w:val="000000"/>
                <w:sz w:val="16"/>
                <w:szCs w:val="16"/>
              </w:rPr>
              <w:t>82.4 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68D0C5"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1E0F2D"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39039E" w14:textId="77777777" w:rsidR="00000000" w:rsidRDefault="000A3118">
            <w:pPr>
              <w:jc w:val="right"/>
              <w:rPr>
                <w:rFonts w:eastAsia="Times New Roman"/>
              </w:rPr>
            </w:pPr>
            <w:r>
              <w:rPr>
                <w:rFonts w:eastAsia="Times New Roman"/>
                <w:color w:val="000000"/>
                <w:sz w:val="16"/>
                <w:szCs w:val="16"/>
              </w:rPr>
              <w:t>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4CAF2C"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E8FE9A"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7C4F10" w14:textId="77777777" w:rsidR="00000000" w:rsidRDefault="000A3118">
            <w:pPr>
              <w:jc w:val="right"/>
              <w:rPr>
                <w:rFonts w:eastAsia="Times New Roman"/>
              </w:rPr>
            </w:pPr>
            <w:r>
              <w:rPr>
                <w:rFonts w:eastAsia="Times New Roman"/>
                <w:color w:val="000000"/>
                <w:sz w:val="16"/>
                <w:szCs w:val="16"/>
              </w:rPr>
              <w:t>113.4 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F1C8B1"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AD0AC4"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82BA39" w14:textId="77777777" w:rsidR="00000000" w:rsidRDefault="000A3118">
            <w:pPr>
              <w:jc w:val="right"/>
              <w:rPr>
                <w:rFonts w:eastAsia="Times New Roman"/>
              </w:rPr>
            </w:pPr>
            <w:r>
              <w:rPr>
                <w:rFonts w:eastAsia="Times New Roman"/>
                <w:color w:val="000000"/>
                <w:sz w:val="16"/>
                <w:szCs w:val="16"/>
              </w:rPr>
              <w:t>124.3 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2EFF51" w14:textId="77777777" w:rsidR="00000000" w:rsidRDefault="000A3118">
            <w:pPr>
              <w:jc w:val="right"/>
              <w:rPr>
                <w:rFonts w:eastAsia="Times New Roman"/>
              </w:rPr>
            </w:pPr>
          </w:p>
        </w:tc>
      </w:tr>
      <w:tr w:rsidR="00000000" w14:paraId="541BDCBF" w14:textId="77777777">
        <w:trPr>
          <w:divId w:val="1877042328"/>
        </w:trPr>
        <w:tc>
          <w:tcPr>
            <w:tcW w:w="0" w:type="auto"/>
            <w:gridSpan w:val="3"/>
            <w:shd w:val="clear" w:color="auto" w:fill="FFFFFF"/>
            <w:tcMar>
              <w:top w:w="30" w:type="dxa"/>
              <w:left w:w="20" w:type="dxa"/>
              <w:bottom w:w="30" w:type="dxa"/>
              <w:right w:w="20" w:type="dxa"/>
            </w:tcMar>
            <w:vAlign w:val="bottom"/>
            <w:hideMark/>
          </w:tcPr>
          <w:p w14:paraId="285BE201" w14:textId="77777777" w:rsidR="00000000" w:rsidRDefault="000A3118">
            <w:pPr>
              <w:rPr>
                <w:rFonts w:eastAsia="Times New Roman"/>
              </w:rPr>
            </w:pPr>
            <w:r>
              <w:rPr>
                <w:rFonts w:eastAsia="Times New Roman"/>
                <w:color w:val="000000"/>
                <w:sz w:val="16"/>
                <w:szCs w:val="16"/>
              </w:rPr>
              <w:t>Net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14:paraId="67FA1435"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E618E8" w14:textId="77777777" w:rsidR="00000000" w:rsidRDefault="000A3118">
            <w:pPr>
              <w:jc w:val="right"/>
              <w:rPr>
                <w:rFonts w:eastAsia="Times New Roman"/>
              </w:rPr>
            </w:pPr>
            <w:r>
              <w:rPr>
                <w:rFonts w:eastAsia="Times New Roman"/>
                <w:color w:val="000000"/>
                <w:sz w:val="16"/>
                <w:szCs w:val="16"/>
              </w:rPr>
              <w:t>0.5 </w:t>
            </w:r>
          </w:p>
        </w:tc>
        <w:tc>
          <w:tcPr>
            <w:tcW w:w="0" w:type="auto"/>
            <w:shd w:val="clear" w:color="auto" w:fill="FFFFFF"/>
            <w:tcMar>
              <w:top w:w="30" w:type="dxa"/>
              <w:left w:w="0" w:type="dxa"/>
              <w:bottom w:w="30" w:type="dxa"/>
              <w:right w:w="20" w:type="dxa"/>
            </w:tcMar>
            <w:vAlign w:val="bottom"/>
            <w:hideMark/>
          </w:tcPr>
          <w:p w14:paraId="39566C7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B4E7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4E3180" w14:textId="77777777" w:rsidR="00000000" w:rsidRDefault="000A3118">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1CCDE88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E1B2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452D32" w14:textId="77777777" w:rsidR="00000000" w:rsidRDefault="000A3118">
            <w:pPr>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14:paraId="6BE3923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6CDA3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FB42AC" w14:textId="77777777" w:rsidR="00000000" w:rsidRDefault="000A3118">
            <w:pPr>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14:paraId="78399526" w14:textId="77777777" w:rsidR="00000000" w:rsidRDefault="000A3118">
            <w:pPr>
              <w:jc w:val="right"/>
              <w:rPr>
                <w:rFonts w:eastAsia="Times New Roman"/>
              </w:rPr>
            </w:pPr>
          </w:p>
        </w:tc>
      </w:tr>
      <w:tr w:rsidR="00000000" w14:paraId="6552805E" w14:textId="77777777">
        <w:trPr>
          <w:divId w:val="18770423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F074A9" w14:textId="77777777" w:rsidR="00000000" w:rsidRDefault="000A3118">
            <w:pPr>
              <w:rPr>
                <w:rFonts w:eastAsia="Times New Roman"/>
              </w:rPr>
            </w:pPr>
            <w:r>
              <w:rPr>
                <w:rFonts w:eastAsia="Times New Roman"/>
                <w:color w:val="000000"/>
                <w:sz w:val="16"/>
                <w:szCs w:val="16"/>
              </w:rPr>
              <w:t>Net income (loss) attributable to World Fuel</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B85919"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3F0EE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2B0F80" w14:textId="77777777" w:rsidR="00000000" w:rsidRDefault="000A3118">
            <w:pPr>
              <w:jc w:val="right"/>
              <w:rPr>
                <w:rFonts w:eastAsia="Times New Roman"/>
              </w:rPr>
            </w:pPr>
            <w:r>
              <w:rPr>
                <w:rFonts w:eastAsia="Times New Roman"/>
                <w:color w:val="000000"/>
                <w:sz w:val="16"/>
                <w:szCs w:val="16"/>
              </w:rPr>
              <w:t>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FE971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F61A80"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638A9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C8F136" w14:textId="77777777" w:rsidR="00000000" w:rsidRDefault="000A3118">
            <w:pPr>
              <w:jc w:val="right"/>
              <w:rPr>
                <w:rFonts w:eastAsia="Times New Roman"/>
              </w:rPr>
            </w:pPr>
            <w:r>
              <w:rPr>
                <w:rFonts w:eastAsia="Times New Roman"/>
                <w:color w:val="000000"/>
                <w:sz w:val="16"/>
                <w:szCs w:val="16"/>
              </w:rPr>
              <w:t>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DA9874"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179374"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807F8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A9A606" w14:textId="77777777" w:rsidR="00000000" w:rsidRDefault="000A3118">
            <w:pPr>
              <w:jc w:val="right"/>
              <w:rPr>
                <w:rFonts w:eastAsia="Times New Roman"/>
              </w:rPr>
            </w:pPr>
            <w:r>
              <w:rPr>
                <w:rFonts w:eastAsia="Times New Roman"/>
                <w:color w:val="000000"/>
                <w:sz w:val="16"/>
                <w:szCs w:val="16"/>
              </w:rPr>
              <w:t>113.1 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532CAA"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E55298"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9E6D1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CB8CA1" w14:textId="77777777" w:rsidR="00000000" w:rsidRDefault="000A3118">
            <w:pPr>
              <w:jc w:val="right"/>
              <w:rPr>
                <w:rFonts w:eastAsia="Times New Roman"/>
              </w:rPr>
            </w:pPr>
            <w:r>
              <w:rPr>
                <w:rFonts w:eastAsia="Times New Roman"/>
                <w:color w:val="000000"/>
                <w:sz w:val="16"/>
                <w:szCs w:val="16"/>
              </w:rPr>
              <w:t>122.4 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DED9B3" w14:textId="77777777" w:rsidR="00000000" w:rsidRDefault="000A3118">
            <w:pPr>
              <w:jc w:val="right"/>
              <w:rPr>
                <w:rFonts w:eastAsia="Times New Roman"/>
              </w:rPr>
            </w:pPr>
          </w:p>
        </w:tc>
      </w:tr>
      <w:tr w:rsidR="00000000" w14:paraId="3B8F86B3" w14:textId="77777777">
        <w:trPr>
          <w:divId w:val="1877042328"/>
          <w:trHeight w:val="24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91375E9"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9F245D"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42F0E1"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1FD390"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D03FD7A"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D1FF3B5"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DD5498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71E980"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F17B535" w14:textId="77777777" w:rsidR="00000000" w:rsidRDefault="000A3118">
            <w:pPr>
              <w:rPr>
                <w:rFonts w:eastAsia="Times New Roman"/>
                <w:sz w:val="20"/>
                <w:szCs w:val="20"/>
              </w:rPr>
            </w:pPr>
          </w:p>
        </w:tc>
      </w:tr>
      <w:tr w:rsidR="00000000" w14:paraId="2255F845" w14:textId="77777777">
        <w:trPr>
          <w:divId w:val="1877042328"/>
        </w:trPr>
        <w:tc>
          <w:tcPr>
            <w:tcW w:w="0" w:type="auto"/>
            <w:gridSpan w:val="3"/>
            <w:shd w:val="clear" w:color="auto" w:fill="CCEEFF"/>
            <w:tcMar>
              <w:top w:w="30" w:type="dxa"/>
              <w:left w:w="20" w:type="dxa"/>
              <w:bottom w:w="30" w:type="dxa"/>
              <w:right w:w="20" w:type="dxa"/>
            </w:tcMar>
            <w:vAlign w:val="bottom"/>
            <w:hideMark/>
          </w:tcPr>
          <w:p w14:paraId="0C2F4FB5" w14:textId="77777777" w:rsidR="00000000" w:rsidRDefault="000A3118">
            <w:pPr>
              <w:rPr>
                <w:rFonts w:eastAsia="Times New Roman"/>
              </w:rPr>
            </w:pPr>
            <w:r>
              <w:rPr>
                <w:rFonts w:eastAsia="Times New Roman"/>
                <w:color w:val="000000"/>
                <w:sz w:val="16"/>
                <w:szCs w:val="16"/>
              </w:rPr>
              <w:t>Basic earnings per common share</w:t>
            </w:r>
          </w:p>
        </w:tc>
        <w:tc>
          <w:tcPr>
            <w:tcW w:w="0" w:type="auto"/>
            <w:gridSpan w:val="3"/>
            <w:shd w:val="clear" w:color="auto" w:fill="CCEEFF"/>
            <w:tcMar>
              <w:top w:w="0" w:type="dxa"/>
              <w:left w:w="20" w:type="dxa"/>
              <w:bottom w:w="0" w:type="dxa"/>
              <w:right w:w="20" w:type="dxa"/>
            </w:tcMar>
            <w:vAlign w:val="center"/>
            <w:hideMark/>
          </w:tcPr>
          <w:p w14:paraId="0E117B98" w14:textId="77777777" w:rsidR="00000000" w:rsidRDefault="000A3118">
            <w:pPr>
              <w:rPr>
                <w:rFonts w:eastAsia="Times New Roman"/>
              </w:rPr>
            </w:pPr>
          </w:p>
        </w:tc>
        <w:tc>
          <w:tcPr>
            <w:tcW w:w="0" w:type="auto"/>
            <w:shd w:val="clear" w:color="auto" w:fill="CCEEFF"/>
            <w:tcMar>
              <w:top w:w="30" w:type="dxa"/>
              <w:left w:w="20" w:type="dxa"/>
              <w:bottom w:w="30" w:type="dxa"/>
              <w:right w:w="0" w:type="dxa"/>
            </w:tcMar>
            <w:vAlign w:val="bottom"/>
            <w:hideMark/>
          </w:tcPr>
          <w:p w14:paraId="4FBF2978"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3A6C3B9" w14:textId="77777777" w:rsidR="00000000" w:rsidRDefault="000A3118">
            <w:pPr>
              <w:jc w:val="right"/>
              <w:rPr>
                <w:rFonts w:eastAsia="Times New Roman"/>
              </w:rPr>
            </w:pPr>
            <w:r>
              <w:rPr>
                <w:rFonts w:eastAsia="Times New Roman"/>
                <w:color w:val="000000"/>
                <w:sz w:val="16"/>
                <w:szCs w:val="16"/>
              </w:rPr>
              <w:t>1.29 </w:t>
            </w:r>
          </w:p>
        </w:tc>
        <w:tc>
          <w:tcPr>
            <w:tcW w:w="0" w:type="auto"/>
            <w:shd w:val="clear" w:color="auto" w:fill="CCEEFF"/>
            <w:tcMar>
              <w:top w:w="30" w:type="dxa"/>
              <w:left w:w="0" w:type="dxa"/>
              <w:bottom w:w="30" w:type="dxa"/>
              <w:right w:w="20" w:type="dxa"/>
            </w:tcMar>
            <w:vAlign w:val="bottom"/>
            <w:hideMark/>
          </w:tcPr>
          <w:p w14:paraId="5FAF75F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D2B9E"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8F30A7"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04A51DC" w14:textId="77777777" w:rsidR="00000000" w:rsidRDefault="000A3118">
            <w:pPr>
              <w:jc w:val="right"/>
              <w:rPr>
                <w:rFonts w:eastAsia="Times New Roman"/>
              </w:rPr>
            </w:pPr>
            <w:r>
              <w:rPr>
                <w:rFonts w:eastAsia="Times New Roman"/>
                <w:color w:val="000000"/>
                <w:sz w:val="16"/>
                <w:szCs w:val="16"/>
              </w:rPr>
              <w:t>0.74 </w:t>
            </w:r>
          </w:p>
        </w:tc>
        <w:tc>
          <w:tcPr>
            <w:tcW w:w="0" w:type="auto"/>
            <w:shd w:val="clear" w:color="auto" w:fill="CCEEFF"/>
            <w:tcMar>
              <w:top w:w="30" w:type="dxa"/>
              <w:left w:w="0" w:type="dxa"/>
              <w:bottom w:w="30" w:type="dxa"/>
              <w:right w:w="20" w:type="dxa"/>
            </w:tcMar>
            <w:vAlign w:val="bottom"/>
            <w:hideMark/>
          </w:tcPr>
          <w:p w14:paraId="5E331A9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F2EF9"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0A01CA"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BF37B79" w14:textId="77777777" w:rsidR="00000000" w:rsidRDefault="000A3118">
            <w:pPr>
              <w:jc w:val="right"/>
              <w:rPr>
                <w:rFonts w:eastAsia="Times New Roman"/>
              </w:rPr>
            </w:pPr>
            <w:r>
              <w:rPr>
                <w:rFonts w:eastAsia="Times New Roman"/>
                <w:color w:val="000000"/>
                <w:sz w:val="16"/>
                <w:szCs w:val="16"/>
              </w:rPr>
              <w:t>1.77 </w:t>
            </w:r>
          </w:p>
        </w:tc>
        <w:tc>
          <w:tcPr>
            <w:tcW w:w="0" w:type="auto"/>
            <w:shd w:val="clear" w:color="auto" w:fill="CCEEFF"/>
            <w:tcMar>
              <w:top w:w="30" w:type="dxa"/>
              <w:left w:w="0" w:type="dxa"/>
              <w:bottom w:w="30" w:type="dxa"/>
              <w:right w:w="20" w:type="dxa"/>
            </w:tcMar>
            <w:vAlign w:val="bottom"/>
            <w:hideMark/>
          </w:tcPr>
          <w:p w14:paraId="26D4A9A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E07B9"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FB0EAF"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26F3E8B" w14:textId="77777777" w:rsidR="00000000" w:rsidRDefault="000A3118">
            <w:pPr>
              <w:jc w:val="right"/>
              <w:rPr>
                <w:rFonts w:eastAsia="Times New Roman"/>
              </w:rPr>
            </w:pPr>
            <w:r>
              <w:rPr>
                <w:rFonts w:eastAsia="Times New Roman"/>
                <w:color w:val="000000"/>
                <w:sz w:val="16"/>
                <w:szCs w:val="16"/>
              </w:rPr>
              <w:t>1.84 </w:t>
            </w:r>
          </w:p>
        </w:tc>
        <w:tc>
          <w:tcPr>
            <w:tcW w:w="0" w:type="auto"/>
            <w:shd w:val="clear" w:color="auto" w:fill="CCEEFF"/>
            <w:tcMar>
              <w:top w:w="30" w:type="dxa"/>
              <w:left w:w="0" w:type="dxa"/>
              <w:bottom w:w="30" w:type="dxa"/>
              <w:right w:w="20" w:type="dxa"/>
            </w:tcMar>
            <w:vAlign w:val="bottom"/>
            <w:hideMark/>
          </w:tcPr>
          <w:p w14:paraId="60BF34B5" w14:textId="77777777" w:rsidR="00000000" w:rsidRDefault="000A3118">
            <w:pPr>
              <w:jc w:val="right"/>
              <w:rPr>
                <w:rFonts w:eastAsia="Times New Roman"/>
              </w:rPr>
            </w:pPr>
          </w:p>
        </w:tc>
      </w:tr>
      <w:tr w:rsidR="00000000" w14:paraId="79407F45" w14:textId="77777777">
        <w:trPr>
          <w:divId w:val="1877042328"/>
          <w:trHeight w:val="24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2233D9"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62C024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160D7C0"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B41DF2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91AC57E"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1742F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E702564"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F57413F"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6EF882" w14:textId="77777777" w:rsidR="00000000" w:rsidRDefault="000A3118">
            <w:pPr>
              <w:rPr>
                <w:rFonts w:eastAsia="Times New Roman"/>
                <w:sz w:val="20"/>
                <w:szCs w:val="20"/>
              </w:rPr>
            </w:pPr>
          </w:p>
        </w:tc>
      </w:tr>
      <w:tr w:rsidR="00000000" w14:paraId="387D9041" w14:textId="77777777">
        <w:trPr>
          <w:divId w:val="1877042328"/>
        </w:trPr>
        <w:tc>
          <w:tcPr>
            <w:tcW w:w="0" w:type="auto"/>
            <w:gridSpan w:val="3"/>
            <w:shd w:val="clear" w:color="auto" w:fill="CCEEFF"/>
            <w:tcMar>
              <w:top w:w="30" w:type="dxa"/>
              <w:left w:w="20" w:type="dxa"/>
              <w:bottom w:w="30" w:type="dxa"/>
              <w:right w:w="20" w:type="dxa"/>
            </w:tcMar>
            <w:vAlign w:val="bottom"/>
            <w:hideMark/>
          </w:tcPr>
          <w:p w14:paraId="3A5F776C" w14:textId="77777777" w:rsidR="00000000" w:rsidRDefault="000A3118">
            <w:pPr>
              <w:rPr>
                <w:rFonts w:eastAsia="Times New Roman"/>
              </w:rPr>
            </w:pPr>
            <w:r>
              <w:rPr>
                <w:rFonts w:eastAsia="Times New Roman"/>
                <w:color w:val="000000"/>
                <w:sz w:val="16"/>
                <w:szCs w:val="16"/>
              </w:rPr>
              <w:t>Basic weighted average common shares</w:t>
            </w:r>
          </w:p>
        </w:tc>
        <w:tc>
          <w:tcPr>
            <w:tcW w:w="0" w:type="auto"/>
            <w:gridSpan w:val="3"/>
            <w:shd w:val="clear" w:color="auto" w:fill="CCEEFF"/>
            <w:tcMar>
              <w:top w:w="0" w:type="dxa"/>
              <w:left w:w="20" w:type="dxa"/>
              <w:bottom w:w="0" w:type="dxa"/>
              <w:right w:w="20" w:type="dxa"/>
            </w:tcMar>
            <w:vAlign w:val="center"/>
            <w:hideMark/>
          </w:tcPr>
          <w:p w14:paraId="7B753FB9"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1AA613" w14:textId="77777777" w:rsidR="00000000" w:rsidRDefault="000A3118">
            <w:pPr>
              <w:jc w:val="right"/>
              <w:rPr>
                <w:rFonts w:eastAsia="Times New Roman"/>
              </w:rPr>
            </w:pPr>
            <w:r>
              <w:rPr>
                <w:rFonts w:eastAsia="Times New Roman"/>
                <w:color w:val="000000"/>
                <w:sz w:val="16"/>
                <w:szCs w:val="16"/>
              </w:rPr>
              <w:t>63.4 </w:t>
            </w:r>
          </w:p>
        </w:tc>
        <w:tc>
          <w:tcPr>
            <w:tcW w:w="0" w:type="auto"/>
            <w:shd w:val="clear" w:color="auto" w:fill="CCEEFF"/>
            <w:tcMar>
              <w:top w:w="30" w:type="dxa"/>
              <w:left w:w="0" w:type="dxa"/>
              <w:bottom w:w="30" w:type="dxa"/>
              <w:right w:w="20" w:type="dxa"/>
            </w:tcMar>
            <w:vAlign w:val="bottom"/>
            <w:hideMark/>
          </w:tcPr>
          <w:p w14:paraId="0562092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053C3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E3BBCE" w14:textId="77777777" w:rsidR="00000000" w:rsidRDefault="000A3118">
            <w:pPr>
              <w:jc w:val="right"/>
              <w:rPr>
                <w:rFonts w:eastAsia="Times New Roman"/>
              </w:rPr>
            </w:pPr>
            <w:r>
              <w:rPr>
                <w:rFonts w:eastAsia="Times New Roman"/>
                <w:color w:val="000000"/>
                <w:sz w:val="16"/>
                <w:szCs w:val="16"/>
              </w:rPr>
              <w:t>65.3 </w:t>
            </w:r>
          </w:p>
        </w:tc>
        <w:tc>
          <w:tcPr>
            <w:tcW w:w="0" w:type="auto"/>
            <w:shd w:val="clear" w:color="auto" w:fill="CCEEFF"/>
            <w:tcMar>
              <w:top w:w="30" w:type="dxa"/>
              <w:left w:w="0" w:type="dxa"/>
              <w:bottom w:w="30" w:type="dxa"/>
              <w:right w:w="20" w:type="dxa"/>
            </w:tcMar>
            <w:vAlign w:val="bottom"/>
            <w:hideMark/>
          </w:tcPr>
          <w:p w14:paraId="77A8C60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1952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837280" w14:textId="77777777" w:rsidR="00000000" w:rsidRDefault="000A3118">
            <w:pPr>
              <w:jc w:val="right"/>
              <w:rPr>
                <w:rFonts w:eastAsia="Times New Roman"/>
              </w:rPr>
            </w:pPr>
            <w:r>
              <w:rPr>
                <w:rFonts w:eastAsia="Times New Roman"/>
                <w:color w:val="000000"/>
                <w:sz w:val="16"/>
                <w:szCs w:val="16"/>
              </w:rPr>
              <w:t>63.9 </w:t>
            </w:r>
          </w:p>
        </w:tc>
        <w:tc>
          <w:tcPr>
            <w:tcW w:w="0" w:type="auto"/>
            <w:shd w:val="clear" w:color="auto" w:fill="CCEEFF"/>
            <w:tcMar>
              <w:top w:w="30" w:type="dxa"/>
              <w:left w:w="0" w:type="dxa"/>
              <w:bottom w:w="30" w:type="dxa"/>
              <w:right w:w="20" w:type="dxa"/>
            </w:tcMar>
            <w:vAlign w:val="bottom"/>
            <w:hideMark/>
          </w:tcPr>
          <w:p w14:paraId="76CC6BF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6F04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4C658C" w14:textId="77777777" w:rsidR="00000000" w:rsidRDefault="000A3118">
            <w:pPr>
              <w:jc w:val="right"/>
              <w:rPr>
                <w:rFonts w:eastAsia="Times New Roman"/>
              </w:rPr>
            </w:pPr>
            <w:r>
              <w:rPr>
                <w:rFonts w:eastAsia="Times New Roman"/>
                <w:color w:val="000000"/>
                <w:sz w:val="16"/>
                <w:szCs w:val="16"/>
              </w:rPr>
              <w:t>66.4 </w:t>
            </w:r>
          </w:p>
        </w:tc>
        <w:tc>
          <w:tcPr>
            <w:tcW w:w="0" w:type="auto"/>
            <w:shd w:val="clear" w:color="auto" w:fill="CCEEFF"/>
            <w:tcMar>
              <w:top w:w="30" w:type="dxa"/>
              <w:left w:w="0" w:type="dxa"/>
              <w:bottom w:w="30" w:type="dxa"/>
              <w:right w:w="20" w:type="dxa"/>
            </w:tcMar>
            <w:vAlign w:val="bottom"/>
            <w:hideMark/>
          </w:tcPr>
          <w:p w14:paraId="1AE0ADF0" w14:textId="77777777" w:rsidR="00000000" w:rsidRDefault="000A3118">
            <w:pPr>
              <w:jc w:val="right"/>
              <w:rPr>
                <w:rFonts w:eastAsia="Times New Roman"/>
              </w:rPr>
            </w:pPr>
          </w:p>
        </w:tc>
      </w:tr>
      <w:tr w:rsidR="00000000" w14:paraId="00D05BDF" w14:textId="77777777">
        <w:trPr>
          <w:divId w:val="1877042328"/>
          <w:trHeight w:val="24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413CCB4"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A0ECF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B03FFD"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93887A"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E799AC"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FFF1DCC"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26EB70"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22DBD7"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5588AC5" w14:textId="77777777" w:rsidR="00000000" w:rsidRDefault="000A3118">
            <w:pPr>
              <w:rPr>
                <w:rFonts w:eastAsia="Times New Roman"/>
                <w:sz w:val="20"/>
                <w:szCs w:val="20"/>
              </w:rPr>
            </w:pPr>
          </w:p>
        </w:tc>
      </w:tr>
      <w:tr w:rsidR="00000000" w14:paraId="3FBBFF87" w14:textId="77777777">
        <w:trPr>
          <w:divId w:val="1877042328"/>
        </w:trPr>
        <w:tc>
          <w:tcPr>
            <w:tcW w:w="0" w:type="auto"/>
            <w:gridSpan w:val="3"/>
            <w:shd w:val="clear" w:color="auto" w:fill="CCEEFF"/>
            <w:tcMar>
              <w:top w:w="30" w:type="dxa"/>
              <w:left w:w="20" w:type="dxa"/>
              <w:bottom w:w="30" w:type="dxa"/>
              <w:right w:w="20" w:type="dxa"/>
            </w:tcMar>
            <w:vAlign w:val="bottom"/>
            <w:hideMark/>
          </w:tcPr>
          <w:p w14:paraId="5461253F" w14:textId="77777777" w:rsidR="00000000" w:rsidRDefault="000A3118">
            <w:pPr>
              <w:rPr>
                <w:rFonts w:eastAsia="Times New Roman"/>
              </w:rPr>
            </w:pPr>
            <w:r>
              <w:rPr>
                <w:rFonts w:eastAsia="Times New Roman"/>
                <w:color w:val="000000"/>
                <w:sz w:val="16"/>
                <w:szCs w:val="16"/>
              </w:rPr>
              <w:t>Diluted earnings per common share</w:t>
            </w:r>
          </w:p>
        </w:tc>
        <w:tc>
          <w:tcPr>
            <w:tcW w:w="0" w:type="auto"/>
            <w:gridSpan w:val="3"/>
            <w:shd w:val="clear" w:color="auto" w:fill="CCEEFF"/>
            <w:tcMar>
              <w:top w:w="0" w:type="dxa"/>
              <w:left w:w="20" w:type="dxa"/>
              <w:bottom w:w="0" w:type="dxa"/>
              <w:right w:w="20" w:type="dxa"/>
            </w:tcMar>
            <w:vAlign w:val="center"/>
            <w:hideMark/>
          </w:tcPr>
          <w:p w14:paraId="2DDEB44F" w14:textId="77777777" w:rsidR="00000000" w:rsidRDefault="000A3118">
            <w:pPr>
              <w:rPr>
                <w:rFonts w:eastAsia="Times New Roman"/>
              </w:rPr>
            </w:pPr>
          </w:p>
        </w:tc>
        <w:tc>
          <w:tcPr>
            <w:tcW w:w="0" w:type="auto"/>
            <w:shd w:val="clear" w:color="auto" w:fill="CCEEFF"/>
            <w:tcMar>
              <w:top w:w="30" w:type="dxa"/>
              <w:left w:w="20" w:type="dxa"/>
              <w:bottom w:w="30" w:type="dxa"/>
              <w:right w:w="0" w:type="dxa"/>
            </w:tcMar>
            <w:vAlign w:val="bottom"/>
            <w:hideMark/>
          </w:tcPr>
          <w:p w14:paraId="53B81882"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8911CF3" w14:textId="77777777" w:rsidR="00000000" w:rsidRDefault="000A3118">
            <w:pPr>
              <w:jc w:val="right"/>
              <w:rPr>
                <w:rFonts w:eastAsia="Times New Roman"/>
              </w:rPr>
            </w:pPr>
            <w:r>
              <w:rPr>
                <w:rFonts w:eastAsia="Times New Roman"/>
                <w:color w:val="000000"/>
                <w:sz w:val="16"/>
                <w:szCs w:val="16"/>
              </w:rPr>
              <w:t>1.29 </w:t>
            </w:r>
          </w:p>
        </w:tc>
        <w:tc>
          <w:tcPr>
            <w:tcW w:w="0" w:type="auto"/>
            <w:shd w:val="clear" w:color="auto" w:fill="CCEEFF"/>
            <w:tcMar>
              <w:top w:w="30" w:type="dxa"/>
              <w:left w:w="0" w:type="dxa"/>
              <w:bottom w:w="30" w:type="dxa"/>
              <w:right w:w="20" w:type="dxa"/>
            </w:tcMar>
            <w:vAlign w:val="bottom"/>
            <w:hideMark/>
          </w:tcPr>
          <w:p w14:paraId="52107B6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C0D0A"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6D2FEC"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AD42ACF" w14:textId="77777777" w:rsidR="00000000" w:rsidRDefault="000A3118">
            <w:pPr>
              <w:jc w:val="right"/>
              <w:rPr>
                <w:rFonts w:eastAsia="Times New Roman"/>
              </w:rPr>
            </w:pPr>
            <w:r>
              <w:rPr>
                <w:rFonts w:eastAsia="Times New Roman"/>
                <w:color w:val="000000"/>
                <w:sz w:val="16"/>
                <w:szCs w:val="16"/>
              </w:rPr>
              <w:t>0.73 </w:t>
            </w:r>
          </w:p>
        </w:tc>
        <w:tc>
          <w:tcPr>
            <w:tcW w:w="0" w:type="auto"/>
            <w:shd w:val="clear" w:color="auto" w:fill="CCEEFF"/>
            <w:tcMar>
              <w:top w:w="30" w:type="dxa"/>
              <w:left w:w="0" w:type="dxa"/>
              <w:bottom w:w="30" w:type="dxa"/>
              <w:right w:w="20" w:type="dxa"/>
            </w:tcMar>
            <w:vAlign w:val="bottom"/>
            <w:hideMark/>
          </w:tcPr>
          <w:p w14:paraId="087AF1E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F3FA6"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59B27F"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B21A141" w14:textId="77777777" w:rsidR="00000000" w:rsidRDefault="000A3118">
            <w:pPr>
              <w:jc w:val="right"/>
              <w:rPr>
                <w:rFonts w:eastAsia="Times New Roman"/>
              </w:rPr>
            </w:pPr>
            <w:r>
              <w:rPr>
                <w:rFonts w:eastAsia="Times New Roman"/>
                <w:color w:val="000000"/>
                <w:sz w:val="16"/>
                <w:szCs w:val="16"/>
              </w:rPr>
              <w:t>1.76 </w:t>
            </w:r>
          </w:p>
        </w:tc>
        <w:tc>
          <w:tcPr>
            <w:tcW w:w="0" w:type="auto"/>
            <w:shd w:val="clear" w:color="auto" w:fill="CCEEFF"/>
            <w:tcMar>
              <w:top w:w="30" w:type="dxa"/>
              <w:left w:w="0" w:type="dxa"/>
              <w:bottom w:w="30" w:type="dxa"/>
              <w:right w:w="20" w:type="dxa"/>
            </w:tcMar>
            <w:vAlign w:val="bottom"/>
            <w:hideMark/>
          </w:tcPr>
          <w:p w14:paraId="643422C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67F1D"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E74112"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CB81898" w14:textId="77777777" w:rsidR="00000000" w:rsidRDefault="000A3118">
            <w:pPr>
              <w:jc w:val="right"/>
              <w:rPr>
                <w:rFonts w:eastAsia="Times New Roman"/>
              </w:rPr>
            </w:pPr>
            <w:r>
              <w:rPr>
                <w:rFonts w:eastAsia="Times New Roman"/>
                <w:color w:val="000000"/>
                <w:sz w:val="16"/>
                <w:szCs w:val="16"/>
              </w:rPr>
              <w:t>1.84 </w:t>
            </w:r>
          </w:p>
        </w:tc>
        <w:tc>
          <w:tcPr>
            <w:tcW w:w="0" w:type="auto"/>
            <w:shd w:val="clear" w:color="auto" w:fill="CCEEFF"/>
            <w:tcMar>
              <w:top w:w="30" w:type="dxa"/>
              <w:left w:w="0" w:type="dxa"/>
              <w:bottom w:w="30" w:type="dxa"/>
              <w:right w:w="20" w:type="dxa"/>
            </w:tcMar>
            <w:vAlign w:val="bottom"/>
            <w:hideMark/>
          </w:tcPr>
          <w:p w14:paraId="7D945CE0" w14:textId="77777777" w:rsidR="00000000" w:rsidRDefault="000A3118">
            <w:pPr>
              <w:jc w:val="right"/>
              <w:rPr>
                <w:rFonts w:eastAsia="Times New Roman"/>
              </w:rPr>
            </w:pPr>
          </w:p>
        </w:tc>
      </w:tr>
      <w:tr w:rsidR="00000000" w14:paraId="68795F54" w14:textId="77777777">
        <w:trPr>
          <w:divId w:val="1877042328"/>
          <w:trHeight w:val="24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A46A527"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33A8B1A"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F75EA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F71065"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3CE9D4"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7E33C84"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9546E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CDF98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8EAF301" w14:textId="77777777" w:rsidR="00000000" w:rsidRDefault="000A3118">
            <w:pPr>
              <w:rPr>
                <w:rFonts w:eastAsia="Times New Roman"/>
                <w:sz w:val="20"/>
                <w:szCs w:val="20"/>
              </w:rPr>
            </w:pPr>
          </w:p>
        </w:tc>
      </w:tr>
      <w:tr w:rsidR="00000000" w14:paraId="287D9963" w14:textId="77777777">
        <w:trPr>
          <w:divId w:val="1877042328"/>
        </w:trPr>
        <w:tc>
          <w:tcPr>
            <w:tcW w:w="0" w:type="auto"/>
            <w:gridSpan w:val="3"/>
            <w:shd w:val="clear" w:color="auto" w:fill="CCEEFF"/>
            <w:tcMar>
              <w:top w:w="30" w:type="dxa"/>
              <w:left w:w="20" w:type="dxa"/>
              <w:bottom w:w="30" w:type="dxa"/>
              <w:right w:w="20" w:type="dxa"/>
            </w:tcMar>
            <w:vAlign w:val="bottom"/>
            <w:hideMark/>
          </w:tcPr>
          <w:p w14:paraId="134B0989" w14:textId="77777777" w:rsidR="00000000" w:rsidRDefault="000A3118">
            <w:pPr>
              <w:rPr>
                <w:rFonts w:eastAsia="Times New Roman"/>
              </w:rPr>
            </w:pPr>
            <w:r>
              <w:rPr>
                <w:rFonts w:eastAsia="Times New Roman"/>
                <w:color w:val="000000"/>
                <w:sz w:val="16"/>
                <w:szCs w:val="16"/>
              </w:rPr>
              <w:t>Diluted weighted average common shares</w:t>
            </w:r>
          </w:p>
        </w:tc>
        <w:tc>
          <w:tcPr>
            <w:tcW w:w="0" w:type="auto"/>
            <w:gridSpan w:val="3"/>
            <w:shd w:val="clear" w:color="auto" w:fill="CCEEFF"/>
            <w:tcMar>
              <w:top w:w="0" w:type="dxa"/>
              <w:left w:w="20" w:type="dxa"/>
              <w:bottom w:w="0" w:type="dxa"/>
              <w:right w:w="20" w:type="dxa"/>
            </w:tcMar>
            <w:vAlign w:val="center"/>
            <w:hideMark/>
          </w:tcPr>
          <w:p w14:paraId="40B99573"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A73DF6" w14:textId="77777777" w:rsidR="00000000" w:rsidRDefault="000A3118">
            <w:pPr>
              <w:jc w:val="right"/>
              <w:rPr>
                <w:rFonts w:eastAsia="Times New Roman"/>
              </w:rPr>
            </w:pPr>
            <w:r>
              <w:rPr>
                <w:rFonts w:eastAsia="Times New Roman"/>
                <w:color w:val="000000"/>
                <w:sz w:val="16"/>
                <w:szCs w:val="16"/>
              </w:rPr>
              <w:t>63.6 </w:t>
            </w:r>
          </w:p>
        </w:tc>
        <w:tc>
          <w:tcPr>
            <w:tcW w:w="0" w:type="auto"/>
            <w:shd w:val="clear" w:color="auto" w:fill="CCEEFF"/>
            <w:tcMar>
              <w:top w:w="30" w:type="dxa"/>
              <w:left w:w="0" w:type="dxa"/>
              <w:bottom w:w="30" w:type="dxa"/>
              <w:right w:w="20" w:type="dxa"/>
            </w:tcMar>
            <w:vAlign w:val="bottom"/>
            <w:hideMark/>
          </w:tcPr>
          <w:p w14:paraId="6D00D06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79E3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8D70A1" w14:textId="77777777" w:rsidR="00000000" w:rsidRDefault="000A3118">
            <w:pPr>
              <w:jc w:val="right"/>
              <w:rPr>
                <w:rFonts w:eastAsia="Times New Roman"/>
              </w:rPr>
            </w:pPr>
            <w:r>
              <w:rPr>
                <w:rFonts w:eastAsia="Times New Roman"/>
                <w:color w:val="000000"/>
                <w:sz w:val="16"/>
                <w:szCs w:val="16"/>
              </w:rPr>
              <w:t>65.7 </w:t>
            </w:r>
          </w:p>
        </w:tc>
        <w:tc>
          <w:tcPr>
            <w:tcW w:w="0" w:type="auto"/>
            <w:shd w:val="clear" w:color="auto" w:fill="CCEEFF"/>
            <w:tcMar>
              <w:top w:w="30" w:type="dxa"/>
              <w:left w:w="0" w:type="dxa"/>
              <w:bottom w:w="30" w:type="dxa"/>
              <w:right w:w="20" w:type="dxa"/>
            </w:tcMar>
            <w:vAlign w:val="bottom"/>
            <w:hideMark/>
          </w:tcPr>
          <w:p w14:paraId="3626C9B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5942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E15CC2" w14:textId="77777777" w:rsidR="00000000" w:rsidRDefault="000A3118">
            <w:pPr>
              <w:jc w:val="right"/>
              <w:rPr>
                <w:rFonts w:eastAsia="Times New Roman"/>
              </w:rPr>
            </w:pPr>
            <w:r>
              <w:rPr>
                <w:rFonts w:eastAsia="Times New Roman"/>
                <w:color w:val="000000"/>
                <w:sz w:val="16"/>
                <w:szCs w:val="16"/>
              </w:rPr>
              <w:t>64.1 </w:t>
            </w:r>
          </w:p>
        </w:tc>
        <w:tc>
          <w:tcPr>
            <w:tcW w:w="0" w:type="auto"/>
            <w:shd w:val="clear" w:color="auto" w:fill="CCEEFF"/>
            <w:tcMar>
              <w:top w:w="30" w:type="dxa"/>
              <w:left w:w="0" w:type="dxa"/>
              <w:bottom w:w="30" w:type="dxa"/>
              <w:right w:w="20" w:type="dxa"/>
            </w:tcMar>
            <w:vAlign w:val="bottom"/>
            <w:hideMark/>
          </w:tcPr>
          <w:p w14:paraId="2FB047F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6494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F6854F" w14:textId="77777777" w:rsidR="00000000" w:rsidRDefault="000A3118">
            <w:pPr>
              <w:jc w:val="right"/>
              <w:rPr>
                <w:rFonts w:eastAsia="Times New Roman"/>
              </w:rPr>
            </w:pPr>
            <w:r>
              <w:rPr>
                <w:rFonts w:eastAsia="Times New Roman"/>
                <w:color w:val="000000"/>
                <w:sz w:val="16"/>
                <w:szCs w:val="16"/>
              </w:rPr>
              <w:t>66.7 </w:t>
            </w:r>
          </w:p>
        </w:tc>
        <w:tc>
          <w:tcPr>
            <w:tcW w:w="0" w:type="auto"/>
            <w:shd w:val="clear" w:color="auto" w:fill="CCEEFF"/>
            <w:tcMar>
              <w:top w:w="30" w:type="dxa"/>
              <w:left w:w="0" w:type="dxa"/>
              <w:bottom w:w="30" w:type="dxa"/>
              <w:right w:w="20" w:type="dxa"/>
            </w:tcMar>
            <w:vAlign w:val="bottom"/>
            <w:hideMark/>
          </w:tcPr>
          <w:p w14:paraId="5164F0FA" w14:textId="77777777" w:rsidR="00000000" w:rsidRDefault="000A3118">
            <w:pPr>
              <w:jc w:val="right"/>
              <w:rPr>
                <w:rFonts w:eastAsia="Times New Roman"/>
              </w:rPr>
            </w:pPr>
          </w:p>
        </w:tc>
      </w:tr>
      <w:tr w:rsidR="00000000" w14:paraId="2676BB79" w14:textId="77777777">
        <w:trPr>
          <w:divId w:val="1877042328"/>
          <w:trHeight w:val="24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5723A63"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36D67C"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4CF29E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A86D74E"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1FED67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76EBFF"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548822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9B52CC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6842470" w14:textId="77777777" w:rsidR="00000000" w:rsidRDefault="000A3118">
            <w:pPr>
              <w:rPr>
                <w:rFonts w:eastAsia="Times New Roman"/>
                <w:sz w:val="20"/>
                <w:szCs w:val="20"/>
              </w:rPr>
            </w:pPr>
          </w:p>
        </w:tc>
      </w:tr>
      <w:tr w:rsidR="00000000" w14:paraId="0D8B02E8" w14:textId="77777777">
        <w:trPr>
          <w:divId w:val="1877042328"/>
        </w:trPr>
        <w:tc>
          <w:tcPr>
            <w:tcW w:w="0" w:type="auto"/>
            <w:gridSpan w:val="3"/>
            <w:shd w:val="clear" w:color="auto" w:fill="CCEEFF"/>
            <w:tcMar>
              <w:top w:w="30" w:type="dxa"/>
              <w:left w:w="20" w:type="dxa"/>
              <w:bottom w:w="30" w:type="dxa"/>
              <w:right w:w="20" w:type="dxa"/>
            </w:tcMar>
            <w:vAlign w:val="bottom"/>
            <w:hideMark/>
          </w:tcPr>
          <w:p w14:paraId="3402E22E" w14:textId="77777777" w:rsidR="00000000" w:rsidRDefault="000A3118">
            <w:pPr>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14:paraId="6DABD4A7" w14:textId="77777777" w:rsidR="00000000" w:rsidRDefault="000A3118">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409F19E" w14:textId="77777777" w:rsidR="00000000" w:rsidRDefault="000A3118">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C872A6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313A1"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C4C946" w14:textId="77777777" w:rsidR="00000000" w:rsidRDefault="000A3118">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56A6EB3" w14:textId="77777777" w:rsidR="00000000" w:rsidRDefault="000A3118">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6F25B4EC" w14:textId="77777777" w:rsidR="00000000" w:rsidRDefault="000A3118">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AB128" w14:textId="77777777" w:rsidR="00000000" w:rsidRDefault="000A3118">
            <w:pPr>
              <w:rPr>
                <w:rFonts w:eastAsia="Times New Roman"/>
                <w:sz w:val="20"/>
                <w:szCs w:val="20"/>
              </w:rPr>
            </w:pPr>
          </w:p>
        </w:tc>
      </w:tr>
      <w:tr w:rsidR="00000000" w14:paraId="7BEC8493" w14:textId="77777777">
        <w:trPr>
          <w:divId w:val="1877042328"/>
        </w:trPr>
        <w:tc>
          <w:tcPr>
            <w:tcW w:w="0" w:type="auto"/>
            <w:gridSpan w:val="3"/>
            <w:shd w:val="clear" w:color="auto" w:fill="FFFFFF"/>
            <w:tcMar>
              <w:top w:w="30" w:type="dxa"/>
              <w:left w:w="20" w:type="dxa"/>
              <w:bottom w:w="30" w:type="dxa"/>
              <w:right w:w="20" w:type="dxa"/>
            </w:tcMar>
            <w:vAlign w:val="bottom"/>
            <w:hideMark/>
          </w:tcPr>
          <w:p w14:paraId="28FB3AAD" w14:textId="77777777" w:rsidR="00000000" w:rsidRDefault="000A3118">
            <w:pPr>
              <w:rPr>
                <w:rFonts w:eastAsia="Times New Roman"/>
              </w:rPr>
            </w:pPr>
            <w:r>
              <w:rPr>
                <w:rFonts w:eastAsia="Times New Roman"/>
                <w:color w:val="000000"/>
                <w:sz w:val="16"/>
                <w:szCs w:val="16"/>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14:paraId="4906C1C2"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2344112F"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5540C86" w14:textId="77777777" w:rsidR="00000000" w:rsidRDefault="000A3118">
            <w:pPr>
              <w:jc w:val="right"/>
              <w:rPr>
                <w:rFonts w:eastAsia="Times New Roman"/>
              </w:rPr>
            </w:pPr>
            <w:r>
              <w:rPr>
                <w:rFonts w:eastAsia="Times New Roman"/>
                <w:color w:val="000000"/>
                <w:sz w:val="16"/>
                <w:szCs w:val="16"/>
              </w:rPr>
              <w:t>82.4 </w:t>
            </w:r>
          </w:p>
        </w:tc>
        <w:tc>
          <w:tcPr>
            <w:tcW w:w="0" w:type="auto"/>
            <w:shd w:val="clear" w:color="auto" w:fill="FFFFFF"/>
            <w:tcMar>
              <w:top w:w="30" w:type="dxa"/>
              <w:left w:w="0" w:type="dxa"/>
              <w:bottom w:w="30" w:type="dxa"/>
              <w:right w:w="20" w:type="dxa"/>
            </w:tcMar>
            <w:vAlign w:val="bottom"/>
            <w:hideMark/>
          </w:tcPr>
          <w:p w14:paraId="047118F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8977A"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37D692"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22F822D" w14:textId="77777777" w:rsidR="00000000" w:rsidRDefault="000A3118">
            <w:pPr>
              <w:jc w:val="right"/>
              <w:rPr>
                <w:rFonts w:eastAsia="Times New Roman"/>
              </w:rPr>
            </w:pPr>
            <w:r>
              <w:rPr>
                <w:rFonts w:eastAsia="Times New Roman"/>
                <w:color w:val="000000"/>
                <w:sz w:val="16"/>
                <w:szCs w:val="16"/>
              </w:rPr>
              <w:t>49.4 </w:t>
            </w:r>
          </w:p>
        </w:tc>
        <w:tc>
          <w:tcPr>
            <w:tcW w:w="0" w:type="auto"/>
            <w:shd w:val="clear" w:color="auto" w:fill="FFFFFF"/>
            <w:tcMar>
              <w:top w:w="30" w:type="dxa"/>
              <w:left w:w="0" w:type="dxa"/>
              <w:bottom w:w="30" w:type="dxa"/>
              <w:right w:w="20" w:type="dxa"/>
            </w:tcMar>
            <w:vAlign w:val="bottom"/>
            <w:hideMark/>
          </w:tcPr>
          <w:p w14:paraId="43A1A86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55546"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653592"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1C50564" w14:textId="77777777" w:rsidR="00000000" w:rsidRDefault="000A3118">
            <w:pPr>
              <w:jc w:val="right"/>
              <w:rPr>
                <w:rFonts w:eastAsia="Times New Roman"/>
              </w:rPr>
            </w:pPr>
            <w:r>
              <w:rPr>
                <w:rFonts w:eastAsia="Times New Roman"/>
                <w:color w:val="000000"/>
                <w:sz w:val="16"/>
                <w:szCs w:val="16"/>
              </w:rPr>
              <w:t>113.4 </w:t>
            </w:r>
          </w:p>
        </w:tc>
        <w:tc>
          <w:tcPr>
            <w:tcW w:w="0" w:type="auto"/>
            <w:shd w:val="clear" w:color="auto" w:fill="FFFFFF"/>
            <w:tcMar>
              <w:top w:w="30" w:type="dxa"/>
              <w:left w:w="0" w:type="dxa"/>
              <w:bottom w:w="30" w:type="dxa"/>
              <w:right w:w="20" w:type="dxa"/>
            </w:tcMar>
            <w:vAlign w:val="bottom"/>
            <w:hideMark/>
          </w:tcPr>
          <w:p w14:paraId="5E6CC7F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0F5A7"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1CB8BE"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1E85041" w14:textId="77777777" w:rsidR="00000000" w:rsidRDefault="000A3118">
            <w:pPr>
              <w:jc w:val="right"/>
              <w:rPr>
                <w:rFonts w:eastAsia="Times New Roman"/>
              </w:rPr>
            </w:pPr>
            <w:r>
              <w:rPr>
                <w:rFonts w:eastAsia="Times New Roman"/>
                <w:color w:val="000000"/>
                <w:sz w:val="16"/>
                <w:szCs w:val="16"/>
              </w:rPr>
              <w:t>124.3 </w:t>
            </w:r>
          </w:p>
        </w:tc>
        <w:tc>
          <w:tcPr>
            <w:tcW w:w="0" w:type="auto"/>
            <w:shd w:val="clear" w:color="auto" w:fill="FFFFFF"/>
            <w:tcMar>
              <w:top w:w="30" w:type="dxa"/>
              <w:left w:w="0" w:type="dxa"/>
              <w:bottom w:w="30" w:type="dxa"/>
              <w:right w:w="20" w:type="dxa"/>
            </w:tcMar>
            <w:vAlign w:val="bottom"/>
            <w:hideMark/>
          </w:tcPr>
          <w:p w14:paraId="485B9193" w14:textId="77777777" w:rsidR="00000000" w:rsidRDefault="000A3118">
            <w:pPr>
              <w:jc w:val="right"/>
              <w:rPr>
                <w:rFonts w:eastAsia="Times New Roman"/>
              </w:rPr>
            </w:pPr>
          </w:p>
        </w:tc>
      </w:tr>
      <w:tr w:rsidR="00000000" w14:paraId="4234D86D" w14:textId="77777777">
        <w:trPr>
          <w:divId w:val="18770423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A6F9E2" w14:textId="77777777" w:rsidR="00000000" w:rsidRDefault="000A3118">
            <w:pPr>
              <w:rPr>
                <w:rFonts w:eastAsia="Times New Roman"/>
              </w:rPr>
            </w:pPr>
            <w:r>
              <w:rPr>
                <w:rFonts w:eastAsia="Times New Roman"/>
                <w:color w:val="000000"/>
                <w:sz w:val="16"/>
                <w:szCs w:val="16"/>
              </w:rPr>
              <w:t>Other comprehensive income (loss):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CD1DF5" w14:textId="77777777" w:rsidR="00000000" w:rsidRDefault="000A3118">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030516" w14:textId="77777777" w:rsidR="00000000" w:rsidRDefault="000A3118">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E708F7"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34FBBC1" w14:textId="77777777" w:rsidR="00000000" w:rsidRDefault="000A3118">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E2B4A8"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3946D4" w14:textId="77777777" w:rsidR="00000000" w:rsidRDefault="000A3118">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5F1CE4"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E4238E" w14:textId="77777777" w:rsidR="00000000" w:rsidRDefault="000A3118">
            <w:pPr>
              <w:rPr>
                <w:rFonts w:eastAsia="Times New Roman"/>
                <w:sz w:val="20"/>
                <w:szCs w:val="20"/>
              </w:rPr>
            </w:pPr>
          </w:p>
        </w:tc>
      </w:tr>
      <w:tr w:rsidR="00000000" w14:paraId="7A299951" w14:textId="77777777">
        <w:trPr>
          <w:divId w:val="1877042328"/>
        </w:trPr>
        <w:tc>
          <w:tcPr>
            <w:tcW w:w="0" w:type="auto"/>
            <w:gridSpan w:val="3"/>
            <w:shd w:val="clear" w:color="auto" w:fill="FFFFFF"/>
            <w:tcMar>
              <w:top w:w="30" w:type="dxa"/>
              <w:left w:w="135" w:type="dxa"/>
              <w:bottom w:w="30" w:type="dxa"/>
              <w:right w:w="20" w:type="dxa"/>
            </w:tcMar>
            <w:vAlign w:val="bottom"/>
            <w:hideMark/>
          </w:tcPr>
          <w:p w14:paraId="005F9F46" w14:textId="77777777" w:rsidR="00000000" w:rsidRDefault="000A3118">
            <w:pPr>
              <w:rPr>
                <w:rFonts w:eastAsia="Times New Roman"/>
              </w:rPr>
            </w:pPr>
            <w:r>
              <w:rPr>
                <w:rFonts w:eastAsia="Times New Roman"/>
                <w:color w:val="000000"/>
                <w:sz w:val="16"/>
                <w:szCs w:val="16"/>
              </w:rPr>
              <w:t>Foreign currency translation adjustments</w:t>
            </w:r>
          </w:p>
        </w:tc>
        <w:tc>
          <w:tcPr>
            <w:tcW w:w="0" w:type="auto"/>
            <w:gridSpan w:val="3"/>
            <w:shd w:val="clear" w:color="auto" w:fill="FFFFFF"/>
            <w:tcMar>
              <w:top w:w="0" w:type="dxa"/>
              <w:left w:w="20" w:type="dxa"/>
              <w:bottom w:w="0" w:type="dxa"/>
              <w:right w:w="20" w:type="dxa"/>
            </w:tcMar>
            <w:vAlign w:val="center"/>
            <w:hideMark/>
          </w:tcPr>
          <w:p w14:paraId="6F6DF374"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219DBA" w14:textId="77777777" w:rsidR="00000000" w:rsidRDefault="000A3118">
            <w:pPr>
              <w:jc w:val="right"/>
              <w:rPr>
                <w:rFonts w:eastAsia="Times New Roman"/>
              </w:rPr>
            </w:pPr>
            <w:r>
              <w:rPr>
                <w:rFonts w:eastAsia="Times New Roman"/>
                <w:color w:val="000000"/>
                <w:sz w:val="16"/>
                <w:szCs w:val="16"/>
              </w:rPr>
              <w:t>15.1 </w:t>
            </w:r>
          </w:p>
        </w:tc>
        <w:tc>
          <w:tcPr>
            <w:tcW w:w="0" w:type="auto"/>
            <w:shd w:val="clear" w:color="auto" w:fill="FFFFFF"/>
            <w:tcMar>
              <w:top w:w="30" w:type="dxa"/>
              <w:left w:w="0" w:type="dxa"/>
              <w:bottom w:w="30" w:type="dxa"/>
              <w:right w:w="20" w:type="dxa"/>
            </w:tcMar>
            <w:vAlign w:val="bottom"/>
            <w:hideMark/>
          </w:tcPr>
          <w:p w14:paraId="6CACE91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76451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5260D" w14:textId="77777777" w:rsidR="00000000" w:rsidRDefault="000A3118">
            <w:pPr>
              <w:jc w:val="right"/>
              <w:rPr>
                <w:rFonts w:eastAsia="Times New Roman"/>
              </w:rPr>
            </w:pPr>
            <w:r>
              <w:rPr>
                <w:rFonts w:eastAsia="Times New Roman"/>
                <w:color w:val="000000"/>
                <w:sz w:val="16"/>
                <w:szCs w:val="16"/>
              </w:rPr>
              <w:t>(11.5)</w:t>
            </w:r>
          </w:p>
        </w:tc>
        <w:tc>
          <w:tcPr>
            <w:tcW w:w="0" w:type="auto"/>
            <w:shd w:val="clear" w:color="auto" w:fill="FFFFFF"/>
            <w:tcMar>
              <w:top w:w="30" w:type="dxa"/>
              <w:left w:w="0" w:type="dxa"/>
              <w:bottom w:w="30" w:type="dxa"/>
              <w:right w:w="20" w:type="dxa"/>
            </w:tcMar>
            <w:vAlign w:val="bottom"/>
            <w:hideMark/>
          </w:tcPr>
          <w:p w14:paraId="3BD1780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6339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268858" w14:textId="77777777" w:rsidR="00000000" w:rsidRDefault="000A3118">
            <w:pPr>
              <w:jc w:val="right"/>
              <w:rPr>
                <w:rFonts w:eastAsia="Times New Roman"/>
              </w:rPr>
            </w:pPr>
            <w:r>
              <w:rPr>
                <w:rFonts w:eastAsia="Times New Roman"/>
                <w:color w:val="000000"/>
                <w:sz w:val="16"/>
                <w:szCs w:val="16"/>
              </w:rPr>
              <w:t>(12.9)</w:t>
            </w:r>
          </w:p>
        </w:tc>
        <w:tc>
          <w:tcPr>
            <w:tcW w:w="0" w:type="auto"/>
            <w:shd w:val="clear" w:color="auto" w:fill="FFFFFF"/>
            <w:tcMar>
              <w:top w:w="30" w:type="dxa"/>
              <w:left w:w="0" w:type="dxa"/>
              <w:bottom w:w="30" w:type="dxa"/>
              <w:right w:w="20" w:type="dxa"/>
            </w:tcMar>
            <w:vAlign w:val="bottom"/>
            <w:hideMark/>
          </w:tcPr>
          <w:p w14:paraId="764952E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F992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A35098" w14:textId="77777777" w:rsidR="00000000" w:rsidRDefault="000A3118">
            <w:pPr>
              <w:jc w:val="right"/>
              <w:rPr>
                <w:rFonts w:eastAsia="Times New Roman"/>
              </w:rPr>
            </w:pPr>
            <w:r>
              <w:rPr>
                <w:rFonts w:eastAsia="Times New Roman"/>
                <w:color w:val="000000"/>
                <w:sz w:val="16"/>
                <w:szCs w:val="16"/>
              </w:rPr>
              <w:t>(</w:t>
            </w:r>
            <w:r>
              <w:rPr>
                <w:rFonts w:eastAsia="Times New Roman"/>
                <w:color w:val="000000"/>
                <w:sz w:val="16"/>
                <w:szCs w:val="16"/>
              </w:rPr>
              <w:t>17.4)</w:t>
            </w:r>
          </w:p>
        </w:tc>
        <w:tc>
          <w:tcPr>
            <w:tcW w:w="0" w:type="auto"/>
            <w:shd w:val="clear" w:color="auto" w:fill="FFFFFF"/>
            <w:tcMar>
              <w:top w:w="30" w:type="dxa"/>
              <w:left w:w="0" w:type="dxa"/>
              <w:bottom w:w="30" w:type="dxa"/>
              <w:right w:w="20" w:type="dxa"/>
            </w:tcMar>
            <w:vAlign w:val="bottom"/>
            <w:hideMark/>
          </w:tcPr>
          <w:p w14:paraId="3957D8EC" w14:textId="77777777" w:rsidR="00000000" w:rsidRDefault="000A3118">
            <w:pPr>
              <w:jc w:val="right"/>
              <w:rPr>
                <w:rFonts w:eastAsia="Times New Roman"/>
              </w:rPr>
            </w:pPr>
          </w:p>
        </w:tc>
      </w:tr>
      <w:tr w:rsidR="00000000" w14:paraId="696D5981" w14:textId="77777777">
        <w:trPr>
          <w:divId w:val="1877042328"/>
        </w:trPr>
        <w:tc>
          <w:tcPr>
            <w:tcW w:w="0" w:type="auto"/>
            <w:gridSpan w:val="3"/>
            <w:shd w:val="clear" w:color="auto" w:fill="CCEEFF"/>
            <w:tcMar>
              <w:top w:w="30" w:type="dxa"/>
              <w:left w:w="20" w:type="dxa"/>
              <w:bottom w:w="30" w:type="dxa"/>
              <w:right w:w="20" w:type="dxa"/>
            </w:tcMar>
            <w:vAlign w:val="bottom"/>
            <w:hideMark/>
          </w:tcPr>
          <w:p w14:paraId="28EBB27C" w14:textId="77777777" w:rsidR="00000000" w:rsidRDefault="000A3118">
            <w:pPr>
              <w:divId w:val="906888577"/>
              <w:rPr>
                <w:rFonts w:eastAsia="Times New Roman"/>
              </w:rPr>
            </w:pPr>
            <w:r>
              <w:rPr>
                <w:rFonts w:eastAsia="Times New Roman"/>
                <w:color w:val="000000"/>
                <w:sz w:val="16"/>
                <w:szCs w:val="16"/>
              </w:rPr>
              <w:t>Cash flow hedges, net of income tax expense of $2.1 and expense of $2.8 for the three months ended September 30, 2020 and 2019, respectively, and net of income tax expense of $2.3 and benefit of $2.4 for the nine months ended September 30, 2020 an</w:t>
            </w:r>
            <w:r>
              <w:rPr>
                <w:rFonts w:eastAsia="Times New Roman"/>
                <w:color w:val="000000"/>
                <w:sz w:val="16"/>
                <w:szCs w:val="16"/>
              </w:rPr>
              <w:t>d 2019, respectively</w:t>
            </w:r>
          </w:p>
        </w:tc>
        <w:tc>
          <w:tcPr>
            <w:tcW w:w="0" w:type="auto"/>
            <w:gridSpan w:val="3"/>
            <w:shd w:val="clear" w:color="auto" w:fill="CCEEFF"/>
            <w:tcMar>
              <w:top w:w="0" w:type="dxa"/>
              <w:left w:w="20" w:type="dxa"/>
              <w:bottom w:w="0" w:type="dxa"/>
              <w:right w:w="20" w:type="dxa"/>
            </w:tcMar>
            <w:vAlign w:val="center"/>
            <w:hideMark/>
          </w:tcPr>
          <w:p w14:paraId="752B14D6"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CB5520" w14:textId="77777777" w:rsidR="00000000" w:rsidRDefault="000A3118">
            <w:pPr>
              <w:jc w:val="right"/>
              <w:rPr>
                <w:rFonts w:eastAsia="Times New Roman"/>
              </w:rPr>
            </w:pPr>
            <w:r>
              <w:rPr>
                <w:rFonts w:eastAsia="Times New Roman"/>
                <w:color w:val="000000"/>
                <w:sz w:val="16"/>
                <w:szCs w:val="16"/>
              </w:rPr>
              <w:t>6.1 </w:t>
            </w:r>
          </w:p>
        </w:tc>
        <w:tc>
          <w:tcPr>
            <w:tcW w:w="0" w:type="auto"/>
            <w:shd w:val="clear" w:color="auto" w:fill="CCEEFF"/>
            <w:tcMar>
              <w:top w:w="30" w:type="dxa"/>
              <w:left w:w="0" w:type="dxa"/>
              <w:bottom w:w="30" w:type="dxa"/>
              <w:right w:w="20" w:type="dxa"/>
            </w:tcMar>
            <w:vAlign w:val="bottom"/>
            <w:hideMark/>
          </w:tcPr>
          <w:p w14:paraId="638D580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6251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798719" w14:textId="77777777" w:rsidR="00000000" w:rsidRDefault="000A3118">
            <w:pPr>
              <w:jc w:val="right"/>
              <w:rPr>
                <w:rFonts w:eastAsia="Times New Roman"/>
              </w:rPr>
            </w:pPr>
            <w:r>
              <w:rPr>
                <w:rFonts w:eastAsia="Times New Roman"/>
                <w:color w:val="000000"/>
                <w:sz w:val="16"/>
                <w:szCs w:val="16"/>
              </w:rPr>
              <w:t>7.9 </w:t>
            </w:r>
          </w:p>
        </w:tc>
        <w:tc>
          <w:tcPr>
            <w:tcW w:w="0" w:type="auto"/>
            <w:shd w:val="clear" w:color="auto" w:fill="CCEEFF"/>
            <w:tcMar>
              <w:top w:w="30" w:type="dxa"/>
              <w:left w:w="0" w:type="dxa"/>
              <w:bottom w:w="30" w:type="dxa"/>
              <w:right w:w="20" w:type="dxa"/>
            </w:tcMar>
            <w:vAlign w:val="bottom"/>
            <w:hideMark/>
          </w:tcPr>
          <w:p w14:paraId="4440963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F5E1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58CB2E" w14:textId="77777777" w:rsidR="00000000" w:rsidRDefault="000A3118">
            <w:pPr>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14:paraId="7B777A4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9E19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70068A" w14:textId="77777777" w:rsidR="00000000" w:rsidRDefault="000A3118">
            <w:pPr>
              <w:jc w:val="right"/>
              <w:rPr>
                <w:rFonts w:eastAsia="Times New Roman"/>
              </w:rPr>
            </w:pPr>
            <w:r>
              <w:rPr>
                <w:rFonts w:eastAsia="Times New Roman"/>
                <w:color w:val="000000"/>
                <w:sz w:val="16"/>
                <w:szCs w:val="16"/>
              </w:rPr>
              <w:t>(6.8)</w:t>
            </w:r>
          </w:p>
        </w:tc>
        <w:tc>
          <w:tcPr>
            <w:tcW w:w="0" w:type="auto"/>
            <w:shd w:val="clear" w:color="auto" w:fill="CCEEFF"/>
            <w:tcMar>
              <w:top w:w="30" w:type="dxa"/>
              <w:left w:w="0" w:type="dxa"/>
              <w:bottom w:w="30" w:type="dxa"/>
              <w:right w:w="20" w:type="dxa"/>
            </w:tcMar>
            <w:vAlign w:val="bottom"/>
            <w:hideMark/>
          </w:tcPr>
          <w:p w14:paraId="1FB7CE2D" w14:textId="77777777" w:rsidR="00000000" w:rsidRDefault="000A3118">
            <w:pPr>
              <w:jc w:val="right"/>
              <w:rPr>
                <w:rFonts w:eastAsia="Times New Roman"/>
              </w:rPr>
            </w:pPr>
          </w:p>
        </w:tc>
      </w:tr>
      <w:tr w:rsidR="00000000" w14:paraId="016550EB" w14:textId="77777777">
        <w:trPr>
          <w:divId w:val="187704232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30F9CCE" w14:textId="77777777" w:rsidR="00000000" w:rsidRDefault="000A3118">
            <w:pPr>
              <w:rPr>
                <w:rFonts w:eastAsia="Times New Roman"/>
              </w:rPr>
            </w:pPr>
            <w:r>
              <w:rPr>
                <w:rFonts w:eastAsia="Times New Roman"/>
                <w:color w:val="000000"/>
                <w:sz w:val="16"/>
                <w:szCs w:val="16"/>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8FF56BD"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AF6A92" w14:textId="77777777" w:rsidR="00000000" w:rsidRDefault="000A3118">
            <w:pPr>
              <w:jc w:val="right"/>
              <w:rPr>
                <w:rFonts w:eastAsia="Times New Roman"/>
              </w:rPr>
            </w:pPr>
            <w:r>
              <w:rPr>
                <w:rFonts w:eastAsia="Times New Roman"/>
                <w:color w:val="000000"/>
                <w:sz w:val="16"/>
                <w:szCs w:val="16"/>
              </w:rPr>
              <w:t>21.2 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98620A"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AF61543"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9AA074" w14:textId="77777777" w:rsidR="00000000" w:rsidRDefault="000A3118">
            <w:pPr>
              <w:jc w:val="right"/>
              <w:rPr>
                <w:rFonts w:eastAsia="Times New Roman"/>
              </w:rPr>
            </w:pPr>
            <w:r>
              <w:rPr>
                <w:rFonts w:eastAsia="Times New Roman"/>
                <w:color w:val="000000"/>
                <w:sz w:val="16"/>
                <w:szCs w:val="16"/>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0A584F"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EAA431"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A9CF4F" w14:textId="77777777" w:rsidR="00000000" w:rsidRDefault="000A3118">
            <w:pPr>
              <w:jc w:val="right"/>
              <w:rPr>
                <w:rFonts w:eastAsia="Times New Roman"/>
              </w:rPr>
            </w:pPr>
            <w:r>
              <w:rPr>
                <w:rFonts w:eastAsia="Times New Roman"/>
                <w:color w:val="000000"/>
                <w:sz w:val="16"/>
                <w:szCs w:val="16"/>
              </w:rPr>
              <w:t>(6.0)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82C592"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E22A89"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86A1F7" w14:textId="77777777" w:rsidR="00000000" w:rsidRDefault="000A3118">
            <w:pPr>
              <w:jc w:val="right"/>
              <w:rPr>
                <w:rFonts w:eastAsia="Times New Roman"/>
              </w:rPr>
            </w:pPr>
            <w:r>
              <w:rPr>
                <w:rFonts w:eastAsia="Times New Roman"/>
                <w:color w:val="000000"/>
                <w:sz w:val="16"/>
                <w:szCs w:val="16"/>
              </w:rPr>
              <w:t>(24.2)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0037B0" w14:textId="77777777" w:rsidR="00000000" w:rsidRDefault="000A3118">
            <w:pPr>
              <w:jc w:val="right"/>
              <w:rPr>
                <w:rFonts w:eastAsia="Times New Roman"/>
              </w:rPr>
            </w:pPr>
          </w:p>
        </w:tc>
      </w:tr>
      <w:tr w:rsidR="00000000" w14:paraId="431377F7" w14:textId="77777777">
        <w:trPr>
          <w:divId w:val="18770423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6DDE784" w14:textId="77777777" w:rsidR="00000000" w:rsidRDefault="000A3118">
            <w:pPr>
              <w:rPr>
                <w:rFonts w:eastAsia="Times New Roman"/>
              </w:rPr>
            </w:pPr>
            <w:r>
              <w:rPr>
                <w:rFonts w:eastAsia="Times New Roman"/>
                <w:color w:val="000000"/>
                <w:sz w:val="16"/>
                <w:szCs w:val="16"/>
              </w:rPr>
              <w:t>Comprehensive income (loss) including noncontrolling interest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0789DF"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4109F6" w14:textId="77777777" w:rsidR="00000000" w:rsidRDefault="000A3118">
            <w:pPr>
              <w:jc w:val="right"/>
              <w:rPr>
                <w:rFonts w:eastAsia="Times New Roman"/>
              </w:rPr>
            </w:pPr>
            <w:r>
              <w:rPr>
                <w:rFonts w:eastAsia="Times New Roman"/>
                <w:color w:val="000000"/>
                <w:sz w:val="16"/>
                <w:szCs w:val="16"/>
              </w:rPr>
              <w:t>103.6 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2811AD"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3AD9E9"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C6A519" w14:textId="77777777" w:rsidR="00000000" w:rsidRDefault="000A3118">
            <w:pPr>
              <w:jc w:val="right"/>
              <w:rPr>
                <w:rFonts w:eastAsia="Times New Roman"/>
              </w:rPr>
            </w:pPr>
            <w:r>
              <w:rPr>
                <w:rFonts w:eastAsia="Times New Roman"/>
                <w:color w:val="000000"/>
                <w:sz w:val="16"/>
                <w:szCs w:val="16"/>
              </w:rPr>
              <w:t>45.8 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B887AD"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39B849"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5FAA73" w14:textId="77777777" w:rsidR="00000000" w:rsidRDefault="000A3118">
            <w:pPr>
              <w:jc w:val="right"/>
              <w:rPr>
                <w:rFonts w:eastAsia="Times New Roman"/>
              </w:rPr>
            </w:pPr>
            <w:r>
              <w:rPr>
                <w:rFonts w:eastAsia="Times New Roman"/>
                <w:color w:val="000000"/>
                <w:sz w:val="16"/>
                <w:szCs w:val="16"/>
              </w:rPr>
              <w:t>107.3 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1AE72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219F4C"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E91D5F" w14:textId="77777777" w:rsidR="00000000" w:rsidRDefault="000A3118">
            <w:pPr>
              <w:jc w:val="right"/>
              <w:rPr>
                <w:rFonts w:eastAsia="Times New Roman"/>
              </w:rPr>
            </w:pPr>
            <w:r>
              <w:rPr>
                <w:rFonts w:eastAsia="Times New Roman"/>
                <w:color w:val="000000"/>
                <w:sz w:val="16"/>
                <w:szCs w:val="16"/>
              </w:rPr>
              <w:t>100.1 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189B87" w14:textId="77777777" w:rsidR="00000000" w:rsidRDefault="000A3118">
            <w:pPr>
              <w:jc w:val="right"/>
              <w:rPr>
                <w:rFonts w:eastAsia="Times New Roman"/>
              </w:rPr>
            </w:pPr>
          </w:p>
        </w:tc>
      </w:tr>
      <w:tr w:rsidR="00000000" w14:paraId="2D3E8CC8" w14:textId="77777777">
        <w:trPr>
          <w:divId w:val="1877042328"/>
        </w:trPr>
        <w:tc>
          <w:tcPr>
            <w:tcW w:w="0" w:type="auto"/>
            <w:gridSpan w:val="3"/>
            <w:shd w:val="clear" w:color="auto" w:fill="FFFFFF"/>
            <w:tcMar>
              <w:top w:w="30" w:type="dxa"/>
              <w:left w:w="20" w:type="dxa"/>
              <w:bottom w:w="30" w:type="dxa"/>
              <w:right w:w="20" w:type="dxa"/>
            </w:tcMar>
            <w:vAlign w:val="bottom"/>
            <w:hideMark/>
          </w:tcPr>
          <w:p w14:paraId="5CEE041D" w14:textId="77777777" w:rsidR="00000000" w:rsidRDefault="000A3118">
            <w:pPr>
              <w:rPr>
                <w:rFonts w:eastAsia="Times New Roman"/>
              </w:rPr>
            </w:pPr>
            <w:r>
              <w:rPr>
                <w:rFonts w:eastAsia="Times New Roman"/>
                <w:color w:val="000000"/>
                <w:sz w:val="16"/>
                <w:szCs w:val="16"/>
              </w:rPr>
              <w:lastRenderedPageBreak/>
              <w:t>Comprehensive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14:paraId="3220AE05"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C0B55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DFA3F1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53702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0292B6" w14:textId="77777777" w:rsidR="00000000" w:rsidRDefault="000A3118">
            <w:pPr>
              <w:jc w:val="right"/>
              <w:rPr>
                <w:rFonts w:eastAsia="Times New Roman"/>
              </w:rPr>
            </w:pPr>
            <w:r>
              <w:rPr>
                <w:rFonts w:eastAsia="Times New Roman"/>
                <w:color w:val="000000"/>
                <w:sz w:val="16"/>
                <w:szCs w:val="16"/>
              </w:rPr>
              <w:t>(0.8)</w:t>
            </w:r>
          </w:p>
        </w:tc>
        <w:tc>
          <w:tcPr>
            <w:tcW w:w="0" w:type="auto"/>
            <w:shd w:val="clear" w:color="auto" w:fill="FFFFFF"/>
            <w:tcMar>
              <w:top w:w="30" w:type="dxa"/>
              <w:left w:w="0" w:type="dxa"/>
              <w:bottom w:w="30" w:type="dxa"/>
              <w:right w:w="20" w:type="dxa"/>
            </w:tcMar>
            <w:vAlign w:val="bottom"/>
            <w:hideMark/>
          </w:tcPr>
          <w:p w14:paraId="0DC3245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55D76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34597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D57F62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C0A0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6A35D7" w14:textId="77777777" w:rsidR="00000000" w:rsidRDefault="000A3118">
            <w:pPr>
              <w:jc w:val="right"/>
              <w:rPr>
                <w:rFonts w:eastAsia="Times New Roman"/>
              </w:rPr>
            </w:pPr>
            <w:r>
              <w:rPr>
                <w:rFonts w:eastAsia="Times New Roman"/>
                <w:color w:val="000000"/>
                <w:sz w:val="16"/>
                <w:szCs w:val="16"/>
              </w:rPr>
              <w:t>(1.5)</w:t>
            </w:r>
          </w:p>
        </w:tc>
        <w:tc>
          <w:tcPr>
            <w:tcW w:w="0" w:type="auto"/>
            <w:shd w:val="clear" w:color="auto" w:fill="FFFFFF"/>
            <w:tcMar>
              <w:top w:w="30" w:type="dxa"/>
              <w:left w:w="0" w:type="dxa"/>
              <w:bottom w:w="30" w:type="dxa"/>
              <w:right w:w="20" w:type="dxa"/>
            </w:tcMar>
            <w:vAlign w:val="bottom"/>
            <w:hideMark/>
          </w:tcPr>
          <w:p w14:paraId="12A05DE3" w14:textId="77777777" w:rsidR="00000000" w:rsidRDefault="000A3118">
            <w:pPr>
              <w:jc w:val="right"/>
              <w:rPr>
                <w:rFonts w:eastAsia="Times New Roman"/>
              </w:rPr>
            </w:pPr>
          </w:p>
        </w:tc>
      </w:tr>
      <w:tr w:rsidR="00000000" w14:paraId="1504DD7E" w14:textId="77777777">
        <w:trPr>
          <w:divId w:val="1877042328"/>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53AB9ACA" w14:textId="77777777" w:rsidR="00000000" w:rsidRDefault="000A3118">
            <w:pPr>
              <w:rPr>
                <w:rFonts w:eastAsia="Times New Roman"/>
              </w:rPr>
            </w:pPr>
            <w:r>
              <w:rPr>
                <w:rFonts w:eastAsia="Times New Roman"/>
                <w:color w:val="000000"/>
                <w:sz w:val="16"/>
                <w:szCs w:val="16"/>
              </w:rPr>
              <w:t>Comprehensive income (loss) attributable to World Fuel</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95E11D1" w14:textId="77777777" w:rsidR="00000000" w:rsidRDefault="000A3118">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DE885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2176E6" w14:textId="77777777" w:rsidR="00000000" w:rsidRDefault="000A3118">
            <w:pPr>
              <w:jc w:val="right"/>
              <w:rPr>
                <w:rFonts w:eastAsia="Times New Roman"/>
              </w:rPr>
            </w:pPr>
            <w:r>
              <w:rPr>
                <w:rFonts w:eastAsia="Times New Roman"/>
                <w:color w:val="000000"/>
                <w:sz w:val="16"/>
                <w:szCs w:val="16"/>
              </w:rPr>
              <w:t>103.6 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DB5B14"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C41DC1E"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A63A2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128A92" w14:textId="77777777" w:rsidR="00000000" w:rsidRDefault="000A3118">
            <w:pPr>
              <w:jc w:val="right"/>
              <w:rPr>
                <w:rFonts w:eastAsia="Times New Roman"/>
              </w:rPr>
            </w:pPr>
            <w:r>
              <w:rPr>
                <w:rFonts w:eastAsia="Times New Roman"/>
                <w:color w:val="000000"/>
                <w:sz w:val="16"/>
                <w:szCs w:val="16"/>
              </w:rPr>
              <w:t>46.6 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5ABBB0"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ADF0EB3" w14:textId="77777777" w:rsidR="00000000" w:rsidRDefault="000A3118">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43D8F8" w14:textId="77777777" w:rsidR="00000000" w:rsidRDefault="000A3118">
            <w:pPr>
              <w:jc w:val="right"/>
              <w:rPr>
                <w:rFonts w:eastAsia="Times New Roman"/>
              </w:rPr>
            </w:pPr>
            <w:r>
              <w:rPr>
                <w:rFonts w:eastAsia="Times New Roman"/>
                <w:color w:val="000000"/>
                <w:sz w:val="16"/>
                <w:szCs w:val="16"/>
              </w:rPr>
              <w:t>107.3 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E78A2B"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8AC78ED"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A7E5C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25E5CB" w14:textId="77777777" w:rsidR="00000000" w:rsidRDefault="000A3118">
            <w:pPr>
              <w:jc w:val="right"/>
              <w:rPr>
                <w:rFonts w:eastAsia="Times New Roman"/>
              </w:rPr>
            </w:pPr>
            <w:r>
              <w:rPr>
                <w:rFonts w:eastAsia="Times New Roman"/>
                <w:color w:val="000000"/>
                <w:sz w:val="16"/>
                <w:szCs w:val="16"/>
              </w:rPr>
              <w:t>101.6 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ED7DEE" w14:textId="77777777" w:rsidR="00000000" w:rsidRDefault="000A3118">
            <w:pPr>
              <w:jc w:val="right"/>
              <w:rPr>
                <w:rFonts w:eastAsia="Times New Roman"/>
              </w:rPr>
            </w:pPr>
          </w:p>
        </w:tc>
      </w:tr>
    </w:tbl>
    <w:p w14:paraId="76B1EFEE" w14:textId="77777777" w:rsidR="00000000" w:rsidRDefault="000A3118">
      <w:pPr>
        <w:ind w:firstLine="720"/>
        <w:divId w:val="924070658"/>
        <w:rPr>
          <w:rFonts w:eastAsia="Times New Roman"/>
        </w:rPr>
      </w:pPr>
      <w:r>
        <w:rPr>
          <w:rFonts w:eastAsia="Times New Roman"/>
          <w:color w:val="000000"/>
          <w:sz w:val="20"/>
          <w:szCs w:val="20"/>
        </w:rPr>
        <w:t> </w:t>
      </w:r>
    </w:p>
    <w:p w14:paraId="234E7067" w14:textId="77777777" w:rsidR="00000000" w:rsidRDefault="000A3118">
      <w:pPr>
        <w:ind w:firstLine="720"/>
        <w:jc w:val="center"/>
        <w:rPr>
          <w:rFonts w:eastAsia="Times New Roman"/>
        </w:rPr>
      </w:pPr>
      <w:r>
        <w:rPr>
          <w:rFonts w:eastAsia="Times New Roman"/>
          <w:color w:val="000000"/>
          <w:sz w:val="20"/>
          <w:szCs w:val="20"/>
        </w:rPr>
        <w:t>The accompanying notes are an integral part of these unaudited Consolidated Financial Statements.</w:t>
      </w:r>
    </w:p>
    <w:p w14:paraId="133AEB79" w14:textId="77777777" w:rsidR="00000000" w:rsidRDefault="000A3118">
      <w:pPr>
        <w:ind w:firstLine="720"/>
        <w:divId w:val="2016766034"/>
        <w:rPr>
          <w:rFonts w:eastAsia="Times New Roman"/>
        </w:rPr>
      </w:pPr>
    </w:p>
    <w:p w14:paraId="56684271" w14:textId="77777777" w:rsidR="00000000" w:rsidRDefault="000A3118">
      <w:pPr>
        <w:jc w:val="center"/>
        <w:divId w:val="752319870"/>
        <w:rPr>
          <w:rFonts w:eastAsia="Times New Roman"/>
        </w:rPr>
      </w:pPr>
      <w:r>
        <w:rPr>
          <w:rFonts w:eastAsia="Times New Roman"/>
          <w:color w:val="000000"/>
          <w:sz w:val="20"/>
          <w:szCs w:val="20"/>
        </w:rPr>
        <w:t>2</w:t>
      </w:r>
    </w:p>
    <w:p w14:paraId="78C9DFCF" w14:textId="77777777" w:rsidR="00000000" w:rsidRDefault="000A3118">
      <w:pPr>
        <w:rPr>
          <w:rFonts w:eastAsia="Times New Roman"/>
        </w:rPr>
      </w:pPr>
      <w:r>
        <w:rPr>
          <w:rFonts w:eastAsia="Times New Roman"/>
        </w:rPr>
        <w:pict w14:anchorId="55C0D463">
          <v:rect id="_x0000_i1030" style="width:0;height:1.5pt" o:hralign="center" o:hrstd="t" o:hr="t" fillcolor="#a0a0a0" stroked="f"/>
        </w:pict>
      </w:r>
    </w:p>
    <w:p w14:paraId="739C0494" w14:textId="77777777" w:rsidR="00000000" w:rsidRDefault="000A3118">
      <w:pPr>
        <w:divId w:val="75520393"/>
        <w:rPr>
          <w:rFonts w:eastAsia="Times New Roman"/>
        </w:rPr>
      </w:pPr>
    </w:p>
    <w:p w14:paraId="43688FB0" w14:textId="77777777" w:rsidR="00000000" w:rsidRDefault="000A3118">
      <w:pPr>
        <w:jc w:val="center"/>
        <w:rPr>
          <w:rFonts w:eastAsia="Times New Roman"/>
        </w:rPr>
      </w:pPr>
      <w:r>
        <w:rPr>
          <w:rFonts w:eastAsia="Times New Roman"/>
          <w:b/>
          <w:bCs/>
          <w:color w:val="000000"/>
          <w:sz w:val="20"/>
          <w:szCs w:val="20"/>
        </w:rPr>
        <w:t>World Fuel Services Corporation</w:t>
      </w:r>
    </w:p>
    <w:p w14:paraId="1D5D1866" w14:textId="77777777" w:rsidR="00000000" w:rsidRDefault="000A3118">
      <w:pPr>
        <w:jc w:val="center"/>
        <w:rPr>
          <w:rFonts w:eastAsia="Times New Roman"/>
        </w:rPr>
      </w:pPr>
      <w:r>
        <w:rPr>
          <w:rFonts w:eastAsia="Times New Roman"/>
          <w:b/>
          <w:bCs/>
          <w:color w:val="000000"/>
          <w:sz w:val="20"/>
          <w:szCs w:val="20"/>
        </w:rPr>
        <w:t>Consolidated Statements of Shareholders’ Equity</w:t>
      </w:r>
    </w:p>
    <w:p w14:paraId="177DC325" w14:textId="77777777" w:rsidR="00000000" w:rsidRDefault="000A3118">
      <w:pPr>
        <w:jc w:val="center"/>
        <w:rPr>
          <w:rFonts w:eastAsia="Times New Roman"/>
        </w:rPr>
      </w:pPr>
      <w:r>
        <w:rPr>
          <w:rFonts w:eastAsia="Times New Roman"/>
          <w:color w:val="000000"/>
          <w:sz w:val="20"/>
          <w:szCs w:val="20"/>
        </w:rPr>
        <w:t>(Unaudited - I</w:t>
      </w:r>
      <w:r>
        <w:rPr>
          <w:rFonts w:eastAsia="Times New Roman"/>
          <w:color w:val="000000"/>
          <w:sz w:val="20"/>
          <w:szCs w:val="20"/>
        </w:rPr>
        <w:t>n millions)</w:t>
      </w:r>
    </w:p>
    <w:p w14:paraId="4EB41DDC" w14:textId="77777777" w:rsidR="00000000" w:rsidRDefault="000A3118">
      <w:pPr>
        <w:ind w:firstLine="720"/>
        <w:jc w:val="center"/>
        <w:rPr>
          <w:rFonts w:eastAsia="Times New Roman"/>
        </w:rPr>
      </w:pPr>
      <w:r>
        <w:rPr>
          <w:rFonts w:eastAsia="Times New Roman"/>
          <w:color w:val="000000"/>
          <w:sz w:val="20"/>
          <w:szCs w:val="20"/>
        </w:rPr>
        <w:t> </w:t>
      </w:r>
    </w:p>
    <w:tbl>
      <w:tblPr>
        <w:tblW w:w="4970" w:type="pct"/>
        <w:tblCellMar>
          <w:top w:w="15" w:type="dxa"/>
          <w:left w:w="15" w:type="dxa"/>
          <w:bottom w:w="15" w:type="dxa"/>
          <w:right w:w="15" w:type="dxa"/>
        </w:tblCellMar>
        <w:tblLook w:val="04A0" w:firstRow="1" w:lastRow="0" w:firstColumn="1" w:lastColumn="0" w:noHBand="0" w:noVBand="1"/>
      </w:tblPr>
      <w:tblGrid>
        <w:gridCol w:w="41"/>
        <w:gridCol w:w="1289"/>
        <w:gridCol w:w="39"/>
        <w:gridCol w:w="74"/>
        <w:gridCol w:w="364"/>
        <w:gridCol w:w="36"/>
        <w:gridCol w:w="36"/>
        <w:gridCol w:w="36"/>
        <w:gridCol w:w="36"/>
        <w:gridCol w:w="101"/>
        <w:gridCol w:w="433"/>
        <w:gridCol w:w="37"/>
        <w:gridCol w:w="36"/>
        <w:gridCol w:w="36"/>
        <w:gridCol w:w="36"/>
        <w:gridCol w:w="101"/>
        <w:gridCol w:w="553"/>
        <w:gridCol w:w="36"/>
        <w:gridCol w:w="36"/>
        <w:gridCol w:w="36"/>
        <w:gridCol w:w="36"/>
        <w:gridCol w:w="100"/>
        <w:gridCol w:w="520"/>
        <w:gridCol w:w="36"/>
        <w:gridCol w:w="36"/>
        <w:gridCol w:w="36"/>
        <w:gridCol w:w="36"/>
        <w:gridCol w:w="101"/>
        <w:gridCol w:w="874"/>
        <w:gridCol w:w="36"/>
        <w:gridCol w:w="36"/>
        <w:gridCol w:w="36"/>
        <w:gridCol w:w="36"/>
        <w:gridCol w:w="101"/>
        <w:gridCol w:w="771"/>
        <w:gridCol w:w="36"/>
        <w:gridCol w:w="36"/>
        <w:gridCol w:w="36"/>
        <w:gridCol w:w="36"/>
        <w:gridCol w:w="101"/>
        <w:gridCol w:w="843"/>
        <w:gridCol w:w="36"/>
        <w:gridCol w:w="36"/>
        <w:gridCol w:w="36"/>
        <w:gridCol w:w="36"/>
        <w:gridCol w:w="101"/>
        <w:gridCol w:w="704"/>
        <w:gridCol w:w="36"/>
      </w:tblGrid>
      <w:tr w:rsidR="00000000" w14:paraId="7426D4AE" w14:textId="77777777">
        <w:trPr>
          <w:divId w:val="1706557965"/>
        </w:trPr>
        <w:tc>
          <w:tcPr>
            <w:tcW w:w="50" w:type="pct"/>
            <w:vAlign w:val="center"/>
            <w:hideMark/>
          </w:tcPr>
          <w:p w14:paraId="6EEA5C55" w14:textId="77777777" w:rsidR="00000000" w:rsidRDefault="000A3118">
            <w:pPr>
              <w:ind w:firstLine="720"/>
              <w:jc w:val="center"/>
              <w:rPr>
                <w:rFonts w:eastAsia="Times New Roman"/>
              </w:rPr>
            </w:pPr>
          </w:p>
        </w:tc>
        <w:tc>
          <w:tcPr>
            <w:tcW w:w="1320" w:type="pct"/>
            <w:vAlign w:val="center"/>
            <w:hideMark/>
          </w:tcPr>
          <w:p w14:paraId="2FE519CC" w14:textId="77777777" w:rsidR="00000000" w:rsidRDefault="000A3118">
            <w:pPr>
              <w:rPr>
                <w:rFonts w:eastAsia="Times New Roman"/>
                <w:sz w:val="20"/>
                <w:szCs w:val="20"/>
              </w:rPr>
            </w:pPr>
          </w:p>
        </w:tc>
        <w:tc>
          <w:tcPr>
            <w:tcW w:w="5" w:type="pct"/>
            <w:vAlign w:val="center"/>
            <w:hideMark/>
          </w:tcPr>
          <w:p w14:paraId="031B76C3" w14:textId="77777777" w:rsidR="00000000" w:rsidRDefault="000A3118">
            <w:pPr>
              <w:rPr>
                <w:rFonts w:eastAsia="Times New Roman"/>
                <w:sz w:val="20"/>
                <w:szCs w:val="20"/>
              </w:rPr>
            </w:pPr>
          </w:p>
        </w:tc>
        <w:tc>
          <w:tcPr>
            <w:tcW w:w="50" w:type="pct"/>
            <w:vAlign w:val="center"/>
            <w:hideMark/>
          </w:tcPr>
          <w:p w14:paraId="4FA7CD89" w14:textId="77777777" w:rsidR="00000000" w:rsidRDefault="000A3118">
            <w:pPr>
              <w:rPr>
                <w:rFonts w:eastAsia="Times New Roman"/>
                <w:sz w:val="20"/>
                <w:szCs w:val="20"/>
              </w:rPr>
            </w:pPr>
          </w:p>
        </w:tc>
        <w:tc>
          <w:tcPr>
            <w:tcW w:w="246" w:type="pct"/>
            <w:vAlign w:val="center"/>
            <w:hideMark/>
          </w:tcPr>
          <w:p w14:paraId="7384F189" w14:textId="77777777" w:rsidR="00000000" w:rsidRDefault="000A3118">
            <w:pPr>
              <w:rPr>
                <w:rFonts w:eastAsia="Times New Roman"/>
                <w:sz w:val="20"/>
                <w:szCs w:val="20"/>
              </w:rPr>
            </w:pPr>
          </w:p>
        </w:tc>
        <w:tc>
          <w:tcPr>
            <w:tcW w:w="5" w:type="pct"/>
            <w:vAlign w:val="center"/>
            <w:hideMark/>
          </w:tcPr>
          <w:p w14:paraId="4E3313C6" w14:textId="77777777" w:rsidR="00000000" w:rsidRDefault="000A3118">
            <w:pPr>
              <w:rPr>
                <w:rFonts w:eastAsia="Times New Roman"/>
                <w:sz w:val="20"/>
                <w:szCs w:val="20"/>
              </w:rPr>
            </w:pPr>
          </w:p>
        </w:tc>
        <w:tc>
          <w:tcPr>
            <w:tcW w:w="5" w:type="pct"/>
            <w:vAlign w:val="center"/>
            <w:hideMark/>
          </w:tcPr>
          <w:p w14:paraId="188A6847" w14:textId="77777777" w:rsidR="00000000" w:rsidRDefault="000A3118">
            <w:pPr>
              <w:rPr>
                <w:rFonts w:eastAsia="Times New Roman"/>
                <w:sz w:val="20"/>
                <w:szCs w:val="20"/>
              </w:rPr>
            </w:pPr>
          </w:p>
        </w:tc>
        <w:tc>
          <w:tcPr>
            <w:tcW w:w="26" w:type="pct"/>
            <w:vAlign w:val="center"/>
            <w:hideMark/>
          </w:tcPr>
          <w:p w14:paraId="10CF1B00" w14:textId="77777777" w:rsidR="00000000" w:rsidRDefault="000A3118">
            <w:pPr>
              <w:rPr>
                <w:rFonts w:eastAsia="Times New Roman"/>
                <w:sz w:val="20"/>
                <w:szCs w:val="20"/>
              </w:rPr>
            </w:pPr>
          </w:p>
        </w:tc>
        <w:tc>
          <w:tcPr>
            <w:tcW w:w="5" w:type="pct"/>
            <w:vAlign w:val="center"/>
            <w:hideMark/>
          </w:tcPr>
          <w:p w14:paraId="744B931B" w14:textId="77777777" w:rsidR="00000000" w:rsidRDefault="000A3118">
            <w:pPr>
              <w:rPr>
                <w:rFonts w:eastAsia="Times New Roman"/>
                <w:sz w:val="20"/>
                <w:szCs w:val="20"/>
              </w:rPr>
            </w:pPr>
          </w:p>
        </w:tc>
        <w:tc>
          <w:tcPr>
            <w:tcW w:w="50" w:type="pct"/>
            <w:vAlign w:val="center"/>
            <w:hideMark/>
          </w:tcPr>
          <w:p w14:paraId="12577749" w14:textId="77777777" w:rsidR="00000000" w:rsidRDefault="000A3118">
            <w:pPr>
              <w:rPr>
                <w:rFonts w:eastAsia="Times New Roman"/>
                <w:sz w:val="20"/>
                <w:szCs w:val="20"/>
              </w:rPr>
            </w:pPr>
          </w:p>
        </w:tc>
        <w:tc>
          <w:tcPr>
            <w:tcW w:w="246" w:type="pct"/>
            <w:vAlign w:val="center"/>
            <w:hideMark/>
          </w:tcPr>
          <w:p w14:paraId="4087E464" w14:textId="77777777" w:rsidR="00000000" w:rsidRDefault="000A3118">
            <w:pPr>
              <w:rPr>
                <w:rFonts w:eastAsia="Times New Roman"/>
                <w:sz w:val="20"/>
                <w:szCs w:val="20"/>
              </w:rPr>
            </w:pPr>
          </w:p>
        </w:tc>
        <w:tc>
          <w:tcPr>
            <w:tcW w:w="5" w:type="pct"/>
            <w:vAlign w:val="center"/>
            <w:hideMark/>
          </w:tcPr>
          <w:p w14:paraId="3851A4FF" w14:textId="77777777" w:rsidR="00000000" w:rsidRDefault="000A3118">
            <w:pPr>
              <w:rPr>
                <w:rFonts w:eastAsia="Times New Roman"/>
                <w:sz w:val="20"/>
                <w:szCs w:val="20"/>
              </w:rPr>
            </w:pPr>
          </w:p>
        </w:tc>
        <w:tc>
          <w:tcPr>
            <w:tcW w:w="5" w:type="pct"/>
            <w:vAlign w:val="center"/>
            <w:hideMark/>
          </w:tcPr>
          <w:p w14:paraId="2F33AE38" w14:textId="77777777" w:rsidR="00000000" w:rsidRDefault="000A3118">
            <w:pPr>
              <w:rPr>
                <w:rFonts w:eastAsia="Times New Roman"/>
                <w:sz w:val="20"/>
                <w:szCs w:val="20"/>
              </w:rPr>
            </w:pPr>
          </w:p>
        </w:tc>
        <w:tc>
          <w:tcPr>
            <w:tcW w:w="26" w:type="pct"/>
            <w:vAlign w:val="center"/>
            <w:hideMark/>
          </w:tcPr>
          <w:p w14:paraId="6CAF5D2D" w14:textId="77777777" w:rsidR="00000000" w:rsidRDefault="000A3118">
            <w:pPr>
              <w:rPr>
                <w:rFonts w:eastAsia="Times New Roman"/>
                <w:sz w:val="20"/>
                <w:szCs w:val="20"/>
              </w:rPr>
            </w:pPr>
          </w:p>
        </w:tc>
        <w:tc>
          <w:tcPr>
            <w:tcW w:w="5" w:type="pct"/>
            <w:vAlign w:val="center"/>
            <w:hideMark/>
          </w:tcPr>
          <w:p w14:paraId="1E968874" w14:textId="77777777" w:rsidR="00000000" w:rsidRDefault="000A3118">
            <w:pPr>
              <w:rPr>
                <w:rFonts w:eastAsia="Times New Roman"/>
                <w:sz w:val="20"/>
                <w:szCs w:val="20"/>
              </w:rPr>
            </w:pPr>
          </w:p>
        </w:tc>
        <w:tc>
          <w:tcPr>
            <w:tcW w:w="50" w:type="pct"/>
            <w:vAlign w:val="center"/>
            <w:hideMark/>
          </w:tcPr>
          <w:p w14:paraId="0FFD7C6C" w14:textId="77777777" w:rsidR="00000000" w:rsidRDefault="000A3118">
            <w:pPr>
              <w:rPr>
                <w:rFonts w:eastAsia="Times New Roman"/>
                <w:sz w:val="20"/>
                <w:szCs w:val="20"/>
              </w:rPr>
            </w:pPr>
          </w:p>
        </w:tc>
        <w:tc>
          <w:tcPr>
            <w:tcW w:w="364" w:type="pct"/>
            <w:vAlign w:val="center"/>
            <w:hideMark/>
          </w:tcPr>
          <w:p w14:paraId="0A9AEA25" w14:textId="77777777" w:rsidR="00000000" w:rsidRDefault="000A3118">
            <w:pPr>
              <w:rPr>
                <w:rFonts w:eastAsia="Times New Roman"/>
                <w:sz w:val="20"/>
                <w:szCs w:val="20"/>
              </w:rPr>
            </w:pPr>
          </w:p>
        </w:tc>
        <w:tc>
          <w:tcPr>
            <w:tcW w:w="5" w:type="pct"/>
            <w:vAlign w:val="center"/>
            <w:hideMark/>
          </w:tcPr>
          <w:p w14:paraId="741535AD" w14:textId="77777777" w:rsidR="00000000" w:rsidRDefault="000A3118">
            <w:pPr>
              <w:rPr>
                <w:rFonts w:eastAsia="Times New Roman"/>
                <w:sz w:val="20"/>
                <w:szCs w:val="20"/>
              </w:rPr>
            </w:pPr>
          </w:p>
        </w:tc>
        <w:tc>
          <w:tcPr>
            <w:tcW w:w="5" w:type="pct"/>
            <w:vAlign w:val="center"/>
            <w:hideMark/>
          </w:tcPr>
          <w:p w14:paraId="6CB91C70" w14:textId="77777777" w:rsidR="00000000" w:rsidRDefault="000A3118">
            <w:pPr>
              <w:rPr>
                <w:rFonts w:eastAsia="Times New Roman"/>
                <w:sz w:val="20"/>
                <w:szCs w:val="20"/>
              </w:rPr>
            </w:pPr>
          </w:p>
        </w:tc>
        <w:tc>
          <w:tcPr>
            <w:tcW w:w="26" w:type="pct"/>
            <w:vAlign w:val="center"/>
            <w:hideMark/>
          </w:tcPr>
          <w:p w14:paraId="1484F8CA" w14:textId="77777777" w:rsidR="00000000" w:rsidRDefault="000A3118">
            <w:pPr>
              <w:rPr>
                <w:rFonts w:eastAsia="Times New Roman"/>
                <w:sz w:val="20"/>
                <w:szCs w:val="20"/>
              </w:rPr>
            </w:pPr>
          </w:p>
        </w:tc>
        <w:tc>
          <w:tcPr>
            <w:tcW w:w="5" w:type="pct"/>
            <w:vAlign w:val="center"/>
            <w:hideMark/>
          </w:tcPr>
          <w:p w14:paraId="4C4919D9" w14:textId="77777777" w:rsidR="00000000" w:rsidRDefault="000A3118">
            <w:pPr>
              <w:rPr>
                <w:rFonts w:eastAsia="Times New Roman"/>
                <w:sz w:val="20"/>
                <w:szCs w:val="20"/>
              </w:rPr>
            </w:pPr>
          </w:p>
        </w:tc>
        <w:tc>
          <w:tcPr>
            <w:tcW w:w="50" w:type="pct"/>
            <w:vAlign w:val="center"/>
            <w:hideMark/>
          </w:tcPr>
          <w:p w14:paraId="2B718A14" w14:textId="77777777" w:rsidR="00000000" w:rsidRDefault="000A3118">
            <w:pPr>
              <w:rPr>
                <w:rFonts w:eastAsia="Times New Roman"/>
                <w:sz w:val="20"/>
                <w:szCs w:val="20"/>
              </w:rPr>
            </w:pPr>
          </w:p>
        </w:tc>
        <w:tc>
          <w:tcPr>
            <w:tcW w:w="297" w:type="pct"/>
            <w:vAlign w:val="center"/>
            <w:hideMark/>
          </w:tcPr>
          <w:p w14:paraId="3DCAD87D" w14:textId="77777777" w:rsidR="00000000" w:rsidRDefault="000A3118">
            <w:pPr>
              <w:rPr>
                <w:rFonts w:eastAsia="Times New Roman"/>
                <w:sz w:val="20"/>
                <w:szCs w:val="20"/>
              </w:rPr>
            </w:pPr>
          </w:p>
        </w:tc>
        <w:tc>
          <w:tcPr>
            <w:tcW w:w="5" w:type="pct"/>
            <w:vAlign w:val="center"/>
            <w:hideMark/>
          </w:tcPr>
          <w:p w14:paraId="29E0083B" w14:textId="77777777" w:rsidR="00000000" w:rsidRDefault="000A3118">
            <w:pPr>
              <w:rPr>
                <w:rFonts w:eastAsia="Times New Roman"/>
                <w:sz w:val="20"/>
                <w:szCs w:val="20"/>
              </w:rPr>
            </w:pPr>
          </w:p>
        </w:tc>
        <w:tc>
          <w:tcPr>
            <w:tcW w:w="5" w:type="pct"/>
            <w:vAlign w:val="center"/>
            <w:hideMark/>
          </w:tcPr>
          <w:p w14:paraId="12A88A97" w14:textId="77777777" w:rsidR="00000000" w:rsidRDefault="000A3118">
            <w:pPr>
              <w:rPr>
                <w:rFonts w:eastAsia="Times New Roman"/>
                <w:sz w:val="20"/>
                <w:szCs w:val="20"/>
              </w:rPr>
            </w:pPr>
          </w:p>
        </w:tc>
        <w:tc>
          <w:tcPr>
            <w:tcW w:w="26" w:type="pct"/>
            <w:vAlign w:val="center"/>
            <w:hideMark/>
          </w:tcPr>
          <w:p w14:paraId="66D97D73" w14:textId="77777777" w:rsidR="00000000" w:rsidRDefault="000A3118">
            <w:pPr>
              <w:rPr>
                <w:rFonts w:eastAsia="Times New Roman"/>
                <w:sz w:val="20"/>
                <w:szCs w:val="20"/>
              </w:rPr>
            </w:pPr>
          </w:p>
        </w:tc>
        <w:tc>
          <w:tcPr>
            <w:tcW w:w="5" w:type="pct"/>
            <w:vAlign w:val="center"/>
            <w:hideMark/>
          </w:tcPr>
          <w:p w14:paraId="40AE8044" w14:textId="77777777" w:rsidR="00000000" w:rsidRDefault="000A3118">
            <w:pPr>
              <w:rPr>
                <w:rFonts w:eastAsia="Times New Roman"/>
                <w:sz w:val="20"/>
                <w:szCs w:val="20"/>
              </w:rPr>
            </w:pPr>
          </w:p>
        </w:tc>
        <w:tc>
          <w:tcPr>
            <w:tcW w:w="50" w:type="pct"/>
            <w:vAlign w:val="center"/>
            <w:hideMark/>
          </w:tcPr>
          <w:p w14:paraId="017B823B" w14:textId="77777777" w:rsidR="00000000" w:rsidRDefault="000A3118">
            <w:pPr>
              <w:rPr>
                <w:rFonts w:eastAsia="Times New Roman"/>
                <w:sz w:val="20"/>
                <w:szCs w:val="20"/>
              </w:rPr>
            </w:pPr>
          </w:p>
        </w:tc>
        <w:tc>
          <w:tcPr>
            <w:tcW w:w="481" w:type="pct"/>
            <w:vAlign w:val="center"/>
            <w:hideMark/>
          </w:tcPr>
          <w:p w14:paraId="7A3FB685" w14:textId="77777777" w:rsidR="00000000" w:rsidRDefault="000A3118">
            <w:pPr>
              <w:rPr>
                <w:rFonts w:eastAsia="Times New Roman"/>
                <w:sz w:val="20"/>
                <w:szCs w:val="20"/>
              </w:rPr>
            </w:pPr>
          </w:p>
        </w:tc>
        <w:tc>
          <w:tcPr>
            <w:tcW w:w="5" w:type="pct"/>
            <w:vAlign w:val="center"/>
            <w:hideMark/>
          </w:tcPr>
          <w:p w14:paraId="794A0925" w14:textId="77777777" w:rsidR="00000000" w:rsidRDefault="000A3118">
            <w:pPr>
              <w:rPr>
                <w:rFonts w:eastAsia="Times New Roman"/>
                <w:sz w:val="20"/>
                <w:szCs w:val="20"/>
              </w:rPr>
            </w:pPr>
          </w:p>
        </w:tc>
        <w:tc>
          <w:tcPr>
            <w:tcW w:w="5" w:type="pct"/>
            <w:vAlign w:val="center"/>
            <w:hideMark/>
          </w:tcPr>
          <w:p w14:paraId="284DCD59" w14:textId="77777777" w:rsidR="00000000" w:rsidRDefault="000A3118">
            <w:pPr>
              <w:rPr>
                <w:rFonts w:eastAsia="Times New Roman"/>
                <w:sz w:val="20"/>
                <w:szCs w:val="20"/>
              </w:rPr>
            </w:pPr>
          </w:p>
        </w:tc>
        <w:tc>
          <w:tcPr>
            <w:tcW w:w="26" w:type="pct"/>
            <w:vAlign w:val="center"/>
            <w:hideMark/>
          </w:tcPr>
          <w:p w14:paraId="4BCBA161" w14:textId="77777777" w:rsidR="00000000" w:rsidRDefault="000A3118">
            <w:pPr>
              <w:rPr>
                <w:rFonts w:eastAsia="Times New Roman"/>
                <w:sz w:val="20"/>
                <w:szCs w:val="20"/>
              </w:rPr>
            </w:pPr>
          </w:p>
        </w:tc>
        <w:tc>
          <w:tcPr>
            <w:tcW w:w="5" w:type="pct"/>
            <w:vAlign w:val="center"/>
            <w:hideMark/>
          </w:tcPr>
          <w:p w14:paraId="5DFADC1B" w14:textId="77777777" w:rsidR="00000000" w:rsidRDefault="000A3118">
            <w:pPr>
              <w:rPr>
                <w:rFonts w:eastAsia="Times New Roman"/>
                <w:sz w:val="20"/>
                <w:szCs w:val="20"/>
              </w:rPr>
            </w:pPr>
          </w:p>
        </w:tc>
        <w:tc>
          <w:tcPr>
            <w:tcW w:w="50" w:type="pct"/>
            <w:vAlign w:val="center"/>
            <w:hideMark/>
          </w:tcPr>
          <w:p w14:paraId="7BDAD7CA" w14:textId="77777777" w:rsidR="00000000" w:rsidRDefault="000A3118">
            <w:pPr>
              <w:rPr>
                <w:rFonts w:eastAsia="Times New Roman"/>
                <w:sz w:val="20"/>
                <w:szCs w:val="20"/>
              </w:rPr>
            </w:pPr>
          </w:p>
        </w:tc>
        <w:tc>
          <w:tcPr>
            <w:tcW w:w="415" w:type="pct"/>
            <w:vAlign w:val="center"/>
            <w:hideMark/>
          </w:tcPr>
          <w:p w14:paraId="15955460" w14:textId="77777777" w:rsidR="00000000" w:rsidRDefault="000A3118">
            <w:pPr>
              <w:rPr>
                <w:rFonts w:eastAsia="Times New Roman"/>
                <w:sz w:val="20"/>
                <w:szCs w:val="20"/>
              </w:rPr>
            </w:pPr>
          </w:p>
        </w:tc>
        <w:tc>
          <w:tcPr>
            <w:tcW w:w="5" w:type="pct"/>
            <w:vAlign w:val="center"/>
            <w:hideMark/>
          </w:tcPr>
          <w:p w14:paraId="1CD2A13F" w14:textId="77777777" w:rsidR="00000000" w:rsidRDefault="000A3118">
            <w:pPr>
              <w:rPr>
                <w:rFonts w:eastAsia="Times New Roman"/>
                <w:sz w:val="20"/>
                <w:szCs w:val="20"/>
              </w:rPr>
            </w:pPr>
          </w:p>
        </w:tc>
        <w:tc>
          <w:tcPr>
            <w:tcW w:w="5" w:type="pct"/>
            <w:vAlign w:val="center"/>
            <w:hideMark/>
          </w:tcPr>
          <w:p w14:paraId="5780B478" w14:textId="77777777" w:rsidR="00000000" w:rsidRDefault="000A3118">
            <w:pPr>
              <w:rPr>
                <w:rFonts w:eastAsia="Times New Roman"/>
                <w:sz w:val="20"/>
                <w:szCs w:val="20"/>
              </w:rPr>
            </w:pPr>
          </w:p>
        </w:tc>
        <w:tc>
          <w:tcPr>
            <w:tcW w:w="26" w:type="pct"/>
            <w:vAlign w:val="center"/>
            <w:hideMark/>
          </w:tcPr>
          <w:p w14:paraId="7F983D7A" w14:textId="77777777" w:rsidR="00000000" w:rsidRDefault="000A3118">
            <w:pPr>
              <w:rPr>
                <w:rFonts w:eastAsia="Times New Roman"/>
                <w:sz w:val="20"/>
                <w:szCs w:val="20"/>
              </w:rPr>
            </w:pPr>
          </w:p>
        </w:tc>
        <w:tc>
          <w:tcPr>
            <w:tcW w:w="5" w:type="pct"/>
            <w:vAlign w:val="center"/>
            <w:hideMark/>
          </w:tcPr>
          <w:p w14:paraId="0E7B6204" w14:textId="77777777" w:rsidR="00000000" w:rsidRDefault="000A3118">
            <w:pPr>
              <w:rPr>
                <w:rFonts w:eastAsia="Times New Roman"/>
                <w:sz w:val="20"/>
                <w:szCs w:val="20"/>
              </w:rPr>
            </w:pPr>
          </w:p>
        </w:tc>
        <w:tc>
          <w:tcPr>
            <w:tcW w:w="50" w:type="pct"/>
            <w:vAlign w:val="center"/>
            <w:hideMark/>
          </w:tcPr>
          <w:p w14:paraId="2E6BEE20" w14:textId="77777777" w:rsidR="00000000" w:rsidRDefault="000A3118">
            <w:pPr>
              <w:rPr>
                <w:rFonts w:eastAsia="Times New Roman"/>
                <w:sz w:val="20"/>
                <w:szCs w:val="20"/>
              </w:rPr>
            </w:pPr>
          </w:p>
        </w:tc>
        <w:tc>
          <w:tcPr>
            <w:tcW w:w="467" w:type="pct"/>
            <w:vAlign w:val="center"/>
            <w:hideMark/>
          </w:tcPr>
          <w:p w14:paraId="7D9AFDB7" w14:textId="77777777" w:rsidR="00000000" w:rsidRDefault="000A3118">
            <w:pPr>
              <w:rPr>
                <w:rFonts w:eastAsia="Times New Roman"/>
                <w:sz w:val="20"/>
                <w:szCs w:val="20"/>
              </w:rPr>
            </w:pPr>
          </w:p>
        </w:tc>
        <w:tc>
          <w:tcPr>
            <w:tcW w:w="5" w:type="pct"/>
            <w:vAlign w:val="center"/>
            <w:hideMark/>
          </w:tcPr>
          <w:p w14:paraId="3E04493F" w14:textId="77777777" w:rsidR="00000000" w:rsidRDefault="000A3118">
            <w:pPr>
              <w:rPr>
                <w:rFonts w:eastAsia="Times New Roman"/>
                <w:sz w:val="20"/>
                <w:szCs w:val="20"/>
              </w:rPr>
            </w:pPr>
          </w:p>
        </w:tc>
        <w:tc>
          <w:tcPr>
            <w:tcW w:w="5" w:type="pct"/>
            <w:vAlign w:val="center"/>
            <w:hideMark/>
          </w:tcPr>
          <w:p w14:paraId="457AC1CA" w14:textId="77777777" w:rsidR="00000000" w:rsidRDefault="000A3118">
            <w:pPr>
              <w:rPr>
                <w:rFonts w:eastAsia="Times New Roman"/>
                <w:sz w:val="20"/>
                <w:szCs w:val="20"/>
              </w:rPr>
            </w:pPr>
          </w:p>
        </w:tc>
        <w:tc>
          <w:tcPr>
            <w:tcW w:w="26" w:type="pct"/>
            <w:vAlign w:val="center"/>
            <w:hideMark/>
          </w:tcPr>
          <w:p w14:paraId="11693C4D" w14:textId="77777777" w:rsidR="00000000" w:rsidRDefault="000A3118">
            <w:pPr>
              <w:rPr>
                <w:rFonts w:eastAsia="Times New Roman"/>
                <w:sz w:val="20"/>
                <w:szCs w:val="20"/>
              </w:rPr>
            </w:pPr>
          </w:p>
        </w:tc>
        <w:tc>
          <w:tcPr>
            <w:tcW w:w="5" w:type="pct"/>
            <w:vAlign w:val="center"/>
            <w:hideMark/>
          </w:tcPr>
          <w:p w14:paraId="0D3B0841" w14:textId="77777777" w:rsidR="00000000" w:rsidRDefault="000A3118">
            <w:pPr>
              <w:rPr>
                <w:rFonts w:eastAsia="Times New Roman"/>
                <w:sz w:val="20"/>
                <w:szCs w:val="20"/>
              </w:rPr>
            </w:pPr>
          </w:p>
        </w:tc>
        <w:tc>
          <w:tcPr>
            <w:tcW w:w="50" w:type="pct"/>
            <w:vAlign w:val="center"/>
            <w:hideMark/>
          </w:tcPr>
          <w:p w14:paraId="2CB85485" w14:textId="77777777" w:rsidR="00000000" w:rsidRDefault="000A3118">
            <w:pPr>
              <w:rPr>
                <w:rFonts w:eastAsia="Times New Roman"/>
                <w:sz w:val="20"/>
                <w:szCs w:val="20"/>
              </w:rPr>
            </w:pPr>
          </w:p>
        </w:tc>
        <w:tc>
          <w:tcPr>
            <w:tcW w:w="408" w:type="pct"/>
            <w:vAlign w:val="center"/>
            <w:hideMark/>
          </w:tcPr>
          <w:p w14:paraId="368F40EB" w14:textId="77777777" w:rsidR="00000000" w:rsidRDefault="000A3118">
            <w:pPr>
              <w:rPr>
                <w:rFonts w:eastAsia="Times New Roman"/>
                <w:sz w:val="20"/>
                <w:szCs w:val="20"/>
              </w:rPr>
            </w:pPr>
          </w:p>
        </w:tc>
        <w:tc>
          <w:tcPr>
            <w:tcW w:w="5" w:type="pct"/>
            <w:vAlign w:val="center"/>
            <w:hideMark/>
          </w:tcPr>
          <w:p w14:paraId="30BA3F9A" w14:textId="77777777" w:rsidR="00000000" w:rsidRDefault="000A3118">
            <w:pPr>
              <w:rPr>
                <w:rFonts w:eastAsia="Times New Roman"/>
                <w:sz w:val="20"/>
                <w:szCs w:val="20"/>
              </w:rPr>
            </w:pPr>
          </w:p>
        </w:tc>
      </w:tr>
      <w:tr w:rsidR="00000000" w14:paraId="767A517E" w14:textId="77777777">
        <w:trPr>
          <w:divId w:val="1706557965"/>
          <w:trHeight w:val="400"/>
        </w:trPr>
        <w:tc>
          <w:tcPr>
            <w:tcW w:w="0" w:type="auto"/>
            <w:gridSpan w:val="3"/>
            <w:tcMar>
              <w:top w:w="30" w:type="dxa"/>
              <w:left w:w="20" w:type="dxa"/>
              <w:bottom w:w="30" w:type="dxa"/>
              <w:right w:w="20" w:type="dxa"/>
            </w:tcMar>
            <w:vAlign w:val="center"/>
            <w:hideMark/>
          </w:tcPr>
          <w:p w14:paraId="10B9F9F8" w14:textId="77777777" w:rsidR="00000000" w:rsidRDefault="000A3118">
            <w:pPr>
              <w:rPr>
                <w:rFonts w:eastAsia="Times New Roman"/>
              </w:rPr>
            </w:pPr>
            <w:r>
              <w:rPr>
                <w:rFonts w:eastAsia="Times New Roman"/>
                <w:color w:val="000000"/>
                <w:sz w:val="14"/>
                <w:szCs w:val="14"/>
              </w:rPr>
              <w:t> </w:t>
            </w:r>
          </w:p>
        </w:tc>
        <w:tc>
          <w:tcPr>
            <w:tcW w:w="0" w:type="auto"/>
            <w:gridSpan w:val="9"/>
            <w:tcMar>
              <w:top w:w="30" w:type="dxa"/>
              <w:left w:w="20" w:type="dxa"/>
              <w:bottom w:w="30" w:type="dxa"/>
              <w:right w:w="20" w:type="dxa"/>
            </w:tcMar>
            <w:vAlign w:val="bottom"/>
            <w:hideMark/>
          </w:tcPr>
          <w:p w14:paraId="49B76228" w14:textId="77777777" w:rsidR="00000000" w:rsidRDefault="000A3118">
            <w:pPr>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14:paraId="1B3D61D0" w14:textId="77777777" w:rsidR="00000000" w:rsidRDefault="000A3118">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CDE34C4" w14:textId="77777777" w:rsidR="00000000" w:rsidRDefault="000A3118">
            <w:pPr>
              <w:jc w:val="center"/>
              <w:rPr>
                <w:rFonts w:eastAsia="Times New Roman"/>
              </w:rPr>
            </w:pPr>
            <w:r>
              <w:rPr>
                <w:rFonts w:eastAsia="Times New Roman"/>
                <w:b/>
                <w:bCs/>
                <w:color w:val="000000"/>
                <w:sz w:val="14"/>
                <w:szCs w:val="14"/>
              </w:rPr>
              <w:t>Capital in</w:t>
            </w:r>
            <w:r>
              <w:rPr>
                <w:rFonts w:eastAsia="Times New Roman"/>
                <w:b/>
                <w:bCs/>
                <w:color w:val="000000"/>
                <w:sz w:val="14"/>
                <w:szCs w:val="14"/>
              </w:rPr>
              <w:br/>
              <w:t>Excess of</w:t>
            </w:r>
            <w:r>
              <w:rPr>
                <w:rFonts w:eastAsia="Times New Roman"/>
                <w:b/>
                <w:bCs/>
                <w:color w:val="000000"/>
                <w:sz w:val="14"/>
                <w:szCs w:val="14"/>
              </w:rPr>
              <w:br/>
              <w:t>Par Value</w:t>
            </w:r>
          </w:p>
        </w:tc>
        <w:tc>
          <w:tcPr>
            <w:tcW w:w="0" w:type="auto"/>
            <w:gridSpan w:val="3"/>
            <w:tcMar>
              <w:top w:w="0" w:type="dxa"/>
              <w:left w:w="20" w:type="dxa"/>
              <w:bottom w:w="0" w:type="dxa"/>
              <w:right w:w="20" w:type="dxa"/>
            </w:tcMar>
            <w:vAlign w:val="center"/>
            <w:hideMark/>
          </w:tcPr>
          <w:p w14:paraId="139B12A1" w14:textId="77777777" w:rsidR="00000000" w:rsidRDefault="000A3118">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F2672A5" w14:textId="77777777" w:rsidR="00000000" w:rsidRDefault="000A3118">
            <w:pPr>
              <w:jc w:val="center"/>
              <w:rPr>
                <w:rFonts w:eastAsia="Times New Roman"/>
              </w:rPr>
            </w:pPr>
            <w:r>
              <w:rPr>
                <w:rFonts w:eastAsia="Times New Roman"/>
                <w:b/>
                <w:bCs/>
                <w:color w:val="000000"/>
                <w:sz w:val="14"/>
                <w:szCs w:val="14"/>
              </w:rPr>
              <w:t>Retained</w:t>
            </w:r>
            <w:r>
              <w:rPr>
                <w:rFonts w:eastAsia="Times New Roman"/>
                <w:b/>
                <w:bCs/>
                <w:color w:val="000000"/>
                <w:sz w:val="14"/>
                <w:szCs w:val="14"/>
              </w:rPr>
              <w:br/>
              <w:t>Earnings</w:t>
            </w:r>
          </w:p>
        </w:tc>
        <w:tc>
          <w:tcPr>
            <w:tcW w:w="0" w:type="auto"/>
            <w:gridSpan w:val="3"/>
            <w:tcMar>
              <w:top w:w="0" w:type="dxa"/>
              <w:left w:w="20" w:type="dxa"/>
              <w:bottom w:w="0" w:type="dxa"/>
              <w:right w:w="20" w:type="dxa"/>
            </w:tcMar>
            <w:vAlign w:val="center"/>
            <w:hideMark/>
          </w:tcPr>
          <w:p w14:paraId="4108FAB5" w14:textId="77777777" w:rsidR="00000000" w:rsidRDefault="000A3118">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086D8A2" w14:textId="77777777" w:rsidR="00000000" w:rsidRDefault="000A3118">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Loss</w:t>
            </w:r>
          </w:p>
        </w:tc>
        <w:tc>
          <w:tcPr>
            <w:tcW w:w="0" w:type="auto"/>
            <w:gridSpan w:val="3"/>
            <w:tcMar>
              <w:top w:w="0" w:type="dxa"/>
              <w:left w:w="20" w:type="dxa"/>
              <w:bottom w:w="0" w:type="dxa"/>
              <w:right w:w="20" w:type="dxa"/>
            </w:tcMar>
            <w:vAlign w:val="center"/>
            <w:hideMark/>
          </w:tcPr>
          <w:p w14:paraId="20318164" w14:textId="77777777" w:rsidR="00000000" w:rsidRDefault="000A3118">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63D9832" w14:textId="77777777" w:rsidR="00000000" w:rsidRDefault="000A3118">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World Fuel</w:t>
            </w:r>
            <w:r>
              <w:rPr>
                <w:rFonts w:eastAsia="Times New Roman"/>
                <w:b/>
                <w:bCs/>
                <w:color w:val="000000"/>
                <w:sz w:val="14"/>
                <w:szCs w:val="14"/>
              </w:rPr>
              <w:br/>
              <w:t>Shareholders'</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240478DA" w14:textId="77777777" w:rsidR="00000000" w:rsidRDefault="000A3118">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A9D0FFF" w14:textId="77777777" w:rsidR="00000000" w:rsidRDefault="000A3118">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 xml:space="preserve">Interest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567B8A71"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center"/>
            <w:hideMark/>
          </w:tcPr>
          <w:p w14:paraId="5C7B04F7" w14:textId="77777777" w:rsidR="00000000" w:rsidRDefault="000A3118">
            <w:pPr>
              <w:jc w:val="center"/>
              <w:rPr>
                <w:rFonts w:eastAsia="Times New Roman"/>
              </w:rPr>
            </w:pPr>
            <w:r>
              <w:rPr>
                <w:rFonts w:eastAsia="Times New Roman"/>
                <w:color w:val="000000"/>
                <w:sz w:val="20"/>
                <w:szCs w:val="20"/>
              </w:rPr>
              <w:t> </w:t>
            </w:r>
          </w:p>
        </w:tc>
      </w:tr>
      <w:tr w:rsidR="00000000" w14:paraId="4BA6C5C4" w14:textId="77777777">
        <w:trPr>
          <w:divId w:val="1706557965"/>
          <w:trHeight w:val="240"/>
        </w:trPr>
        <w:tc>
          <w:tcPr>
            <w:tcW w:w="0" w:type="auto"/>
            <w:gridSpan w:val="3"/>
            <w:tcMar>
              <w:top w:w="30" w:type="dxa"/>
              <w:left w:w="20" w:type="dxa"/>
              <w:bottom w:w="30" w:type="dxa"/>
              <w:right w:w="20" w:type="dxa"/>
            </w:tcMar>
            <w:vAlign w:val="center"/>
            <w:hideMark/>
          </w:tcPr>
          <w:p w14:paraId="4D953FD7" w14:textId="77777777" w:rsidR="00000000" w:rsidRDefault="000A3118">
            <w:pPr>
              <w:rPr>
                <w:rFonts w:eastAsia="Times New Roman"/>
              </w:rPr>
            </w:pPr>
            <w:r>
              <w:rPr>
                <w:rFonts w:eastAsia="Times New Roman"/>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71BEF8B0" w14:textId="77777777" w:rsidR="00000000" w:rsidRDefault="000A3118">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4657731F"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E8376B" w14:textId="77777777" w:rsidR="00000000" w:rsidRDefault="000A3118">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1EA2BE78" w14:textId="77777777" w:rsidR="00000000" w:rsidRDefault="000A3118">
            <w:pPr>
              <w:jc w:val="center"/>
              <w:rPr>
                <w:rFonts w:eastAsia="Times New Roman"/>
              </w:rPr>
            </w:pPr>
          </w:p>
        </w:tc>
        <w:tc>
          <w:tcPr>
            <w:tcW w:w="0" w:type="auto"/>
            <w:gridSpan w:val="3"/>
            <w:vMerge/>
            <w:vAlign w:val="center"/>
            <w:hideMark/>
          </w:tcPr>
          <w:p w14:paraId="6471B6B7"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797B825D" w14:textId="77777777" w:rsidR="00000000" w:rsidRDefault="000A3118">
            <w:pPr>
              <w:rPr>
                <w:rFonts w:eastAsia="Times New Roman"/>
                <w:sz w:val="20"/>
                <w:szCs w:val="20"/>
              </w:rPr>
            </w:pPr>
          </w:p>
        </w:tc>
        <w:tc>
          <w:tcPr>
            <w:tcW w:w="0" w:type="auto"/>
            <w:gridSpan w:val="3"/>
            <w:vMerge/>
            <w:vAlign w:val="center"/>
            <w:hideMark/>
          </w:tcPr>
          <w:p w14:paraId="12451B9B"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0040B97E" w14:textId="77777777" w:rsidR="00000000" w:rsidRDefault="000A3118">
            <w:pPr>
              <w:rPr>
                <w:rFonts w:eastAsia="Times New Roman"/>
                <w:sz w:val="20"/>
                <w:szCs w:val="20"/>
              </w:rPr>
            </w:pPr>
          </w:p>
        </w:tc>
        <w:tc>
          <w:tcPr>
            <w:tcW w:w="0" w:type="auto"/>
            <w:gridSpan w:val="3"/>
            <w:vMerge/>
            <w:vAlign w:val="center"/>
            <w:hideMark/>
          </w:tcPr>
          <w:p w14:paraId="4E18C262"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26E5F881" w14:textId="77777777" w:rsidR="00000000" w:rsidRDefault="000A3118">
            <w:pPr>
              <w:rPr>
                <w:rFonts w:eastAsia="Times New Roman"/>
                <w:sz w:val="20"/>
                <w:szCs w:val="20"/>
              </w:rPr>
            </w:pPr>
          </w:p>
        </w:tc>
        <w:tc>
          <w:tcPr>
            <w:tcW w:w="0" w:type="auto"/>
            <w:gridSpan w:val="3"/>
            <w:vMerge/>
            <w:vAlign w:val="center"/>
            <w:hideMark/>
          </w:tcPr>
          <w:p w14:paraId="5F7B38FD"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154630BB" w14:textId="77777777" w:rsidR="00000000" w:rsidRDefault="000A3118">
            <w:pPr>
              <w:rPr>
                <w:rFonts w:eastAsia="Times New Roman"/>
                <w:sz w:val="20"/>
                <w:szCs w:val="20"/>
              </w:rPr>
            </w:pPr>
          </w:p>
        </w:tc>
        <w:tc>
          <w:tcPr>
            <w:tcW w:w="0" w:type="auto"/>
            <w:gridSpan w:val="3"/>
            <w:vMerge/>
            <w:vAlign w:val="center"/>
            <w:hideMark/>
          </w:tcPr>
          <w:p w14:paraId="40C84236"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5DA0E802"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00F17F21" w14:textId="77777777" w:rsidR="00000000" w:rsidRDefault="000A3118">
            <w:pPr>
              <w:jc w:val="center"/>
              <w:rPr>
                <w:rFonts w:eastAsia="Times New Roman"/>
              </w:rPr>
            </w:pPr>
            <w:r>
              <w:rPr>
                <w:rFonts w:eastAsia="Times New Roman"/>
                <w:b/>
                <w:bCs/>
                <w:color w:val="000000"/>
                <w:sz w:val="14"/>
                <w:szCs w:val="14"/>
              </w:rPr>
              <w:t>Total Equity</w:t>
            </w:r>
          </w:p>
        </w:tc>
      </w:tr>
      <w:tr w:rsidR="000A3118" w14:paraId="790BB966" w14:textId="77777777">
        <w:trPr>
          <w:divId w:val="170655796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7FDD38F" w14:textId="77777777" w:rsidR="00000000" w:rsidRDefault="000A3118">
            <w:pPr>
              <w:rPr>
                <w:rFonts w:eastAsia="Times New Roman"/>
              </w:rPr>
            </w:pPr>
            <w:r>
              <w:rPr>
                <w:rFonts w:eastAsia="Times New Roman"/>
                <w:color w:val="000000"/>
                <w:sz w:val="16"/>
                <w:szCs w:val="16"/>
              </w:rPr>
              <w:t>Balance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A9F4B5" w14:textId="77777777" w:rsidR="00000000" w:rsidRDefault="000A3118">
            <w:pPr>
              <w:jc w:val="right"/>
              <w:rPr>
                <w:rFonts w:eastAsia="Times New Roman"/>
              </w:rPr>
            </w:pPr>
            <w:r>
              <w:rPr>
                <w:rFonts w:eastAsia="Times New Roman"/>
                <w:color w:val="000000"/>
                <w:sz w:val="16"/>
                <w:szCs w:val="16"/>
              </w:rPr>
              <w:t>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1DA2D6"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FCD8D6"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17759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05FDC3" w14:textId="77777777" w:rsidR="00000000" w:rsidRDefault="000A3118">
            <w:pPr>
              <w:jc w:val="right"/>
              <w:rPr>
                <w:rFonts w:eastAsia="Times New Roman"/>
              </w:rPr>
            </w:pPr>
            <w:r>
              <w:rPr>
                <w:rFonts w:eastAsia="Times New Roman"/>
                <w:color w:val="000000"/>
                <w:sz w:val="16"/>
                <w:szCs w:val="16"/>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E503A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C8C62C"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6776E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494B91" w14:textId="77777777" w:rsidR="00000000" w:rsidRDefault="000A3118">
            <w:pPr>
              <w:jc w:val="right"/>
              <w:rPr>
                <w:rFonts w:eastAsia="Times New Roman"/>
              </w:rPr>
            </w:pPr>
            <w:r>
              <w:rPr>
                <w:rFonts w:eastAsia="Times New Roman"/>
                <w:color w:val="000000"/>
                <w:sz w:val="16"/>
                <w:szCs w:val="16"/>
              </w:rPr>
              <w:t>274.7 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E4D6D1"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11BAEE"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3D46B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CE462C" w14:textId="77777777" w:rsidR="00000000" w:rsidRDefault="000A3118">
            <w:pPr>
              <w:jc w:val="right"/>
              <w:rPr>
                <w:rFonts w:eastAsia="Times New Roman"/>
              </w:rPr>
            </w:pPr>
            <w:r>
              <w:rPr>
                <w:rFonts w:eastAsia="Times New Roman"/>
                <w:color w:val="000000"/>
                <w:sz w:val="16"/>
                <w:szCs w:val="16"/>
              </w:rPr>
              <w:t>1,761.3 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66FD93"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1A9FFB"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78472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4DD339" w14:textId="77777777" w:rsidR="00000000" w:rsidRDefault="000A3118">
            <w:pPr>
              <w:jc w:val="right"/>
              <w:rPr>
                <w:rFonts w:eastAsia="Times New Roman"/>
              </w:rPr>
            </w:pPr>
            <w:r>
              <w:rPr>
                <w:rFonts w:eastAsia="Times New Roman"/>
                <w:color w:val="000000"/>
                <w:sz w:val="16"/>
                <w:szCs w:val="16"/>
              </w:rPr>
              <w:t>(146.3)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ACEC73"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F7E135"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87682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B4497D" w14:textId="77777777" w:rsidR="00000000" w:rsidRDefault="000A3118">
            <w:pPr>
              <w:jc w:val="right"/>
              <w:rPr>
                <w:rFonts w:eastAsia="Times New Roman"/>
              </w:rPr>
            </w:pPr>
            <w:r>
              <w:rPr>
                <w:rFonts w:eastAsia="Times New Roman"/>
                <w:color w:val="000000"/>
                <w:sz w:val="16"/>
                <w:szCs w:val="16"/>
              </w:rPr>
              <w:t>1,890.4 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73EA4B"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F02DB1"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15AF4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F0FCD3" w14:textId="77777777" w:rsidR="00000000" w:rsidRDefault="000A3118">
            <w:pPr>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1FE493"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909E89"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1EE46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2C4BC3" w14:textId="77777777" w:rsidR="00000000" w:rsidRDefault="000A3118">
            <w:pPr>
              <w:jc w:val="right"/>
              <w:rPr>
                <w:rFonts w:eastAsia="Times New Roman"/>
              </w:rPr>
            </w:pPr>
            <w:r>
              <w:rPr>
                <w:rFonts w:eastAsia="Times New Roman"/>
                <w:color w:val="000000"/>
                <w:sz w:val="16"/>
                <w:szCs w:val="16"/>
              </w:rPr>
              <w:t>1,893.9 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63283E" w14:textId="77777777" w:rsidR="00000000" w:rsidRDefault="000A3118">
            <w:pPr>
              <w:jc w:val="right"/>
              <w:rPr>
                <w:rFonts w:eastAsia="Times New Roman"/>
              </w:rPr>
            </w:pPr>
          </w:p>
        </w:tc>
      </w:tr>
      <w:tr w:rsidR="00000000" w14:paraId="2A1EF9C3" w14:textId="77777777">
        <w:trPr>
          <w:divId w:val="1706557965"/>
        </w:trPr>
        <w:tc>
          <w:tcPr>
            <w:tcW w:w="0" w:type="auto"/>
            <w:gridSpan w:val="3"/>
            <w:shd w:val="clear" w:color="auto" w:fill="FFFFFF"/>
            <w:tcMar>
              <w:top w:w="30" w:type="dxa"/>
              <w:left w:w="135" w:type="dxa"/>
              <w:bottom w:w="30" w:type="dxa"/>
              <w:right w:w="20" w:type="dxa"/>
            </w:tcMar>
            <w:vAlign w:val="bottom"/>
            <w:hideMark/>
          </w:tcPr>
          <w:p w14:paraId="51D466F4" w14:textId="77777777" w:rsidR="00000000" w:rsidRDefault="000A3118">
            <w:pPr>
              <w:rPr>
                <w:rFonts w:eastAsia="Times New Roman"/>
              </w:rPr>
            </w:pPr>
            <w:r>
              <w:rPr>
                <w:rFonts w:eastAsia="Times New Roman"/>
                <w:color w:val="000000"/>
                <w:sz w:val="16"/>
                <w:szCs w:val="16"/>
              </w:rPr>
              <w:t>Cumulative effect of change in accounting principle</w:t>
            </w:r>
          </w:p>
        </w:tc>
        <w:tc>
          <w:tcPr>
            <w:tcW w:w="0" w:type="auto"/>
            <w:gridSpan w:val="2"/>
            <w:shd w:val="clear" w:color="auto" w:fill="FFFFFF"/>
            <w:tcMar>
              <w:top w:w="30" w:type="dxa"/>
              <w:left w:w="20" w:type="dxa"/>
              <w:bottom w:w="30" w:type="dxa"/>
              <w:right w:w="0" w:type="dxa"/>
            </w:tcMar>
            <w:vAlign w:val="bottom"/>
            <w:hideMark/>
          </w:tcPr>
          <w:p w14:paraId="5C7E83D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C95C4B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7D3D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64CE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A70E81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3F68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9623F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ED882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E05F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875927" w14:textId="77777777" w:rsidR="00000000" w:rsidRDefault="000A3118">
            <w:pPr>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14:paraId="6073FC2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CDC2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B68D4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E57813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5D8D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5C046D" w14:textId="77777777" w:rsidR="00000000" w:rsidRDefault="000A3118">
            <w:pPr>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14:paraId="6222810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D6CB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0B3F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061FB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FBA6C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398DA2" w14:textId="77777777" w:rsidR="00000000" w:rsidRDefault="000A3118">
            <w:pPr>
              <w:jc w:val="right"/>
              <w:rPr>
                <w:rFonts w:eastAsia="Times New Roman"/>
              </w:rPr>
            </w:pPr>
            <w:r>
              <w:rPr>
                <w:rFonts w:eastAsia="Times New Roman"/>
                <w:color w:val="000000"/>
                <w:sz w:val="16"/>
                <w:szCs w:val="16"/>
              </w:rPr>
              <w:t>(11.1)</w:t>
            </w:r>
          </w:p>
        </w:tc>
        <w:tc>
          <w:tcPr>
            <w:tcW w:w="0" w:type="auto"/>
            <w:shd w:val="clear" w:color="auto" w:fill="FFFFFF"/>
            <w:tcMar>
              <w:top w:w="30" w:type="dxa"/>
              <w:left w:w="0" w:type="dxa"/>
              <w:bottom w:w="30" w:type="dxa"/>
              <w:right w:w="20" w:type="dxa"/>
            </w:tcMar>
            <w:vAlign w:val="bottom"/>
            <w:hideMark/>
          </w:tcPr>
          <w:p w14:paraId="60FB775C" w14:textId="77777777" w:rsidR="00000000" w:rsidRDefault="000A3118">
            <w:pPr>
              <w:jc w:val="right"/>
              <w:rPr>
                <w:rFonts w:eastAsia="Times New Roman"/>
              </w:rPr>
            </w:pPr>
          </w:p>
        </w:tc>
      </w:tr>
      <w:tr w:rsidR="00000000" w14:paraId="4D02F624" w14:textId="77777777">
        <w:trPr>
          <w:divId w:val="1706557965"/>
        </w:trPr>
        <w:tc>
          <w:tcPr>
            <w:tcW w:w="0" w:type="auto"/>
            <w:gridSpan w:val="3"/>
            <w:shd w:val="clear" w:color="auto" w:fill="CCEEFF"/>
            <w:tcMar>
              <w:top w:w="30" w:type="dxa"/>
              <w:left w:w="135" w:type="dxa"/>
              <w:bottom w:w="30" w:type="dxa"/>
              <w:right w:w="20" w:type="dxa"/>
            </w:tcMar>
            <w:vAlign w:val="bottom"/>
            <w:hideMark/>
          </w:tcPr>
          <w:p w14:paraId="0160728E" w14:textId="77777777" w:rsidR="00000000" w:rsidRDefault="000A3118">
            <w:pPr>
              <w:rPr>
                <w:rFonts w:eastAsia="Times New Roman"/>
              </w:rPr>
            </w:pPr>
            <w:r>
              <w:rPr>
                <w:rFonts w:eastAsia="Times New Roman"/>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14:paraId="6C17545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60BE55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9846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0A63A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19DC28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C8C1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D7EAB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B54081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7D24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DB6308" w14:textId="77777777" w:rsidR="00000000" w:rsidRDefault="000A3118">
            <w:pPr>
              <w:jc w:val="right"/>
              <w:rPr>
                <w:rFonts w:eastAsia="Times New Roman"/>
              </w:rPr>
            </w:pPr>
            <w:r>
              <w:rPr>
                <w:rFonts w:eastAsia="Times New Roman"/>
                <w:color w:val="000000"/>
                <w:sz w:val="16"/>
                <w:szCs w:val="16"/>
              </w:rPr>
              <w:t>41.4 </w:t>
            </w:r>
          </w:p>
        </w:tc>
        <w:tc>
          <w:tcPr>
            <w:tcW w:w="0" w:type="auto"/>
            <w:shd w:val="clear" w:color="auto" w:fill="CCEEFF"/>
            <w:tcMar>
              <w:top w:w="30" w:type="dxa"/>
              <w:left w:w="0" w:type="dxa"/>
              <w:bottom w:w="30" w:type="dxa"/>
              <w:right w:w="20" w:type="dxa"/>
            </w:tcMar>
            <w:vAlign w:val="bottom"/>
            <w:hideMark/>
          </w:tcPr>
          <w:p w14:paraId="0073174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1C64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31764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9456B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CF962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C030AF" w14:textId="77777777" w:rsidR="00000000" w:rsidRDefault="000A3118">
            <w:pPr>
              <w:jc w:val="right"/>
              <w:rPr>
                <w:rFonts w:eastAsia="Times New Roman"/>
              </w:rPr>
            </w:pPr>
            <w:r>
              <w:rPr>
                <w:rFonts w:eastAsia="Times New Roman"/>
                <w:color w:val="000000"/>
                <w:sz w:val="16"/>
                <w:szCs w:val="16"/>
              </w:rPr>
              <w:t>41.4 </w:t>
            </w:r>
          </w:p>
        </w:tc>
        <w:tc>
          <w:tcPr>
            <w:tcW w:w="0" w:type="auto"/>
            <w:shd w:val="clear" w:color="auto" w:fill="CCEEFF"/>
            <w:tcMar>
              <w:top w:w="30" w:type="dxa"/>
              <w:left w:w="0" w:type="dxa"/>
              <w:bottom w:w="30" w:type="dxa"/>
              <w:right w:w="20" w:type="dxa"/>
            </w:tcMar>
            <w:vAlign w:val="bottom"/>
            <w:hideMark/>
          </w:tcPr>
          <w:p w14:paraId="45186D3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23717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C4A477" w14:textId="77777777" w:rsidR="00000000" w:rsidRDefault="000A3118">
            <w:pPr>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vAlign w:val="bottom"/>
            <w:hideMark/>
          </w:tcPr>
          <w:p w14:paraId="51E658F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EF357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E24814" w14:textId="77777777" w:rsidR="00000000" w:rsidRDefault="000A3118">
            <w:pPr>
              <w:jc w:val="right"/>
              <w:rPr>
                <w:rFonts w:eastAsia="Times New Roman"/>
              </w:rPr>
            </w:pPr>
            <w:r>
              <w:rPr>
                <w:rFonts w:eastAsia="Times New Roman"/>
                <w:color w:val="000000"/>
                <w:sz w:val="16"/>
                <w:szCs w:val="16"/>
              </w:rPr>
              <w:t>41.6 </w:t>
            </w:r>
          </w:p>
        </w:tc>
        <w:tc>
          <w:tcPr>
            <w:tcW w:w="0" w:type="auto"/>
            <w:shd w:val="clear" w:color="auto" w:fill="CCEEFF"/>
            <w:tcMar>
              <w:top w:w="30" w:type="dxa"/>
              <w:left w:w="0" w:type="dxa"/>
              <w:bottom w:w="30" w:type="dxa"/>
              <w:right w:w="20" w:type="dxa"/>
            </w:tcMar>
            <w:vAlign w:val="bottom"/>
            <w:hideMark/>
          </w:tcPr>
          <w:p w14:paraId="36F41629" w14:textId="77777777" w:rsidR="00000000" w:rsidRDefault="000A3118">
            <w:pPr>
              <w:jc w:val="right"/>
              <w:rPr>
                <w:rFonts w:eastAsia="Times New Roman"/>
              </w:rPr>
            </w:pPr>
          </w:p>
        </w:tc>
      </w:tr>
      <w:tr w:rsidR="00000000" w14:paraId="6051C072" w14:textId="77777777">
        <w:trPr>
          <w:divId w:val="1706557965"/>
        </w:trPr>
        <w:tc>
          <w:tcPr>
            <w:tcW w:w="0" w:type="auto"/>
            <w:gridSpan w:val="3"/>
            <w:shd w:val="clear" w:color="auto" w:fill="FFFFFF"/>
            <w:tcMar>
              <w:top w:w="30" w:type="dxa"/>
              <w:left w:w="135" w:type="dxa"/>
              <w:bottom w:w="30" w:type="dxa"/>
              <w:right w:w="20" w:type="dxa"/>
            </w:tcMar>
            <w:vAlign w:val="bottom"/>
            <w:hideMark/>
          </w:tcPr>
          <w:p w14:paraId="05A9955A" w14:textId="77777777" w:rsidR="00000000" w:rsidRDefault="000A3118">
            <w:pPr>
              <w:rPr>
                <w:rFonts w:eastAsia="Times New Roman"/>
              </w:rPr>
            </w:pPr>
            <w:r>
              <w:rPr>
                <w:rFonts w:eastAsia="Times New Roman"/>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14:paraId="55D3621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967796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AA3FB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5AFF4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D00690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9873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54E47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4CE0F8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7C8B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1C50FF" w14:textId="77777777" w:rsidR="00000000" w:rsidRDefault="000A3118">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14:paraId="445C472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1F74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178E3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7B8D69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E02B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8A79AC" w14:textId="77777777" w:rsidR="00000000" w:rsidRDefault="000A3118">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14:paraId="606AA3D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D09B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0B50D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428C5A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2B1E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044BC" w14:textId="77777777" w:rsidR="00000000" w:rsidRDefault="000A3118">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14:paraId="30B9BB43" w14:textId="77777777" w:rsidR="00000000" w:rsidRDefault="000A3118">
            <w:pPr>
              <w:jc w:val="right"/>
              <w:rPr>
                <w:rFonts w:eastAsia="Times New Roman"/>
              </w:rPr>
            </w:pPr>
          </w:p>
        </w:tc>
      </w:tr>
      <w:tr w:rsidR="00000000" w14:paraId="23060B07" w14:textId="77777777">
        <w:trPr>
          <w:divId w:val="1706557965"/>
        </w:trPr>
        <w:tc>
          <w:tcPr>
            <w:tcW w:w="0" w:type="auto"/>
            <w:gridSpan w:val="3"/>
            <w:shd w:val="clear" w:color="auto" w:fill="CCEEFF"/>
            <w:tcMar>
              <w:top w:w="30" w:type="dxa"/>
              <w:left w:w="135" w:type="dxa"/>
              <w:bottom w:w="30" w:type="dxa"/>
              <w:right w:w="20" w:type="dxa"/>
            </w:tcMar>
            <w:vAlign w:val="bottom"/>
            <w:hideMark/>
          </w:tcPr>
          <w:p w14:paraId="3B50BDB7" w14:textId="77777777" w:rsidR="00000000" w:rsidRDefault="000A3118">
            <w:pPr>
              <w:rPr>
                <w:rFonts w:eastAsia="Times New Roman"/>
              </w:rPr>
            </w:pPr>
            <w:r>
              <w:rPr>
                <w:rFonts w:eastAsia="Times New Roman"/>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14:paraId="238AE95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325F8C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6E70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98E7F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C08612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82EA6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677332" w14:textId="77777777" w:rsidR="00000000" w:rsidRDefault="000A3118">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14:paraId="38BB0FB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6D56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463FF7"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B10B55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9461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D37DE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592101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80F26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E0AA18" w14:textId="77777777" w:rsidR="00000000" w:rsidRDefault="000A3118">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14:paraId="35EA2F8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E8C4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C8AD7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5B3FCF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C227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C2F271" w14:textId="77777777" w:rsidR="00000000" w:rsidRDefault="000A3118">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14:paraId="4CDBB044" w14:textId="77777777" w:rsidR="00000000" w:rsidRDefault="000A3118">
            <w:pPr>
              <w:jc w:val="right"/>
              <w:rPr>
                <w:rFonts w:eastAsia="Times New Roman"/>
              </w:rPr>
            </w:pPr>
          </w:p>
        </w:tc>
      </w:tr>
      <w:tr w:rsidR="00000000" w14:paraId="5F022039" w14:textId="77777777">
        <w:trPr>
          <w:divId w:val="1706557965"/>
        </w:trPr>
        <w:tc>
          <w:tcPr>
            <w:tcW w:w="0" w:type="auto"/>
            <w:gridSpan w:val="3"/>
            <w:shd w:val="clear" w:color="auto" w:fill="FFFFFF"/>
            <w:tcMar>
              <w:top w:w="30" w:type="dxa"/>
              <w:left w:w="135" w:type="dxa"/>
              <w:bottom w:w="30" w:type="dxa"/>
              <w:right w:w="20" w:type="dxa"/>
            </w:tcMar>
            <w:vAlign w:val="bottom"/>
            <w:hideMark/>
          </w:tcPr>
          <w:p w14:paraId="39E1DBB8" w14:textId="77777777" w:rsidR="00000000" w:rsidRDefault="000A3118">
            <w:pPr>
              <w:rPr>
                <w:rFonts w:eastAsia="Times New Roman"/>
              </w:rPr>
            </w:pPr>
            <w:r>
              <w:rPr>
                <w:rFonts w:eastAsia="Times New Roman"/>
                <w:color w:val="000000"/>
                <w:sz w:val="16"/>
                <w:szCs w:val="16"/>
              </w:rPr>
              <w:t>Issuance (cancellation) of common stock related to share-based payment awards</w:t>
            </w:r>
          </w:p>
        </w:tc>
        <w:tc>
          <w:tcPr>
            <w:tcW w:w="0" w:type="auto"/>
            <w:gridSpan w:val="2"/>
            <w:shd w:val="clear" w:color="auto" w:fill="FFFFFF"/>
            <w:tcMar>
              <w:top w:w="30" w:type="dxa"/>
              <w:left w:w="20" w:type="dxa"/>
              <w:bottom w:w="30" w:type="dxa"/>
              <w:right w:w="0" w:type="dxa"/>
            </w:tcMar>
            <w:vAlign w:val="bottom"/>
            <w:hideMark/>
          </w:tcPr>
          <w:p w14:paraId="28B6E2F5" w14:textId="77777777" w:rsidR="00000000" w:rsidRDefault="000A3118">
            <w:pPr>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14:paraId="0B2DA4E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CDC5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3E7B1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70591F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CFAB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EACD04" w14:textId="77777777" w:rsidR="00000000" w:rsidRDefault="000A3118">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39C7F56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F7B2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C3E96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DEA9C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507F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AEAD1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F337E4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0871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CA7B34" w14:textId="77777777" w:rsidR="00000000" w:rsidRDefault="000A3118">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48E5668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B7E2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32C4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F05992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110F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8566CB" w14:textId="77777777" w:rsidR="00000000" w:rsidRDefault="000A3118">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4FC54C04" w14:textId="77777777" w:rsidR="00000000" w:rsidRDefault="000A3118">
            <w:pPr>
              <w:jc w:val="right"/>
              <w:rPr>
                <w:rFonts w:eastAsia="Times New Roman"/>
              </w:rPr>
            </w:pPr>
          </w:p>
        </w:tc>
      </w:tr>
      <w:tr w:rsidR="00000000" w14:paraId="06549D43" w14:textId="77777777">
        <w:trPr>
          <w:divId w:val="1706557965"/>
        </w:trPr>
        <w:tc>
          <w:tcPr>
            <w:tcW w:w="0" w:type="auto"/>
            <w:gridSpan w:val="3"/>
            <w:shd w:val="clear" w:color="auto" w:fill="CCEEFF"/>
            <w:tcMar>
              <w:top w:w="30" w:type="dxa"/>
              <w:left w:w="135" w:type="dxa"/>
              <w:bottom w:w="30" w:type="dxa"/>
              <w:right w:w="20" w:type="dxa"/>
            </w:tcMar>
            <w:vAlign w:val="bottom"/>
            <w:hideMark/>
          </w:tcPr>
          <w:p w14:paraId="6F9B24B0" w14:textId="77777777" w:rsidR="00000000" w:rsidRDefault="000A3118">
            <w:pPr>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14:paraId="2DDB690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559EDF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AF93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06AC3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10869C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DF36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0035B4" w14:textId="77777777" w:rsidR="00000000" w:rsidRDefault="000A3118">
            <w:pPr>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14:paraId="4518F39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4A57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8DA5D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21205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2C2F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5F106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05AEA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A88C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2DE5AD" w14:textId="77777777" w:rsidR="00000000" w:rsidRDefault="000A3118">
            <w:pPr>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14:paraId="6AD0FE4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7E13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485C9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614E3B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0118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5C8D02" w14:textId="77777777" w:rsidR="00000000" w:rsidRDefault="000A3118">
            <w:pPr>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14:paraId="319A44F8" w14:textId="77777777" w:rsidR="00000000" w:rsidRDefault="000A3118">
            <w:pPr>
              <w:jc w:val="right"/>
              <w:rPr>
                <w:rFonts w:eastAsia="Times New Roman"/>
              </w:rPr>
            </w:pPr>
          </w:p>
        </w:tc>
      </w:tr>
      <w:tr w:rsidR="00000000" w14:paraId="3B73F241" w14:textId="77777777">
        <w:trPr>
          <w:divId w:val="1706557965"/>
        </w:trPr>
        <w:tc>
          <w:tcPr>
            <w:tcW w:w="0" w:type="auto"/>
            <w:gridSpan w:val="3"/>
            <w:shd w:val="clear" w:color="auto" w:fill="FFFFFF"/>
            <w:tcMar>
              <w:top w:w="30" w:type="dxa"/>
              <w:left w:w="135" w:type="dxa"/>
              <w:bottom w:w="30" w:type="dxa"/>
              <w:right w:w="20" w:type="dxa"/>
            </w:tcMar>
            <w:vAlign w:val="bottom"/>
            <w:hideMark/>
          </w:tcPr>
          <w:p w14:paraId="7721CB88" w14:textId="77777777" w:rsidR="00000000" w:rsidRDefault="000A3118">
            <w:pPr>
              <w:rPr>
                <w:rFonts w:eastAsia="Times New Roman"/>
              </w:rPr>
            </w:pPr>
            <w:r>
              <w:rPr>
                <w:rFonts w:eastAsia="Times New Roman"/>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14:paraId="668A2973" w14:textId="77777777" w:rsidR="00000000" w:rsidRDefault="000A3118">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14:paraId="5D65032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7025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61207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D2747C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A63C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D1CCB0" w14:textId="77777777" w:rsidR="00000000" w:rsidRDefault="000A3118">
            <w:pPr>
              <w:jc w:val="right"/>
              <w:rPr>
                <w:rFonts w:eastAsia="Times New Roman"/>
              </w:rPr>
            </w:pPr>
            <w:r>
              <w:rPr>
                <w:rFonts w:eastAsia="Times New Roman"/>
                <w:color w:val="000000"/>
                <w:sz w:val="16"/>
                <w:szCs w:val="16"/>
              </w:rPr>
              <w:t>(</w:t>
            </w: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14:paraId="41A6532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0E97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9A56F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506696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5F55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A13C6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9963D2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562A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58365" w14:textId="77777777" w:rsidR="00000000" w:rsidRDefault="000A3118">
            <w:pPr>
              <w:jc w:val="right"/>
              <w:rPr>
                <w:rFonts w:eastAsia="Times New Roman"/>
              </w:rPr>
            </w:pP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14:paraId="72DE896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A8B89"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D7F37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A4F1C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DB4FF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7317C" w14:textId="77777777" w:rsidR="00000000" w:rsidRDefault="000A3118">
            <w:pPr>
              <w:jc w:val="right"/>
              <w:rPr>
                <w:rFonts w:eastAsia="Times New Roman"/>
              </w:rPr>
            </w:pPr>
            <w:r>
              <w:rPr>
                <w:rFonts w:eastAsia="Times New Roman"/>
                <w:color w:val="000000"/>
                <w:sz w:val="16"/>
                <w:szCs w:val="16"/>
              </w:rPr>
              <w:t>(55.6)</w:t>
            </w:r>
          </w:p>
        </w:tc>
        <w:tc>
          <w:tcPr>
            <w:tcW w:w="0" w:type="auto"/>
            <w:shd w:val="clear" w:color="auto" w:fill="FFFFFF"/>
            <w:tcMar>
              <w:top w:w="30" w:type="dxa"/>
              <w:left w:w="0" w:type="dxa"/>
              <w:bottom w:w="30" w:type="dxa"/>
              <w:right w:w="20" w:type="dxa"/>
            </w:tcMar>
            <w:vAlign w:val="bottom"/>
            <w:hideMark/>
          </w:tcPr>
          <w:p w14:paraId="3C5246D3" w14:textId="77777777" w:rsidR="00000000" w:rsidRDefault="000A3118">
            <w:pPr>
              <w:jc w:val="right"/>
              <w:rPr>
                <w:rFonts w:eastAsia="Times New Roman"/>
              </w:rPr>
            </w:pPr>
          </w:p>
        </w:tc>
      </w:tr>
      <w:tr w:rsidR="00000000" w14:paraId="09BF368D" w14:textId="77777777">
        <w:trPr>
          <w:divId w:val="1706557965"/>
        </w:trPr>
        <w:tc>
          <w:tcPr>
            <w:tcW w:w="0" w:type="auto"/>
            <w:gridSpan w:val="3"/>
            <w:shd w:val="clear" w:color="auto" w:fill="CCEEFF"/>
            <w:tcMar>
              <w:top w:w="30" w:type="dxa"/>
              <w:left w:w="135" w:type="dxa"/>
              <w:bottom w:w="30" w:type="dxa"/>
              <w:right w:w="20" w:type="dxa"/>
            </w:tcMar>
            <w:vAlign w:val="bottom"/>
            <w:hideMark/>
          </w:tcPr>
          <w:p w14:paraId="6A218D24" w14:textId="77777777" w:rsidR="00000000" w:rsidRDefault="000A3118">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24307CA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32A5BE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4427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47E7F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89AC2C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004A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2FF7E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84716D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4048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6F9C3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AC9DC7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1CFC8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0FD12E" w14:textId="77777777" w:rsidR="00000000" w:rsidRDefault="000A3118">
            <w:pPr>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14:paraId="15D8B64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D51F6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227DF2" w14:textId="77777777" w:rsidR="00000000" w:rsidRDefault="000A3118">
            <w:pPr>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14:paraId="62468A5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6659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E3B22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636AF1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85AF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F6FD30" w14:textId="77777777" w:rsidR="00000000" w:rsidRDefault="000A3118">
            <w:pPr>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14:paraId="745C0881" w14:textId="77777777" w:rsidR="00000000" w:rsidRDefault="000A3118">
            <w:pPr>
              <w:jc w:val="right"/>
              <w:rPr>
                <w:rFonts w:eastAsia="Times New Roman"/>
              </w:rPr>
            </w:pPr>
          </w:p>
        </w:tc>
      </w:tr>
      <w:tr w:rsidR="00000000" w14:paraId="1E62C7C7" w14:textId="77777777">
        <w:trPr>
          <w:divId w:val="1706557965"/>
        </w:trPr>
        <w:tc>
          <w:tcPr>
            <w:tcW w:w="0" w:type="auto"/>
            <w:gridSpan w:val="3"/>
            <w:shd w:val="clear" w:color="auto" w:fill="FFFFFF"/>
            <w:tcMar>
              <w:top w:w="30" w:type="dxa"/>
              <w:left w:w="135" w:type="dxa"/>
              <w:bottom w:w="30" w:type="dxa"/>
              <w:right w:w="20" w:type="dxa"/>
            </w:tcMar>
            <w:vAlign w:val="bottom"/>
            <w:hideMark/>
          </w:tcPr>
          <w:p w14:paraId="079C721A" w14:textId="77777777" w:rsidR="00000000" w:rsidRDefault="000A3118">
            <w:pPr>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14:paraId="17D20FB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0B2734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DCF7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0D3CE3" w14:textId="77777777" w:rsidR="00000000" w:rsidRDefault="000A3118">
            <w:pPr>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72E5817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4AA7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2D6BC7" w14:textId="77777777" w:rsidR="00000000" w:rsidRDefault="000A3118">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028CA07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5A42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A7C76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099E40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CECFE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0B343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E058D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BCDEA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B5E56A" w14:textId="77777777" w:rsidR="00000000" w:rsidRDefault="000A3118">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392ED10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5B1E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56421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31F9B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4E1E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9A41C4" w14:textId="77777777" w:rsidR="00000000" w:rsidRDefault="000A3118">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14:paraId="60D9CB8D" w14:textId="77777777" w:rsidR="00000000" w:rsidRDefault="000A3118">
            <w:pPr>
              <w:jc w:val="right"/>
              <w:rPr>
                <w:rFonts w:eastAsia="Times New Roman"/>
              </w:rPr>
            </w:pPr>
          </w:p>
        </w:tc>
      </w:tr>
      <w:tr w:rsidR="000A3118" w14:paraId="36A4CF68" w14:textId="77777777">
        <w:trPr>
          <w:divId w:val="170655796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E96D1D1" w14:textId="77777777" w:rsidR="00000000" w:rsidRDefault="000A3118">
            <w:pPr>
              <w:rPr>
                <w:rFonts w:eastAsia="Times New Roman"/>
              </w:rPr>
            </w:pPr>
            <w:r>
              <w:rPr>
                <w:rFonts w:eastAsia="Times New Roman"/>
                <w:color w:val="000000"/>
                <w:sz w:val="16"/>
                <w:szCs w:val="16"/>
              </w:rPr>
              <w:t>Balance as of March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FC256E" w14:textId="77777777" w:rsidR="00000000" w:rsidRDefault="000A3118">
            <w:pPr>
              <w:jc w:val="right"/>
              <w:rPr>
                <w:rFonts w:eastAsia="Times New Roman"/>
              </w:rPr>
            </w:pPr>
            <w:r>
              <w:rPr>
                <w:rFonts w:eastAsia="Times New Roman"/>
                <w:color w:val="000000"/>
                <w:sz w:val="16"/>
                <w:szCs w:val="16"/>
              </w:rPr>
              <w:t>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34B306"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C49A4A"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5FC9B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C99013" w14:textId="77777777" w:rsidR="00000000" w:rsidRDefault="000A3118">
            <w:pPr>
              <w:jc w:val="right"/>
              <w:rPr>
                <w:rFonts w:eastAsia="Times New Roman"/>
              </w:rPr>
            </w:pPr>
            <w:r>
              <w:rPr>
                <w:rFonts w:eastAsia="Times New Roman"/>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A8FDA6"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178D7D"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9BD97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F36B85" w14:textId="77777777" w:rsidR="00000000" w:rsidRDefault="000A3118">
            <w:pPr>
              <w:jc w:val="right"/>
              <w:rPr>
                <w:rFonts w:eastAsia="Times New Roman"/>
              </w:rPr>
            </w:pPr>
            <w:r>
              <w:rPr>
                <w:rFonts w:eastAsia="Times New Roman"/>
                <w:color w:val="000000"/>
                <w:sz w:val="16"/>
                <w:szCs w:val="16"/>
              </w:rPr>
              <w:t>218.2 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70C8BA"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D14157"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C4822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C2841D" w14:textId="77777777" w:rsidR="00000000" w:rsidRDefault="000A3118">
            <w:pPr>
              <w:jc w:val="right"/>
              <w:rPr>
                <w:rFonts w:eastAsia="Times New Roman"/>
              </w:rPr>
            </w:pPr>
            <w:r>
              <w:rPr>
                <w:rFonts w:eastAsia="Times New Roman"/>
                <w:color w:val="000000"/>
                <w:sz w:val="16"/>
                <w:szCs w:val="16"/>
              </w:rPr>
              <w:t>1,785.1 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5313DD"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2E027E"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22634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469965" w14:textId="77777777" w:rsidR="00000000" w:rsidRDefault="000A3118">
            <w:pPr>
              <w:jc w:val="right"/>
              <w:rPr>
                <w:rFonts w:eastAsia="Times New Roman"/>
              </w:rPr>
            </w:pPr>
            <w:r>
              <w:rPr>
                <w:rFonts w:eastAsia="Times New Roman"/>
                <w:color w:val="000000"/>
                <w:sz w:val="16"/>
                <w:szCs w:val="16"/>
              </w:rPr>
              <w:t>(157.5)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7776EE"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1A6DFE"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FA618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7CFB25" w14:textId="77777777" w:rsidR="00000000" w:rsidRDefault="000A3118">
            <w:pPr>
              <w:jc w:val="right"/>
              <w:rPr>
                <w:rFonts w:eastAsia="Times New Roman"/>
              </w:rPr>
            </w:pPr>
            <w:r>
              <w:rPr>
                <w:rFonts w:eastAsia="Times New Roman"/>
                <w:color w:val="000000"/>
                <w:sz w:val="16"/>
                <w:szCs w:val="16"/>
              </w:rPr>
              <w:t>1,846.4 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BB98A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DB1854"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411F1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518CC4" w14:textId="77777777" w:rsidR="00000000" w:rsidRDefault="000A3118">
            <w:pPr>
              <w:jc w:val="right"/>
              <w:rPr>
                <w:rFonts w:eastAsia="Times New Roman"/>
              </w:rPr>
            </w:pPr>
            <w:r>
              <w:rPr>
                <w:rFonts w:eastAsia="Times New Roman"/>
                <w:color w:val="000000"/>
                <w:sz w:val="16"/>
                <w:szCs w:val="16"/>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9220E1"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04443C"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BA8C3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A2BCDB" w14:textId="77777777" w:rsidR="00000000" w:rsidRDefault="000A3118">
            <w:pPr>
              <w:jc w:val="right"/>
              <w:rPr>
                <w:rFonts w:eastAsia="Times New Roman"/>
              </w:rPr>
            </w:pPr>
            <w:r>
              <w:rPr>
                <w:rFonts w:eastAsia="Times New Roman"/>
                <w:color w:val="000000"/>
                <w:sz w:val="16"/>
                <w:szCs w:val="16"/>
              </w:rPr>
              <w:t>1,850.1 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33D5FB" w14:textId="77777777" w:rsidR="00000000" w:rsidRDefault="000A3118">
            <w:pPr>
              <w:jc w:val="right"/>
              <w:rPr>
                <w:rFonts w:eastAsia="Times New Roman"/>
              </w:rPr>
            </w:pPr>
          </w:p>
        </w:tc>
      </w:tr>
      <w:tr w:rsidR="00000000" w14:paraId="3C5117EF" w14:textId="77777777">
        <w:trPr>
          <w:divId w:val="1706557965"/>
        </w:trPr>
        <w:tc>
          <w:tcPr>
            <w:tcW w:w="0" w:type="auto"/>
            <w:gridSpan w:val="3"/>
            <w:shd w:val="clear" w:color="auto" w:fill="FFFFFF"/>
            <w:tcMar>
              <w:top w:w="30" w:type="dxa"/>
              <w:left w:w="135" w:type="dxa"/>
              <w:bottom w:w="30" w:type="dxa"/>
              <w:right w:w="20" w:type="dxa"/>
            </w:tcMar>
            <w:vAlign w:val="bottom"/>
            <w:hideMark/>
          </w:tcPr>
          <w:p w14:paraId="6BB59EB9" w14:textId="77777777" w:rsidR="00000000" w:rsidRDefault="000A3118">
            <w:pPr>
              <w:rPr>
                <w:rFonts w:eastAsia="Times New Roman"/>
              </w:rPr>
            </w:pPr>
            <w:r>
              <w:rPr>
                <w:rFonts w:eastAsia="Times New Roman"/>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14:paraId="3197062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9D41C8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815E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4D201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0D54F7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6C07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22FB4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A0E053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C0C7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A61A9F" w14:textId="77777777" w:rsidR="00000000" w:rsidRDefault="000A3118">
            <w:pPr>
              <w:jc w:val="right"/>
              <w:rPr>
                <w:rFonts w:eastAsia="Times New Roman"/>
              </w:rPr>
            </w:pPr>
            <w:r>
              <w:rPr>
                <w:rFonts w:eastAsia="Times New Roman"/>
                <w:color w:val="000000"/>
                <w:sz w:val="16"/>
                <w:szCs w:val="16"/>
              </w:rPr>
              <w:t>(10.2)</w:t>
            </w:r>
          </w:p>
        </w:tc>
        <w:tc>
          <w:tcPr>
            <w:tcW w:w="0" w:type="auto"/>
            <w:shd w:val="clear" w:color="auto" w:fill="FFFFFF"/>
            <w:tcMar>
              <w:top w:w="30" w:type="dxa"/>
              <w:left w:w="0" w:type="dxa"/>
              <w:bottom w:w="30" w:type="dxa"/>
              <w:right w:w="20" w:type="dxa"/>
            </w:tcMar>
            <w:vAlign w:val="bottom"/>
            <w:hideMark/>
          </w:tcPr>
          <w:p w14:paraId="4758423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12CD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32847"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3CE74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81BDE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5F245A" w14:textId="77777777" w:rsidR="00000000" w:rsidRDefault="000A3118">
            <w:pPr>
              <w:jc w:val="right"/>
              <w:rPr>
                <w:rFonts w:eastAsia="Times New Roman"/>
              </w:rPr>
            </w:pPr>
            <w:r>
              <w:rPr>
                <w:rFonts w:eastAsia="Times New Roman"/>
                <w:color w:val="000000"/>
                <w:sz w:val="16"/>
                <w:szCs w:val="16"/>
              </w:rPr>
              <w:t>(10.2)</w:t>
            </w:r>
          </w:p>
        </w:tc>
        <w:tc>
          <w:tcPr>
            <w:tcW w:w="0" w:type="auto"/>
            <w:shd w:val="clear" w:color="auto" w:fill="FFFFFF"/>
            <w:tcMar>
              <w:top w:w="30" w:type="dxa"/>
              <w:left w:w="0" w:type="dxa"/>
              <w:bottom w:w="30" w:type="dxa"/>
              <w:right w:w="20" w:type="dxa"/>
            </w:tcMar>
            <w:vAlign w:val="bottom"/>
            <w:hideMark/>
          </w:tcPr>
          <w:p w14:paraId="03027E0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A939D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1BE304" w14:textId="77777777" w:rsidR="00000000" w:rsidRDefault="000A3118">
            <w:pPr>
              <w:jc w:val="right"/>
              <w:rPr>
                <w:rFonts w:eastAsia="Times New Roman"/>
              </w:rPr>
            </w:pPr>
            <w:r>
              <w:rPr>
                <w:rFonts w:eastAsia="Times New Roman"/>
                <w:color w:val="000000"/>
                <w:sz w:val="16"/>
                <w:szCs w:val="16"/>
              </w:rPr>
              <w:t>(0.4)</w:t>
            </w:r>
          </w:p>
        </w:tc>
        <w:tc>
          <w:tcPr>
            <w:tcW w:w="0" w:type="auto"/>
            <w:shd w:val="clear" w:color="auto" w:fill="FFFFFF"/>
            <w:tcMar>
              <w:top w:w="30" w:type="dxa"/>
              <w:left w:w="0" w:type="dxa"/>
              <w:bottom w:w="30" w:type="dxa"/>
              <w:right w:w="20" w:type="dxa"/>
            </w:tcMar>
            <w:vAlign w:val="bottom"/>
            <w:hideMark/>
          </w:tcPr>
          <w:p w14:paraId="5CE0E3F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979BC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021F1" w14:textId="77777777" w:rsidR="00000000" w:rsidRDefault="000A3118">
            <w:pPr>
              <w:jc w:val="right"/>
              <w:rPr>
                <w:rFonts w:eastAsia="Times New Roman"/>
              </w:rPr>
            </w:pPr>
            <w:r>
              <w:rPr>
                <w:rFonts w:eastAsia="Times New Roman"/>
                <w:color w:val="000000"/>
                <w:sz w:val="16"/>
                <w:szCs w:val="16"/>
              </w:rPr>
              <w:t>(10.7)</w:t>
            </w:r>
          </w:p>
        </w:tc>
        <w:tc>
          <w:tcPr>
            <w:tcW w:w="0" w:type="auto"/>
            <w:shd w:val="clear" w:color="auto" w:fill="FFFFFF"/>
            <w:tcMar>
              <w:top w:w="30" w:type="dxa"/>
              <w:left w:w="0" w:type="dxa"/>
              <w:bottom w:w="30" w:type="dxa"/>
              <w:right w:w="20" w:type="dxa"/>
            </w:tcMar>
            <w:vAlign w:val="bottom"/>
            <w:hideMark/>
          </w:tcPr>
          <w:p w14:paraId="68631608" w14:textId="77777777" w:rsidR="00000000" w:rsidRDefault="000A3118">
            <w:pPr>
              <w:jc w:val="right"/>
              <w:rPr>
                <w:rFonts w:eastAsia="Times New Roman"/>
              </w:rPr>
            </w:pPr>
          </w:p>
        </w:tc>
      </w:tr>
      <w:tr w:rsidR="00000000" w14:paraId="5F41F82D" w14:textId="77777777">
        <w:trPr>
          <w:divId w:val="1706557965"/>
        </w:trPr>
        <w:tc>
          <w:tcPr>
            <w:tcW w:w="0" w:type="auto"/>
            <w:gridSpan w:val="3"/>
            <w:shd w:val="clear" w:color="auto" w:fill="CCEEFF"/>
            <w:tcMar>
              <w:top w:w="30" w:type="dxa"/>
              <w:left w:w="135" w:type="dxa"/>
              <w:bottom w:w="30" w:type="dxa"/>
              <w:right w:w="20" w:type="dxa"/>
            </w:tcMar>
            <w:vAlign w:val="bottom"/>
            <w:hideMark/>
          </w:tcPr>
          <w:p w14:paraId="0E0FFC4D" w14:textId="77777777" w:rsidR="00000000" w:rsidRDefault="000A3118">
            <w:pPr>
              <w:rPr>
                <w:rFonts w:eastAsia="Times New Roman"/>
              </w:rPr>
            </w:pPr>
            <w:r>
              <w:rPr>
                <w:rFonts w:eastAsia="Times New Roman"/>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14:paraId="164ECC9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80BCD0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4FE9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672B5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FF7601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2DE28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58AAF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3A38F9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9314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7385E0" w14:textId="77777777" w:rsidR="00000000" w:rsidRDefault="000A3118">
            <w:pPr>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14:paraId="0BE38E2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08B3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788C4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5AB33F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5B4A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20DC77" w14:textId="77777777" w:rsidR="00000000" w:rsidRDefault="000A3118">
            <w:pPr>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14:paraId="4BB67AA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B2B3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057D5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DA6AB2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0DF9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8F922F" w14:textId="77777777" w:rsidR="00000000" w:rsidRDefault="000A3118">
            <w:pPr>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bottom"/>
            <w:hideMark/>
          </w:tcPr>
          <w:p w14:paraId="28E7CA20" w14:textId="77777777" w:rsidR="00000000" w:rsidRDefault="000A3118">
            <w:pPr>
              <w:jc w:val="right"/>
              <w:rPr>
                <w:rFonts w:eastAsia="Times New Roman"/>
              </w:rPr>
            </w:pPr>
          </w:p>
        </w:tc>
      </w:tr>
      <w:tr w:rsidR="00000000" w14:paraId="06CDE0B1" w14:textId="77777777">
        <w:trPr>
          <w:divId w:val="1706557965"/>
        </w:trPr>
        <w:tc>
          <w:tcPr>
            <w:tcW w:w="0" w:type="auto"/>
            <w:gridSpan w:val="3"/>
            <w:shd w:val="clear" w:color="auto" w:fill="FFFFFF"/>
            <w:tcMar>
              <w:top w:w="30" w:type="dxa"/>
              <w:left w:w="135" w:type="dxa"/>
              <w:bottom w:w="30" w:type="dxa"/>
              <w:right w:w="20" w:type="dxa"/>
            </w:tcMar>
            <w:vAlign w:val="bottom"/>
            <w:hideMark/>
          </w:tcPr>
          <w:p w14:paraId="00DACC4A" w14:textId="77777777" w:rsidR="00000000" w:rsidRDefault="000A3118">
            <w:pPr>
              <w:rPr>
                <w:rFonts w:eastAsia="Times New Roman"/>
              </w:rPr>
            </w:pPr>
            <w:r>
              <w:rPr>
                <w:rFonts w:eastAsia="Times New Roman"/>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14:paraId="64DBE29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2916F8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1B40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14BD7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7B59CA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46B16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0FB31D" w14:textId="77777777" w:rsidR="00000000" w:rsidRDefault="000A3118">
            <w:pPr>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14:paraId="21572BB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5C11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3D312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393559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6A8E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B01E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A15068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7924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A37A98" w14:textId="77777777" w:rsidR="00000000" w:rsidRDefault="000A3118">
            <w:pPr>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14:paraId="20A2FA0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EAC1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FCEE7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355D5C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6045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12C10" w14:textId="77777777" w:rsidR="00000000" w:rsidRDefault="000A3118">
            <w:pPr>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bottom"/>
            <w:hideMark/>
          </w:tcPr>
          <w:p w14:paraId="20D42CF8" w14:textId="77777777" w:rsidR="00000000" w:rsidRDefault="000A3118">
            <w:pPr>
              <w:jc w:val="right"/>
              <w:rPr>
                <w:rFonts w:eastAsia="Times New Roman"/>
              </w:rPr>
            </w:pPr>
          </w:p>
        </w:tc>
      </w:tr>
      <w:tr w:rsidR="00000000" w14:paraId="421086BA" w14:textId="77777777">
        <w:trPr>
          <w:divId w:val="1706557965"/>
        </w:trPr>
        <w:tc>
          <w:tcPr>
            <w:tcW w:w="0" w:type="auto"/>
            <w:gridSpan w:val="3"/>
            <w:shd w:val="clear" w:color="auto" w:fill="CCEEFF"/>
            <w:tcMar>
              <w:top w:w="30" w:type="dxa"/>
              <w:left w:w="135" w:type="dxa"/>
              <w:bottom w:w="30" w:type="dxa"/>
              <w:right w:w="20" w:type="dxa"/>
            </w:tcMar>
            <w:vAlign w:val="bottom"/>
            <w:hideMark/>
          </w:tcPr>
          <w:p w14:paraId="23319B6D" w14:textId="77777777" w:rsidR="00000000" w:rsidRDefault="000A3118">
            <w:pPr>
              <w:rPr>
                <w:rFonts w:eastAsia="Times New Roman"/>
              </w:rPr>
            </w:pPr>
            <w:r>
              <w:rPr>
                <w:rFonts w:eastAsia="Times New Roman"/>
                <w:color w:val="000000"/>
                <w:sz w:val="16"/>
                <w:szCs w:val="16"/>
              </w:rPr>
              <w:t xml:space="preserve">Issuance (cancellation) of common stock </w:t>
            </w:r>
            <w:r>
              <w:rPr>
                <w:rFonts w:eastAsia="Times New Roman"/>
                <w:color w:val="000000"/>
                <w:sz w:val="16"/>
                <w:szCs w:val="16"/>
              </w:rPr>
              <w:lastRenderedPageBreak/>
              <w:t>related to share-based payment awards</w:t>
            </w:r>
          </w:p>
        </w:tc>
        <w:tc>
          <w:tcPr>
            <w:tcW w:w="0" w:type="auto"/>
            <w:gridSpan w:val="2"/>
            <w:shd w:val="clear" w:color="auto" w:fill="CCEEFF"/>
            <w:tcMar>
              <w:top w:w="30" w:type="dxa"/>
              <w:left w:w="20" w:type="dxa"/>
              <w:bottom w:w="30" w:type="dxa"/>
              <w:right w:w="0" w:type="dxa"/>
            </w:tcMar>
            <w:vAlign w:val="bottom"/>
            <w:hideMark/>
          </w:tcPr>
          <w:p w14:paraId="4124761F" w14:textId="77777777" w:rsidR="00000000" w:rsidRDefault="000A3118">
            <w:pPr>
              <w:jc w:val="right"/>
              <w:rPr>
                <w:rFonts w:eastAsia="Times New Roman"/>
              </w:rPr>
            </w:pPr>
            <w:r>
              <w:rPr>
                <w:rFonts w:eastAsia="Times New Roman"/>
                <w:color w:val="000000"/>
                <w:sz w:val="16"/>
                <w:szCs w:val="16"/>
              </w:rPr>
              <w:lastRenderedPageBreak/>
              <w:t>0.1 </w:t>
            </w:r>
          </w:p>
        </w:tc>
        <w:tc>
          <w:tcPr>
            <w:tcW w:w="0" w:type="auto"/>
            <w:shd w:val="clear" w:color="auto" w:fill="CCEEFF"/>
            <w:tcMar>
              <w:top w:w="30" w:type="dxa"/>
              <w:left w:w="0" w:type="dxa"/>
              <w:bottom w:w="30" w:type="dxa"/>
              <w:right w:w="20" w:type="dxa"/>
            </w:tcMar>
            <w:vAlign w:val="bottom"/>
            <w:hideMark/>
          </w:tcPr>
          <w:p w14:paraId="2ED44EB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C98F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E46D4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441362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8401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4F100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127224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AE50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11BC6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2747F7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C161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F71F0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A6D563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212B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E4C4E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063BF1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7C7D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ABBE6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FB37F8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14F2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B5E8C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7AFE5D2" w14:textId="77777777" w:rsidR="00000000" w:rsidRDefault="000A3118">
            <w:pPr>
              <w:jc w:val="right"/>
              <w:rPr>
                <w:rFonts w:eastAsia="Times New Roman"/>
              </w:rPr>
            </w:pPr>
          </w:p>
        </w:tc>
      </w:tr>
      <w:tr w:rsidR="00000000" w14:paraId="69DE4083" w14:textId="77777777">
        <w:trPr>
          <w:divId w:val="1706557965"/>
        </w:trPr>
        <w:tc>
          <w:tcPr>
            <w:tcW w:w="0" w:type="auto"/>
            <w:gridSpan w:val="3"/>
            <w:shd w:val="clear" w:color="auto" w:fill="FFFFFF"/>
            <w:tcMar>
              <w:top w:w="30" w:type="dxa"/>
              <w:left w:w="135" w:type="dxa"/>
              <w:bottom w:w="30" w:type="dxa"/>
              <w:right w:w="20" w:type="dxa"/>
            </w:tcMar>
            <w:vAlign w:val="bottom"/>
            <w:hideMark/>
          </w:tcPr>
          <w:p w14:paraId="0F0D5475" w14:textId="77777777" w:rsidR="00000000" w:rsidRDefault="000A3118">
            <w:pPr>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0D6DB98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5739CF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A0559"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8C221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A03AE0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84A2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81FE41" w14:textId="77777777" w:rsidR="00000000" w:rsidRDefault="000A3118">
            <w:pPr>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14:paraId="5203EB0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5BC56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B0EF2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0D3E3B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3CBE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34B3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BAA64E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F15B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21E99A" w14:textId="77777777" w:rsidR="00000000" w:rsidRDefault="000A3118">
            <w:pPr>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14:paraId="450B68A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B835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ABBB2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4370F9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D369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035369" w14:textId="77777777" w:rsidR="00000000" w:rsidRDefault="000A3118">
            <w:pPr>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14:paraId="68A3AAD9" w14:textId="77777777" w:rsidR="00000000" w:rsidRDefault="000A3118">
            <w:pPr>
              <w:jc w:val="right"/>
              <w:rPr>
                <w:rFonts w:eastAsia="Times New Roman"/>
              </w:rPr>
            </w:pPr>
          </w:p>
        </w:tc>
      </w:tr>
      <w:tr w:rsidR="00000000" w14:paraId="52E7F50E" w14:textId="77777777">
        <w:trPr>
          <w:divId w:val="1706557965"/>
        </w:trPr>
        <w:tc>
          <w:tcPr>
            <w:tcW w:w="0" w:type="auto"/>
            <w:gridSpan w:val="3"/>
            <w:shd w:val="clear" w:color="auto" w:fill="CCEEFF"/>
            <w:tcMar>
              <w:top w:w="30" w:type="dxa"/>
              <w:left w:w="135" w:type="dxa"/>
              <w:bottom w:w="30" w:type="dxa"/>
              <w:right w:w="20" w:type="dxa"/>
            </w:tcMar>
            <w:vAlign w:val="bottom"/>
            <w:hideMark/>
          </w:tcPr>
          <w:p w14:paraId="0E5DE132" w14:textId="77777777" w:rsidR="00000000" w:rsidRDefault="000A3118">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4294FB7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87F652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57BAF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B977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BDEFAC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6E3B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9A5A8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2912EE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1905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CC12F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200235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57738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F7D61E" w14:textId="77777777" w:rsidR="00000000" w:rsidRDefault="000A3118">
            <w:pPr>
              <w:jc w:val="right"/>
              <w:rPr>
                <w:rFonts w:eastAsia="Times New Roman"/>
              </w:rPr>
            </w:pPr>
            <w:r>
              <w:rPr>
                <w:rFonts w:eastAsia="Times New Roman"/>
                <w:color w:val="000000"/>
                <w:sz w:val="16"/>
                <w:szCs w:val="16"/>
              </w:rPr>
              <w:t>(16.0)</w:t>
            </w:r>
          </w:p>
        </w:tc>
        <w:tc>
          <w:tcPr>
            <w:tcW w:w="0" w:type="auto"/>
            <w:shd w:val="clear" w:color="auto" w:fill="CCEEFF"/>
            <w:tcMar>
              <w:top w:w="30" w:type="dxa"/>
              <w:left w:w="0" w:type="dxa"/>
              <w:bottom w:w="30" w:type="dxa"/>
              <w:right w:w="20" w:type="dxa"/>
            </w:tcMar>
            <w:vAlign w:val="bottom"/>
            <w:hideMark/>
          </w:tcPr>
          <w:p w14:paraId="49DDE8E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BF17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ABCB2E" w14:textId="77777777" w:rsidR="00000000" w:rsidRDefault="000A3118">
            <w:pPr>
              <w:jc w:val="right"/>
              <w:rPr>
                <w:rFonts w:eastAsia="Times New Roman"/>
              </w:rPr>
            </w:pPr>
            <w:r>
              <w:rPr>
                <w:rFonts w:eastAsia="Times New Roman"/>
                <w:color w:val="000000"/>
                <w:sz w:val="16"/>
                <w:szCs w:val="16"/>
              </w:rPr>
              <w:t>(16.0)</w:t>
            </w:r>
          </w:p>
        </w:tc>
        <w:tc>
          <w:tcPr>
            <w:tcW w:w="0" w:type="auto"/>
            <w:shd w:val="clear" w:color="auto" w:fill="CCEEFF"/>
            <w:tcMar>
              <w:top w:w="30" w:type="dxa"/>
              <w:left w:w="0" w:type="dxa"/>
              <w:bottom w:w="30" w:type="dxa"/>
              <w:right w:w="20" w:type="dxa"/>
            </w:tcMar>
            <w:vAlign w:val="bottom"/>
            <w:hideMark/>
          </w:tcPr>
          <w:p w14:paraId="009E993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680C2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A7DB3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3927DA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EAC53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9B764A" w14:textId="77777777" w:rsidR="00000000" w:rsidRDefault="000A3118">
            <w:pPr>
              <w:jc w:val="right"/>
              <w:rPr>
                <w:rFonts w:eastAsia="Times New Roman"/>
              </w:rPr>
            </w:pPr>
            <w:r>
              <w:rPr>
                <w:rFonts w:eastAsia="Times New Roman"/>
                <w:color w:val="000000"/>
                <w:sz w:val="16"/>
                <w:szCs w:val="16"/>
              </w:rPr>
              <w:t>(16.0)</w:t>
            </w:r>
          </w:p>
        </w:tc>
        <w:tc>
          <w:tcPr>
            <w:tcW w:w="0" w:type="auto"/>
            <w:shd w:val="clear" w:color="auto" w:fill="CCEEFF"/>
            <w:tcMar>
              <w:top w:w="30" w:type="dxa"/>
              <w:left w:w="0" w:type="dxa"/>
              <w:bottom w:w="30" w:type="dxa"/>
              <w:right w:w="20" w:type="dxa"/>
            </w:tcMar>
            <w:vAlign w:val="bottom"/>
            <w:hideMark/>
          </w:tcPr>
          <w:p w14:paraId="7915C308" w14:textId="77777777" w:rsidR="00000000" w:rsidRDefault="000A3118">
            <w:pPr>
              <w:jc w:val="right"/>
              <w:rPr>
                <w:rFonts w:eastAsia="Times New Roman"/>
              </w:rPr>
            </w:pPr>
          </w:p>
        </w:tc>
      </w:tr>
      <w:tr w:rsidR="000A3118" w14:paraId="5BABB651" w14:textId="77777777">
        <w:trPr>
          <w:divId w:val="170655796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7B0EA56" w14:textId="77777777" w:rsidR="00000000" w:rsidRDefault="000A3118">
            <w:pPr>
              <w:rPr>
                <w:rFonts w:eastAsia="Times New Roman"/>
              </w:rPr>
            </w:pPr>
            <w:r>
              <w:rPr>
                <w:rFonts w:eastAsia="Times New Roman"/>
                <w:color w:val="000000"/>
                <w:sz w:val="16"/>
                <w:szCs w:val="16"/>
              </w:rPr>
              <w:t>Balance as of June 30,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1AAD53" w14:textId="77777777" w:rsidR="00000000" w:rsidRDefault="000A3118">
            <w:pPr>
              <w:jc w:val="right"/>
              <w:rPr>
                <w:rFonts w:eastAsia="Times New Roman"/>
              </w:rPr>
            </w:pPr>
            <w:r>
              <w:rPr>
                <w:rFonts w:eastAsia="Times New Roman"/>
                <w:color w:val="000000"/>
                <w:sz w:val="16"/>
                <w:szCs w:val="16"/>
              </w:rPr>
              <w:t>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7818F4"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620D46"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5A41EF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445F64" w14:textId="77777777" w:rsidR="00000000" w:rsidRDefault="000A3118">
            <w:pPr>
              <w:jc w:val="right"/>
              <w:rPr>
                <w:rFonts w:eastAsia="Times New Roman"/>
              </w:rPr>
            </w:pPr>
            <w:r>
              <w:rPr>
                <w:rFonts w:eastAsia="Times New Roman"/>
                <w:color w:val="000000"/>
                <w:sz w:val="16"/>
                <w:szCs w:val="16"/>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0C569E"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63DCB1"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163E5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62EA8B" w14:textId="77777777" w:rsidR="00000000" w:rsidRDefault="000A3118">
            <w:pPr>
              <w:jc w:val="right"/>
              <w:rPr>
                <w:rFonts w:eastAsia="Times New Roman"/>
              </w:rPr>
            </w:pPr>
            <w:r>
              <w:rPr>
                <w:rFonts w:eastAsia="Times New Roman"/>
                <w:color w:val="000000"/>
                <w:sz w:val="16"/>
                <w:szCs w:val="16"/>
              </w:rPr>
              <w:t>219.3 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CCCD42"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EB32FE"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10283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E2CB8C" w14:textId="77777777" w:rsidR="00000000" w:rsidRDefault="000A3118">
            <w:pPr>
              <w:jc w:val="right"/>
              <w:rPr>
                <w:rFonts w:eastAsia="Times New Roman"/>
              </w:rPr>
            </w:pPr>
            <w:r>
              <w:rPr>
                <w:rFonts w:eastAsia="Times New Roman"/>
                <w:color w:val="000000"/>
                <w:sz w:val="16"/>
                <w:szCs w:val="16"/>
              </w:rPr>
              <w:t>1,768.6 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A79B57"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FF3E81"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0DDC4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8C7EADB" w14:textId="77777777" w:rsidR="00000000" w:rsidRDefault="000A3118">
            <w:pPr>
              <w:jc w:val="right"/>
              <w:rPr>
                <w:rFonts w:eastAsia="Times New Roman"/>
              </w:rPr>
            </w:pPr>
            <w:r>
              <w:rPr>
                <w:rFonts w:eastAsia="Times New Roman"/>
                <w:color w:val="000000"/>
                <w:sz w:val="16"/>
                <w:szCs w:val="16"/>
              </w:rPr>
              <w:t>(173.5)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899857"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1A63811"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C1C4C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A6257C" w14:textId="77777777" w:rsidR="00000000" w:rsidRDefault="000A3118">
            <w:pPr>
              <w:jc w:val="right"/>
              <w:rPr>
                <w:rFonts w:eastAsia="Times New Roman"/>
              </w:rPr>
            </w:pPr>
            <w:r>
              <w:rPr>
                <w:rFonts w:eastAsia="Times New Roman"/>
                <w:color w:val="000000"/>
                <w:sz w:val="16"/>
                <w:szCs w:val="16"/>
              </w:rPr>
              <w:t>1,815.0 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F8EC2E"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8943ED"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FFC32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6EF544A" w14:textId="77777777" w:rsidR="00000000" w:rsidRDefault="000A3118">
            <w:pPr>
              <w:jc w:val="right"/>
              <w:rPr>
                <w:rFonts w:eastAsia="Times New Roman"/>
              </w:rPr>
            </w:pPr>
            <w:r>
              <w:rPr>
                <w:rFonts w:eastAsia="Times New Roman"/>
                <w:color w:val="000000"/>
                <w:sz w:val="16"/>
                <w:szCs w:val="16"/>
              </w:rPr>
              <w:t>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81648A"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FACAD0"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436EB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1FC5F7D" w14:textId="77777777" w:rsidR="00000000" w:rsidRDefault="000A3118">
            <w:pPr>
              <w:jc w:val="right"/>
              <w:rPr>
                <w:rFonts w:eastAsia="Times New Roman"/>
              </w:rPr>
            </w:pPr>
            <w:r>
              <w:rPr>
                <w:rFonts w:eastAsia="Times New Roman"/>
                <w:color w:val="000000"/>
                <w:sz w:val="16"/>
                <w:szCs w:val="16"/>
              </w:rPr>
              <w:t>1,818.3 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E830F9" w14:textId="77777777" w:rsidR="00000000" w:rsidRDefault="000A3118">
            <w:pPr>
              <w:jc w:val="right"/>
              <w:rPr>
                <w:rFonts w:eastAsia="Times New Roman"/>
              </w:rPr>
            </w:pPr>
          </w:p>
        </w:tc>
      </w:tr>
      <w:tr w:rsidR="00000000" w14:paraId="11F244CE" w14:textId="77777777">
        <w:trPr>
          <w:divId w:val="1706557965"/>
        </w:trPr>
        <w:tc>
          <w:tcPr>
            <w:tcW w:w="0" w:type="auto"/>
            <w:gridSpan w:val="3"/>
            <w:shd w:val="clear" w:color="auto" w:fill="CCEEFF"/>
            <w:tcMar>
              <w:top w:w="30" w:type="dxa"/>
              <w:left w:w="135" w:type="dxa"/>
              <w:bottom w:w="30" w:type="dxa"/>
              <w:right w:w="20" w:type="dxa"/>
            </w:tcMar>
            <w:vAlign w:val="bottom"/>
            <w:hideMark/>
          </w:tcPr>
          <w:p w14:paraId="657E36FC" w14:textId="77777777" w:rsidR="00000000" w:rsidRDefault="000A3118">
            <w:pPr>
              <w:rPr>
                <w:rFonts w:eastAsia="Times New Roman"/>
              </w:rPr>
            </w:pPr>
            <w:r>
              <w:rPr>
                <w:rFonts w:eastAsia="Times New Roman"/>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14:paraId="3610618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D7A34D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8CEF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3833B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F25D65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9CAB0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5A538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6436B6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B8CC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D4AA00" w14:textId="77777777" w:rsidR="00000000" w:rsidRDefault="000A3118">
            <w:pPr>
              <w:jc w:val="right"/>
              <w:rPr>
                <w:rFonts w:eastAsia="Times New Roman"/>
              </w:rPr>
            </w:pPr>
            <w:r>
              <w:rPr>
                <w:rFonts w:eastAsia="Times New Roman"/>
                <w:color w:val="000000"/>
                <w:sz w:val="16"/>
                <w:szCs w:val="16"/>
              </w:rPr>
              <w:t>82.0 </w:t>
            </w:r>
          </w:p>
        </w:tc>
        <w:tc>
          <w:tcPr>
            <w:tcW w:w="0" w:type="auto"/>
            <w:shd w:val="clear" w:color="auto" w:fill="CCEEFF"/>
            <w:tcMar>
              <w:top w:w="30" w:type="dxa"/>
              <w:left w:w="0" w:type="dxa"/>
              <w:bottom w:w="30" w:type="dxa"/>
              <w:right w:w="20" w:type="dxa"/>
            </w:tcMar>
            <w:vAlign w:val="bottom"/>
            <w:hideMark/>
          </w:tcPr>
          <w:p w14:paraId="6A8A979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5802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720FE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ED9633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1163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7D3988" w14:textId="77777777" w:rsidR="00000000" w:rsidRDefault="000A3118">
            <w:pPr>
              <w:jc w:val="right"/>
              <w:rPr>
                <w:rFonts w:eastAsia="Times New Roman"/>
              </w:rPr>
            </w:pPr>
            <w:r>
              <w:rPr>
                <w:rFonts w:eastAsia="Times New Roman"/>
                <w:color w:val="000000"/>
                <w:sz w:val="16"/>
                <w:szCs w:val="16"/>
              </w:rPr>
              <w:t>82.0 </w:t>
            </w:r>
          </w:p>
        </w:tc>
        <w:tc>
          <w:tcPr>
            <w:tcW w:w="0" w:type="auto"/>
            <w:shd w:val="clear" w:color="auto" w:fill="CCEEFF"/>
            <w:tcMar>
              <w:top w:w="30" w:type="dxa"/>
              <w:left w:w="0" w:type="dxa"/>
              <w:bottom w:w="30" w:type="dxa"/>
              <w:right w:w="20" w:type="dxa"/>
            </w:tcMar>
            <w:vAlign w:val="bottom"/>
            <w:hideMark/>
          </w:tcPr>
          <w:p w14:paraId="1514E74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F8821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A30E76" w14:textId="77777777" w:rsidR="00000000" w:rsidRDefault="000A3118">
            <w:pPr>
              <w:jc w:val="right"/>
              <w:rPr>
                <w:rFonts w:eastAsia="Times New Roman"/>
              </w:rPr>
            </w:pPr>
            <w:r>
              <w:rPr>
                <w:rFonts w:eastAsia="Times New Roman"/>
                <w:color w:val="000000"/>
                <w:sz w:val="16"/>
                <w:szCs w:val="16"/>
              </w:rPr>
              <w:t>0.5 </w:t>
            </w:r>
          </w:p>
        </w:tc>
        <w:tc>
          <w:tcPr>
            <w:tcW w:w="0" w:type="auto"/>
            <w:shd w:val="clear" w:color="auto" w:fill="CCEEFF"/>
            <w:tcMar>
              <w:top w:w="30" w:type="dxa"/>
              <w:left w:w="0" w:type="dxa"/>
              <w:bottom w:w="30" w:type="dxa"/>
              <w:right w:w="20" w:type="dxa"/>
            </w:tcMar>
            <w:vAlign w:val="bottom"/>
            <w:hideMark/>
          </w:tcPr>
          <w:p w14:paraId="076E8C8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0D6D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0F468F" w14:textId="77777777" w:rsidR="00000000" w:rsidRDefault="000A3118">
            <w:pPr>
              <w:jc w:val="right"/>
              <w:rPr>
                <w:rFonts w:eastAsia="Times New Roman"/>
              </w:rPr>
            </w:pPr>
            <w:r>
              <w:rPr>
                <w:rFonts w:eastAsia="Times New Roman"/>
                <w:color w:val="000000"/>
                <w:sz w:val="16"/>
                <w:szCs w:val="16"/>
              </w:rPr>
              <w:t>82.4 </w:t>
            </w:r>
          </w:p>
        </w:tc>
        <w:tc>
          <w:tcPr>
            <w:tcW w:w="0" w:type="auto"/>
            <w:shd w:val="clear" w:color="auto" w:fill="CCEEFF"/>
            <w:tcMar>
              <w:top w:w="30" w:type="dxa"/>
              <w:left w:w="0" w:type="dxa"/>
              <w:bottom w:w="30" w:type="dxa"/>
              <w:right w:w="20" w:type="dxa"/>
            </w:tcMar>
            <w:vAlign w:val="bottom"/>
            <w:hideMark/>
          </w:tcPr>
          <w:p w14:paraId="11129BDE" w14:textId="77777777" w:rsidR="00000000" w:rsidRDefault="000A3118">
            <w:pPr>
              <w:jc w:val="right"/>
              <w:rPr>
                <w:rFonts w:eastAsia="Times New Roman"/>
              </w:rPr>
            </w:pPr>
          </w:p>
        </w:tc>
      </w:tr>
      <w:tr w:rsidR="00000000" w14:paraId="77C404EA" w14:textId="77777777">
        <w:trPr>
          <w:divId w:val="1706557965"/>
        </w:trPr>
        <w:tc>
          <w:tcPr>
            <w:tcW w:w="0" w:type="auto"/>
            <w:gridSpan w:val="3"/>
            <w:shd w:val="clear" w:color="auto" w:fill="FFFFFF"/>
            <w:tcMar>
              <w:top w:w="30" w:type="dxa"/>
              <w:left w:w="135" w:type="dxa"/>
              <w:bottom w:w="30" w:type="dxa"/>
              <w:right w:w="20" w:type="dxa"/>
            </w:tcMar>
            <w:vAlign w:val="bottom"/>
            <w:hideMark/>
          </w:tcPr>
          <w:p w14:paraId="16464C4F" w14:textId="77777777" w:rsidR="00000000" w:rsidRDefault="000A3118">
            <w:pPr>
              <w:rPr>
                <w:rFonts w:eastAsia="Times New Roman"/>
              </w:rPr>
            </w:pPr>
            <w:r>
              <w:rPr>
                <w:rFonts w:eastAsia="Times New Roman"/>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14:paraId="21EA326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09BE8F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42B6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41338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262B59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CF26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4CABD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A684C8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E0FC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BFE24A" w14:textId="77777777" w:rsidR="00000000" w:rsidRDefault="000A3118">
            <w:pPr>
              <w:jc w:val="right"/>
              <w:rPr>
                <w:rFonts w:eastAsia="Times New Roman"/>
              </w:rPr>
            </w:pPr>
            <w:r>
              <w:rPr>
                <w:rFonts w:eastAsia="Times New Roman"/>
                <w:color w:val="000000"/>
                <w:sz w:val="16"/>
                <w:szCs w:val="16"/>
              </w:rPr>
              <w:t>(6.3)</w:t>
            </w:r>
          </w:p>
        </w:tc>
        <w:tc>
          <w:tcPr>
            <w:tcW w:w="0" w:type="auto"/>
            <w:shd w:val="clear" w:color="auto" w:fill="FFFFFF"/>
            <w:tcMar>
              <w:top w:w="30" w:type="dxa"/>
              <w:left w:w="0" w:type="dxa"/>
              <w:bottom w:w="30" w:type="dxa"/>
              <w:right w:w="20" w:type="dxa"/>
            </w:tcMar>
            <w:vAlign w:val="bottom"/>
            <w:hideMark/>
          </w:tcPr>
          <w:p w14:paraId="5359160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F395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38029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C947D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5877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BA354B" w14:textId="77777777" w:rsidR="00000000" w:rsidRDefault="000A3118">
            <w:pPr>
              <w:jc w:val="right"/>
              <w:rPr>
                <w:rFonts w:eastAsia="Times New Roman"/>
              </w:rPr>
            </w:pPr>
            <w:r>
              <w:rPr>
                <w:rFonts w:eastAsia="Times New Roman"/>
                <w:color w:val="000000"/>
                <w:sz w:val="16"/>
                <w:szCs w:val="16"/>
              </w:rPr>
              <w:t>(6.3)</w:t>
            </w:r>
          </w:p>
        </w:tc>
        <w:tc>
          <w:tcPr>
            <w:tcW w:w="0" w:type="auto"/>
            <w:shd w:val="clear" w:color="auto" w:fill="FFFFFF"/>
            <w:tcMar>
              <w:top w:w="30" w:type="dxa"/>
              <w:left w:w="0" w:type="dxa"/>
              <w:bottom w:w="30" w:type="dxa"/>
              <w:right w:w="20" w:type="dxa"/>
            </w:tcMar>
            <w:vAlign w:val="bottom"/>
            <w:hideMark/>
          </w:tcPr>
          <w:p w14:paraId="3F9B7B7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BD89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12308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7DD03B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528D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5C0536" w14:textId="77777777" w:rsidR="00000000" w:rsidRDefault="000A3118">
            <w:pPr>
              <w:jc w:val="right"/>
              <w:rPr>
                <w:rFonts w:eastAsia="Times New Roman"/>
              </w:rPr>
            </w:pPr>
            <w:r>
              <w:rPr>
                <w:rFonts w:eastAsia="Times New Roman"/>
                <w:color w:val="000000"/>
                <w:sz w:val="16"/>
                <w:szCs w:val="16"/>
              </w:rPr>
              <w:t>(6.3)</w:t>
            </w:r>
          </w:p>
        </w:tc>
        <w:tc>
          <w:tcPr>
            <w:tcW w:w="0" w:type="auto"/>
            <w:shd w:val="clear" w:color="auto" w:fill="FFFFFF"/>
            <w:tcMar>
              <w:top w:w="30" w:type="dxa"/>
              <w:left w:w="0" w:type="dxa"/>
              <w:bottom w:w="30" w:type="dxa"/>
              <w:right w:w="20" w:type="dxa"/>
            </w:tcMar>
            <w:vAlign w:val="bottom"/>
            <w:hideMark/>
          </w:tcPr>
          <w:p w14:paraId="5340CB4C" w14:textId="77777777" w:rsidR="00000000" w:rsidRDefault="000A3118">
            <w:pPr>
              <w:jc w:val="right"/>
              <w:rPr>
                <w:rFonts w:eastAsia="Times New Roman"/>
              </w:rPr>
            </w:pPr>
          </w:p>
        </w:tc>
      </w:tr>
      <w:tr w:rsidR="00000000" w14:paraId="4E790465" w14:textId="77777777">
        <w:trPr>
          <w:divId w:val="1706557965"/>
        </w:trPr>
        <w:tc>
          <w:tcPr>
            <w:tcW w:w="0" w:type="auto"/>
            <w:gridSpan w:val="3"/>
            <w:shd w:val="clear" w:color="auto" w:fill="CCEEFF"/>
            <w:tcMar>
              <w:top w:w="30" w:type="dxa"/>
              <w:left w:w="135" w:type="dxa"/>
              <w:bottom w:w="30" w:type="dxa"/>
              <w:right w:w="20" w:type="dxa"/>
            </w:tcMar>
            <w:vAlign w:val="bottom"/>
            <w:hideMark/>
          </w:tcPr>
          <w:p w14:paraId="35FD6AD6" w14:textId="77777777" w:rsidR="00000000" w:rsidRDefault="000A3118">
            <w:pPr>
              <w:rPr>
                <w:rFonts w:eastAsia="Times New Roman"/>
              </w:rPr>
            </w:pPr>
            <w:r>
              <w:rPr>
                <w:rFonts w:eastAsia="Times New Roman"/>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14:paraId="55F867E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5B648A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0D282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CAF81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19CC84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CF72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619FEF" w14:textId="77777777" w:rsidR="00000000" w:rsidRDefault="000A3118">
            <w:pPr>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5E41395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27EB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0371A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82C826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304E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30E6B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0EF20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8261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8A7D53" w14:textId="77777777" w:rsidR="00000000" w:rsidRDefault="000A3118">
            <w:pPr>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05F6B6B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D457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EF4AD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416D4B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EAB28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CF4379" w14:textId="77777777" w:rsidR="00000000" w:rsidRDefault="000A3118">
            <w:pPr>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14:paraId="225C6AC6" w14:textId="77777777" w:rsidR="00000000" w:rsidRDefault="000A3118">
            <w:pPr>
              <w:jc w:val="right"/>
              <w:rPr>
                <w:rFonts w:eastAsia="Times New Roman"/>
              </w:rPr>
            </w:pPr>
          </w:p>
        </w:tc>
      </w:tr>
      <w:tr w:rsidR="00000000" w14:paraId="06EA30F8" w14:textId="77777777">
        <w:trPr>
          <w:divId w:val="1706557965"/>
        </w:trPr>
        <w:tc>
          <w:tcPr>
            <w:tcW w:w="0" w:type="auto"/>
            <w:gridSpan w:val="3"/>
            <w:vAlign w:val="center"/>
            <w:hideMark/>
          </w:tcPr>
          <w:p w14:paraId="13AA8810" w14:textId="77777777" w:rsidR="00000000" w:rsidRDefault="000A3118">
            <w:pPr>
              <w:jc w:val="right"/>
              <w:rPr>
                <w:rFonts w:eastAsia="Times New Roman"/>
                <w:sz w:val="20"/>
                <w:szCs w:val="20"/>
              </w:rPr>
            </w:pPr>
          </w:p>
        </w:tc>
        <w:tc>
          <w:tcPr>
            <w:tcW w:w="0" w:type="auto"/>
            <w:gridSpan w:val="3"/>
            <w:vAlign w:val="center"/>
            <w:hideMark/>
          </w:tcPr>
          <w:p w14:paraId="10327A79" w14:textId="77777777" w:rsidR="00000000" w:rsidRDefault="000A3118">
            <w:pPr>
              <w:rPr>
                <w:rFonts w:eastAsia="Times New Roman"/>
                <w:sz w:val="20"/>
                <w:szCs w:val="20"/>
              </w:rPr>
            </w:pPr>
          </w:p>
        </w:tc>
        <w:tc>
          <w:tcPr>
            <w:tcW w:w="0" w:type="auto"/>
            <w:gridSpan w:val="3"/>
            <w:vAlign w:val="center"/>
            <w:hideMark/>
          </w:tcPr>
          <w:p w14:paraId="7B913152" w14:textId="77777777" w:rsidR="00000000" w:rsidRDefault="000A3118">
            <w:pPr>
              <w:rPr>
                <w:rFonts w:eastAsia="Times New Roman"/>
                <w:sz w:val="20"/>
                <w:szCs w:val="20"/>
              </w:rPr>
            </w:pPr>
          </w:p>
        </w:tc>
        <w:tc>
          <w:tcPr>
            <w:tcW w:w="0" w:type="auto"/>
            <w:gridSpan w:val="3"/>
            <w:vAlign w:val="center"/>
            <w:hideMark/>
          </w:tcPr>
          <w:p w14:paraId="0C1E0DEE" w14:textId="77777777" w:rsidR="00000000" w:rsidRDefault="000A3118">
            <w:pPr>
              <w:rPr>
                <w:rFonts w:eastAsia="Times New Roman"/>
                <w:sz w:val="20"/>
                <w:szCs w:val="20"/>
              </w:rPr>
            </w:pPr>
          </w:p>
        </w:tc>
        <w:tc>
          <w:tcPr>
            <w:tcW w:w="0" w:type="auto"/>
            <w:gridSpan w:val="3"/>
            <w:vAlign w:val="center"/>
            <w:hideMark/>
          </w:tcPr>
          <w:p w14:paraId="78090FBE" w14:textId="77777777" w:rsidR="00000000" w:rsidRDefault="000A3118">
            <w:pPr>
              <w:rPr>
                <w:rFonts w:eastAsia="Times New Roman"/>
                <w:sz w:val="20"/>
                <w:szCs w:val="20"/>
              </w:rPr>
            </w:pPr>
          </w:p>
        </w:tc>
        <w:tc>
          <w:tcPr>
            <w:tcW w:w="0" w:type="auto"/>
            <w:gridSpan w:val="3"/>
            <w:vAlign w:val="center"/>
            <w:hideMark/>
          </w:tcPr>
          <w:p w14:paraId="0EADD347" w14:textId="77777777" w:rsidR="00000000" w:rsidRDefault="000A3118">
            <w:pPr>
              <w:rPr>
                <w:rFonts w:eastAsia="Times New Roman"/>
                <w:sz w:val="20"/>
                <w:szCs w:val="20"/>
              </w:rPr>
            </w:pPr>
          </w:p>
        </w:tc>
        <w:tc>
          <w:tcPr>
            <w:tcW w:w="0" w:type="auto"/>
            <w:gridSpan w:val="3"/>
            <w:vAlign w:val="center"/>
            <w:hideMark/>
          </w:tcPr>
          <w:p w14:paraId="3D8F09F5" w14:textId="77777777" w:rsidR="00000000" w:rsidRDefault="000A3118">
            <w:pPr>
              <w:rPr>
                <w:rFonts w:eastAsia="Times New Roman"/>
                <w:sz w:val="20"/>
                <w:szCs w:val="20"/>
              </w:rPr>
            </w:pPr>
          </w:p>
        </w:tc>
        <w:tc>
          <w:tcPr>
            <w:tcW w:w="0" w:type="auto"/>
            <w:gridSpan w:val="3"/>
            <w:vAlign w:val="center"/>
            <w:hideMark/>
          </w:tcPr>
          <w:p w14:paraId="337DDA91" w14:textId="77777777" w:rsidR="00000000" w:rsidRDefault="000A3118">
            <w:pPr>
              <w:rPr>
                <w:rFonts w:eastAsia="Times New Roman"/>
                <w:sz w:val="20"/>
                <w:szCs w:val="20"/>
              </w:rPr>
            </w:pPr>
          </w:p>
        </w:tc>
        <w:tc>
          <w:tcPr>
            <w:tcW w:w="0" w:type="auto"/>
            <w:gridSpan w:val="3"/>
            <w:vAlign w:val="center"/>
            <w:hideMark/>
          </w:tcPr>
          <w:p w14:paraId="7E36A8FD" w14:textId="77777777" w:rsidR="00000000" w:rsidRDefault="000A3118">
            <w:pPr>
              <w:rPr>
                <w:rFonts w:eastAsia="Times New Roman"/>
                <w:sz w:val="20"/>
                <w:szCs w:val="20"/>
              </w:rPr>
            </w:pPr>
          </w:p>
        </w:tc>
        <w:tc>
          <w:tcPr>
            <w:tcW w:w="0" w:type="auto"/>
            <w:gridSpan w:val="3"/>
            <w:vAlign w:val="center"/>
            <w:hideMark/>
          </w:tcPr>
          <w:p w14:paraId="11FDFA95" w14:textId="77777777" w:rsidR="00000000" w:rsidRDefault="000A3118">
            <w:pPr>
              <w:rPr>
                <w:rFonts w:eastAsia="Times New Roman"/>
                <w:sz w:val="20"/>
                <w:szCs w:val="20"/>
              </w:rPr>
            </w:pPr>
          </w:p>
        </w:tc>
        <w:tc>
          <w:tcPr>
            <w:tcW w:w="0" w:type="auto"/>
            <w:gridSpan w:val="3"/>
            <w:vAlign w:val="center"/>
            <w:hideMark/>
          </w:tcPr>
          <w:p w14:paraId="5782E598" w14:textId="77777777" w:rsidR="00000000" w:rsidRDefault="000A3118">
            <w:pPr>
              <w:rPr>
                <w:rFonts w:eastAsia="Times New Roman"/>
                <w:sz w:val="20"/>
                <w:szCs w:val="20"/>
              </w:rPr>
            </w:pPr>
          </w:p>
        </w:tc>
        <w:tc>
          <w:tcPr>
            <w:tcW w:w="0" w:type="auto"/>
            <w:gridSpan w:val="3"/>
            <w:vAlign w:val="center"/>
            <w:hideMark/>
          </w:tcPr>
          <w:p w14:paraId="53AECC4A" w14:textId="77777777" w:rsidR="00000000" w:rsidRDefault="000A3118">
            <w:pPr>
              <w:rPr>
                <w:rFonts w:eastAsia="Times New Roman"/>
                <w:sz w:val="20"/>
                <w:szCs w:val="20"/>
              </w:rPr>
            </w:pPr>
          </w:p>
        </w:tc>
        <w:tc>
          <w:tcPr>
            <w:tcW w:w="0" w:type="auto"/>
            <w:gridSpan w:val="3"/>
            <w:vAlign w:val="center"/>
            <w:hideMark/>
          </w:tcPr>
          <w:p w14:paraId="73E00514" w14:textId="77777777" w:rsidR="00000000" w:rsidRDefault="000A3118">
            <w:pPr>
              <w:rPr>
                <w:rFonts w:eastAsia="Times New Roman"/>
                <w:sz w:val="20"/>
                <w:szCs w:val="20"/>
              </w:rPr>
            </w:pPr>
          </w:p>
        </w:tc>
        <w:tc>
          <w:tcPr>
            <w:tcW w:w="0" w:type="auto"/>
            <w:gridSpan w:val="3"/>
            <w:vAlign w:val="center"/>
            <w:hideMark/>
          </w:tcPr>
          <w:p w14:paraId="742FB411" w14:textId="77777777" w:rsidR="00000000" w:rsidRDefault="000A3118">
            <w:pPr>
              <w:rPr>
                <w:rFonts w:eastAsia="Times New Roman"/>
                <w:sz w:val="20"/>
                <w:szCs w:val="20"/>
              </w:rPr>
            </w:pPr>
          </w:p>
        </w:tc>
        <w:tc>
          <w:tcPr>
            <w:tcW w:w="0" w:type="auto"/>
            <w:gridSpan w:val="3"/>
            <w:vAlign w:val="center"/>
            <w:hideMark/>
          </w:tcPr>
          <w:p w14:paraId="651BEE47" w14:textId="77777777" w:rsidR="00000000" w:rsidRDefault="000A3118">
            <w:pPr>
              <w:rPr>
                <w:rFonts w:eastAsia="Times New Roman"/>
                <w:sz w:val="20"/>
                <w:szCs w:val="20"/>
              </w:rPr>
            </w:pPr>
          </w:p>
        </w:tc>
        <w:tc>
          <w:tcPr>
            <w:tcW w:w="0" w:type="auto"/>
            <w:gridSpan w:val="3"/>
            <w:vAlign w:val="center"/>
            <w:hideMark/>
          </w:tcPr>
          <w:p w14:paraId="7B910E9A" w14:textId="77777777" w:rsidR="00000000" w:rsidRDefault="000A3118">
            <w:pPr>
              <w:rPr>
                <w:rFonts w:eastAsia="Times New Roman"/>
                <w:sz w:val="20"/>
                <w:szCs w:val="20"/>
              </w:rPr>
            </w:pPr>
          </w:p>
        </w:tc>
      </w:tr>
      <w:tr w:rsidR="00000000" w14:paraId="66E86353" w14:textId="77777777">
        <w:trPr>
          <w:divId w:val="1706557965"/>
        </w:trPr>
        <w:tc>
          <w:tcPr>
            <w:tcW w:w="0" w:type="auto"/>
            <w:gridSpan w:val="3"/>
            <w:shd w:val="clear" w:color="auto" w:fill="FFFFFF"/>
            <w:tcMar>
              <w:top w:w="30" w:type="dxa"/>
              <w:left w:w="135" w:type="dxa"/>
              <w:bottom w:w="30" w:type="dxa"/>
              <w:right w:w="20" w:type="dxa"/>
            </w:tcMar>
            <w:vAlign w:val="bottom"/>
            <w:hideMark/>
          </w:tcPr>
          <w:p w14:paraId="616559DB" w14:textId="77777777" w:rsidR="00000000" w:rsidRDefault="000A3118">
            <w:pPr>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0835168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AD149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B30B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88596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9DAD9D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E354D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3A5FC5" w14:textId="77777777" w:rsidR="00000000" w:rsidRDefault="000A3118">
            <w:pPr>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6978F41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8E2E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66B6B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7CD77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388B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7FA8A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976951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18B1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80AF23" w14:textId="77777777" w:rsidR="00000000" w:rsidRDefault="000A3118">
            <w:pPr>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29CBD91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54E9B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672C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6BD6A8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D502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9CDF3" w14:textId="77777777" w:rsidR="00000000" w:rsidRDefault="000A3118">
            <w:pPr>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1E8ECA02" w14:textId="77777777" w:rsidR="00000000" w:rsidRDefault="000A3118">
            <w:pPr>
              <w:jc w:val="right"/>
              <w:rPr>
                <w:rFonts w:eastAsia="Times New Roman"/>
              </w:rPr>
            </w:pPr>
          </w:p>
        </w:tc>
      </w:tr>
      <w:tr w:rsidR="00000000" w14:paraId="073379C2" w14:textId="77777777">
        <w:trPr>
          <w:divId w:val="1706557965"/>
        </w:trPr>
        <w:tc>
          <w:tcPr>
            <w:tcW w:w="0" w:type="auto"/>
            <w:gridSpan w:val="3"/>
            <w:shd w:val="clear" w:color="auto" w:fill="CCEEFF"/>
            <w:tcMar>
              <w:top w:w="30" w:type="dxa"/>
              <w:left w:w="135" w:type="dxa"/>
              <w:bottom w:w="30" w:type="dxa"/>
              <w:right w:w="20" w:type="dxa"/>
            </w:tcMar>
            <w:vAlign w:val="bottom"/>
            <w:hideMark/>
          </w:tcPr>
          <w:p w14:paraId="7C37549F" w14:textId="77777777" w:rsidR="00000000" w:rsidRDefault="000A3118">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71B6400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7C479A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C05C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F5DAA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1D36B6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C23C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84C56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096114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0C8B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C1407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CD203B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58D6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6F5182" w14:textId="77777777" w:rsidR="00000000" w:rsidRDefault="000A3118">
            <w:pPr>
              <w:jc w:val="right"/>
              <w:rPr>
                <w:rFonts w:eastAsia="Times New Roman"/>
              </w:rPr>
            </w:pPr>
            <w:r>
              <w:rPr>
                <w:rFonts w:eastAsia="Times New Roman"/>
                <w:color w:val="000000"/>
                <w:sz w:val="16"/>
                <w:szCs w:val="16"/>
              </w:rPr>
              <w:t>21.2 </w:t>
            </w:r>
          </w:p>
        </w:tc>
        <w:tc>
          <w:tcPr>
            <w:tcW w:w="0" w:type="auto"/>
            <w:shd w:val="clear" w:color="auto" w:fill="CCEEFF"/>
            <w:tcMar>
              <w:top w:w="30" w:type="dxa"/>
              <w:left w:w="0" w:type="dxa"/>
              <w:bottom w:w="30" w:type="dxa"/>
              <w:right w:w="20" w:type="dxa"/>
            </w:tcMar>
            <w:vAlign w:val="bottom"/>
            <w:hideMark/>
          </w:tcPr>
          <w:p w14:paraId="7D96C9E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DAA4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09E7D2" w14:textId="77777777" w:rsidR="00000000" w:rsidRDefault="000A3118">
            <w:pPr>
              <w:jc w:val="right"/>
              <w:rPr>
                <w:rFonts w:eastAsia="Times New Roman"/>
              </w:rPr>
            </w:pPr>
            <w:r>
              <w:rPr>
                <w:rFonts w:eastAsia="Times New Roman"/>
                <w:color w:val="000000"/>
                <w:sz w:val="16"/>
                <w:szCs w:val="16"/>
              </w:rPr>
              <w:t>21.2 </w:t>
            </w:r>
          </w:p>
        </w:tc>
        <w:tc>
          <w:tcPr>
            <w:tcW w:w="0" w:type="auto"/>
            <w:shd w:val="clear" w:color="auto" w:fill="CCEEFF"/>
            <w:tcMar>
              <w:top w:w="30" w:type="dxa"/>
              <w:left w:w="0" w:type="dxa"/>
              <w:bottom w:w="30" w:type="dxa"/>
              <w:right w:w="20" w:type="dxa"/>
            </w:tcMar>
            <w:vAlign w:val="bottom"/>
            <w:hideMark/>
          </w:tcPr>
          <w:p w14:paraId="2C0F131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C553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DDC1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32737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587A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B12A0B" w14:textId="77777777" w:rsidR="00000000" w:rsidRDefault="000A3118">
            <w:pPr>
              <w:jc w:val="right"/>
              <w:rPr>
                <w:rFonts w:eastAsia="Times New Roman"/>
              </w:rPr>
            </w:pPr>
            <w:r>
              <w:rPr>
                <w:rFonts w:eastAsia="Times New Roman"/>
                <w:color w:val="000000"/>
                <w:sz w:val="16"/>
                <w:szCs w:val="16"/>
              </w:rPr>
              <w:t>21.2 </w:t>
            </w:r>
          </w:p>
        </w:tc>
        <w:tc>
          <w:tcPr>
            <w:tcW w:w="0" w:type="auto"/>
            <w:shd w:val="clear" w:color="auto" w:fill="CCEEFF"/>
            <w:tcMar>
              <w:top w:w="30" w:type="dxa"/>
              <w:left w:w="0" w:type="dxa"/>
              <w:bottom w:w="30" w:type="dxa"/>
              <w:right w:w="20" w:type="dxa"/>
            </w:tcMar>
            <w:vAlign w:val="bottom"/>
            <w:hideMark/>
          </w:tcPr>
          <w:p w14:paraId="30A6B9D2" w14:textId="77777777" w:rsidR="00000000" w:rsidRDefault="000A3118">
            <w:pPr>
              <w:jc w:val="right"/>
              <w:rPr>
                <w:rFonts w:eastAsia="Times New Roman"/>
              </w:rPr>
            </w:pPr>
          </w:p>
        </w:tc>
      </w:tr>
      <w:tr w:rsidR="00000000" w14:paraId="02B84E0D" w14:textId="77777777">
        <w:trPr>
          <w:divId w:val="1706557965"/>
        </w:trPr>
        <w:tc>
          <w:tcPr>
            <w:tcW w:w="0" w:type="auto"/>
            <w:gridSpan w:val="3"/>
            <w:shd w:val="clear" w:color="auto" w:fill="FFFFFF"/>
            <w:tcMar>
              <w:top w:w="30" w:type="dxa"/>
              <w:left w:w="135" w:type="dxa"/>
              <w:bottom w:w="30" w:type="dxa"/>
              <w:right w:w="20" w:type="dxa"/>
            </w:tcMar>
            <w:vAlign w:val="bottom"/>
            <w:hideMark/>
          </w:tcPr>
          <w:p w14:paraId="5CD2B5BE" w14:textId="77777777" w:rsidR="00000000" w:rsidRDefault="000A3118">
            <w:pPr>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14:paraId="1A932D4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B3DBB1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F2C3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8FD8B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D79370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FCB07" w14:textId="77777777" w:rsidR="00000000" w:rsidRDefault="000A311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5C7EB9"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763501" w14:textId="77777777" w:rsidR="00000000" w:rsidRDefault="000A311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DC513D" w14:textId="77777777" w:rsidR="00000000" w:rsidRDefault="000A3118">
            <w:pPr>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vAlign w:val="bottom"/>
            <w:hideMark/>
          </w:tcPr>
          <w:p w14:paraId="4B255DE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FA74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122D0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9557F4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02FD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391B50" w14:textId="77777777" w:rsidR="00000000" w:rsidRDefault="000A3118">
            <w:pPr>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vAlign w:val="bottom"/>
            <w:hideMark/>
          </w:tcPr>
          <w:p w14:paraId="63D9805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E416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BF360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38873D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031D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56E0F" w14:textId="77777777" w:rsidR="00000000" w:rsidRDefault="000A3118">
            <w:pPr>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vAlign w:val="bottom"/>
            <w:hideMark/>
          </w:tcPr>
          <w:p w14:paraId="1B2C0493" w14:textId="77777777" w:rsidR="00000000" w:rsidRDefault="000A3118">
            <w:pPr>
              <w:jc w:val="right"/>
              <w:rPr>
                <w:rFonts w:eastAsia="Times New Roman"/>
              </w:rPr>
            </w:pPr>
          </w:p>
        </w:tc>
      </w:tr>
      <w:tr w:rsidR="000A3118" w14:paraId="2EE54D8B" w14:textId="77777777">
        <w:trPr>
          <w:divId w:val="1706557965"/>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7397099C" w14:textId="77777777" w:rsidR="00000000" w:rsidRDefault="000A3118">
            <w:pPr>
              <w:rPr>
                <w:rFonts w:eastAsia="Times New Roman"/>
              </w:rPr>
            </w:pPr>
            <w:r>
              <w:rPr>
                <w:rFonts w:eastAsia="Times New Roman"/>
                <w:color w:val="000000"/>
                <w:sz w:val="16"/>
                <w:szCs w:val="16"/>
              </w:rPr>
              <w:t>Balance as of September 30,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588B0E" w14:textId="77777777" w:rsidR="00000000" w:rsidRDefault="000A3118">
            <w:pPr>
              <w:jc w:val="right"/>
              <w:rPr>
                <w:rFonts w:eastAsia="Times New Roman"/>
              </w:rPr>
            </w:pPr>
            <w:r>
              <w:rPr>
                <w:rFonts w:eastAsia="Times New Roman"/>
                <w:color w:val="000000"/>
                <w:sz w:val="16"/>
                <w:szCs w:val="16"/>
              </w:rPr>
              <w:t>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DB5959"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0FF8D31"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D84CD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07DAB9" w14:textId="77777777" w:rsidR="00000000" w:rsidRDefault="000A3118">
            <w:pPr>
              <w:jc w:val="right"/>
              <w:rPr>
                <w:rFonts w:eastAsia="Times New Roman"/>
              </w:rPr>
            </w:pPr>
            <w:r>
              <w:rPr>
                <w:rFonts w:eastAsia="Times New Roman"/>
                <w:color w:val="000000"/>
                <w:sz w:val="16"/>
                <w:szCs w:val="16"/>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5EBB28"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03EC01B"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5C85B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831A12" w14:textId="77777777" w:rsidR="00000000" w:rsidRDefault="000A3118">
            <w:pPr>
              <w:jc w:val="right"/>
              <w:rPr>
                <w:rFonts w:eastAsia="Times New Roman"/>
              </w:rPr>
            </w:pPr>
            <w:r>
              <w:rPr>
                <w:rFonts w:eastAsia="Times New Roman"/>
                <w:color w:val="000000"/>
                <w:sz w:val="16"/>
                <w:szCs w:val="16"/>
              </w:rPr>
              <w:t>221.1 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8C0329"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86225A9"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4B737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98DF50" w14:textId="77777777" w:rsidR="00000000" w:rsidRDefault="000A3118">
            <w:pPr>
              <w:jc w:val="right"/>
              <w:rPr>
                <w:rFonts w:eastAsia="Times New Roman"/>
              </w:rPr>
            </w:pPr>
            <w:r>
              <w:rPr>
                <w:rFonts w:eastAsia="Times New Roman"/>
                <w:color w:val="000000"/>
                <w:sz w:val="16"/>
                <w:szCs w:val="16"/>
              </w:rPr>
              <w:t>1,846.6 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BBE669"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3834EFD"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7A421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4526EB" w14:textId="77777777" w:rsidR="00000000" w:rsidRDefault="000A3118">
            <w:pPr>
              <w:jc w:val="right"/>
              <w:rPr>
                <w:rFonts w:eastAsia="Times New Roman"/>
              </w:rPr>
            </w:pPr>
            <w:r>
              <w:rPr>
                <w:rFonts w:eastAsia="Times New Roman"/>
                <w:color w:val="000000"/>
                <w:sz w:val="16"/>
                <w:szCs w:val="16"/>
              </w:rPr>
              <w:t>(152.3)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F2EDAC"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D94B355"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B0812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583ECA" w14:textId="77777777" w:rsidR="00000000" w:rsidRDefault="000A3118">
            <w:pPr>
              <w:jc w:val="right"/>
              <w:rPr>
                <w:rFonts w:eastAsia="Times New Roman"/>
              </w:rPr>
            </w:pPr>
            <w:r>
              <w:rPr>
                <w:rFonts w:eastAsia="Times New Roman"/>
                <w:color w:val="000000"/>
                <w:sz w:val="16"/>
                <w:szCs w:val="16"/>
              </w:rPr>
              <w:t>1,916.0 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6DA213"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6EF92D0"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DFFC3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DBD532" w14:textId="77777777" w:rsidR="00000000" w:rsidRDefault="000A3118">
            <w:pPr>
              <w:jc w:val="right"/>
              <w:rPr>
                <w:rFonts w:eastAsia="Times New Roman"/>
              </w:rPr>
            </w:pPr>
            <w:r>
              <w:rPr>
                <w:rFonts w:eastAsia="Times New Roman"/>
                <w:color w:val="000000"/>
                <w:sz w:val="16"/>
                <w:szCs w:val="16"/>
              </w:rPr>
              <w:t>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8ECBBC"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B2ACCB5"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FBF45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D8F350" w14:textId="77777777" w:rsidR="00000000" w:rsidRDefault="000A3118">
            <w:pPr>
              <w:jc w:val="right"/>
              <w:rPr>
                <w:rFonts w:eastAsia="Times New Roman"/>
              </w:rPr>
            </w:pPr>
            <w:r>
              <w:rPr>
                <w:rFonts w:eastAsia="Times New Roman"/>
                <w:color w:val="000000"/>
                <w:sz w:val="16"/>
                <w:szCs w:val="16"/>
              </w:rPr>
              <w:t>1,919.8 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FB11C4" w14:textId="77777777" w:rsidR="00000000" w:rsidRDefault="000A3118">
            <w:pPr>
              <w:jc w:val="right"/>
              <w:rPr>
                <w:rFonts w:eastAsia="Times New Roman"/>
              </w:rPr>
            </w:pPr>
          </w:p>
        </w:tc>
      </w:tr>
    </w:tbl>
    <w:p w14:paraId="2DDC8FF5" w14:textId="77777777" w:rsidR="00000000" w:rsidRDefault="000A3118">
      <w:pPr>
        <w:divId w:val="1011491146"/>
        <w:rPr>
          <w:rFonts w:eastAsia="Times New Roman"/>
        </w:rPr>
      </w:pPr>
      <w:r>
        <w:rPr>
          <w:rFonts w:eastAsia="Times New Roman"/>
          <w:color w:val="000000"/>
          <w:sz w:val="16"/>
          <w:szCs w:val="16"/>
        </w:rPr>
        <w:t>    </w:t>
      </w:r>
      <w:r>
        <w:rPr>
          <w:rFonts w:eastAsia="Times New Roman"/>
          <w:color w:val="000000"/>
          <w:sz w:val="20"/>
          <w:szCs w:val="20"/>
        </w:rPr>
        <w:t> </w:t>
      </w:r>
    </w:p>
    <w:p w14:paraId="018B8845" w14:textId="77777777" w:rsidR="00000000" w:rsidRDefault="000A3118">
      <w:pPr>
        <w:jc w:val="center"/>
        <w:divId w:val="673799178"/>
        <w:rPr>
          <w:rFonts w:eastAsia="Times New Roman"/>
        </w:rPr>
      </w:pPr>
      <w:r>
        <w:rPr>
          <w:rFonts w:eastAsia="Times New Roman"/>
          <w:color w:val="000000"/>
          <w:sz w:val="20"/>
          <w:szCs w:val="20"/>
        </w:rPr>
        <w:t>3</w:t>
      </w:r>
    </w:p>
    <w:p w14:paraId="60F75F82" w14:textId="77777777" w:rsidR="00000000" w:rsidRDefault="000A3118">
      <w:pPr>
        <w:rPr>
          <w:rFonts w:eastAsia="Times New Roman"/>
        </w:rPr>
      </w:pPr>
      <w:r>
        <w:rPr>
          <w:rFonts w:eastAsia="Times New Roman"/>
        </w:rPr>
        <w:pict w14:anchorId="61A0AF02">
          <v:rect id="_x0000_i1031" style="width:0;height:1.5pt" o:hralign="center" o:hrstd="t" o:hr="t" fillcolor="#a0a0a0" stroked="f"/>
        </w:pict>
      </w:r>
    </w:p>
    <w:p w14:paraId="0D17F105" w14:textId="77777777" w:rsidR="00000000" w:rsidRDefault="000A3118">
      <w:pPr>
        <w:divId w:val="939947142"/>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41"/>
        <w:gridCol w:w="1289"/>
        <w:gridCol w:w="39"/>
        <w:gridCol w:w="74"/>
        <w:gridCol w:w="364"/>
        <w:gridCol w:w="36"/>
        <w:gridCol w:w="36"/>
        <w:gridCol w:w="36"/>
        <w:gridCol w:w="36"/>
        <w:gridCol w:w="101"/>
        <w:gridCol w:w="433"/>
        <w:gridCol w:w="37"/>
        <w:gridCol w:w="36"/>
        <w:gridCol w:w="36"/>
        <w:gridCol w:w="36"/>
        <w:gridCol w:w="101"/>
        <w:gridCol w:w="553"/>
        <w:gridCol w:w="36"/>
        <w:gridCol w:w="36"/>
        <w:gridCol w:w="36"/>
        <w:gridCol w:w="36"/>
        <w:gridCol w:w="100"/>
        <w:gridCol w:w="520"/>
        <w:gridCol w:w="36"/>
        <w:gridCol w:w="36"/>
        <w:gridCol w:w="36"/>
        <w:gridCol w:w="36"/>
        <w:gridCol w:w="101"/>
        <w:gridCol w:w="874"/>
        <w:gridCol w:w="36"/>
        <w:gridCol w:w="36"/>
        <w:gridCol w:w="36"/>
        <w:gridCol w:w="36"/>
        <w:gridCol w:w="101"/>
        <w:gridCol w:w="771"/>
        <w:gridCol w:w="36"/>
        <w:gridCol w:w="36"/>
        <w:gridCol w:w="36"/>
        <w:gridCol w:w="36"/>
        <w:gridCol w:w="101"/>
        <w:gridCol w:w="843"/>
        <w:gridCol w:w="36"/>
        <w:gridCol w:w="36"/>
        <w:gridCol w:w="36"/>
        <w:gridCol w:w="36"/>
        <w:gridCol w:w="101"/>
        <w:gridCol w:w="704"/>
        <w:gridCol w:w="36"/>
      </w:tblGrid>
      <w:tr w:rsidR="00000000" w14:paraId="4260C4FD" w14:textId="77777777">
        <w:trPr>
          <w:divId w:val="581834406"/>
        </w:trPr>
        <w:tc>
          <w:tcPr>
            <w:tcW w:w="50" w:type="pct"/>
            <w:vAlign w:val="center"/>
            <w:hideMark/>
          </w:tcPr>
          <w:p w14:paraId="6A86163E" w14:textId="77777777" w:rsidR="00000000" w:rsidRDefault="000A3118">
            <w:pPr>
              <w:rPr>
                <w:rFonts w:eastAsia="Times New Roman"/>
              </w:rPr>
            </w:pPr>
          </w:p>
        </w:tc>
        <w:tc>
          <w:tcPr>
            <w:tcW w:w="1320" w:type="pct"/>
            <w:vAlign w:val="center"/>
            <w:hideMark/>
          </w:tcPr>
          <w:p w14:paraId="35104907" w14:textId="77777777" w:rsidR="00000000" w:rsidRDefault="000A3118">
            <w:pPr>
              <w:rPr>
                <w:rFonts w:eastAsia="Times New Roman"/>
                <w:sz w:val="20"/>
                <w:szCs w:val="20"/>
              </w:rPr>
            </w:pPr>
          </w:p>
        </w:tc>
        <w:tc>
          <w:tcPr>
            <w:tcW w:w="5" w:type="pct"/>
            <w:vAlign w:val="center"/>
            <w:hideMark/>
          </w:tcPr>
          <w:p w14:paraId="4CCE58B9" w14:textId="77777777" w:rsidR="00000000" w:rsidRDefault="000A3118">
            <w:pPr>
              <w:rPr>
                <w:rFonts w:eastAsia="Times New Roman"/>
                <w:sz w:val="20"/>
                <w:szCs w:val="20"/>
              </w:rPr>
            </w:pPr>
          </w:p>
        </w:tc>
        <w:tc>
          <w:tcPr>
            <w:tcW w:w="50" w:type="pct"/>
            <w:vAlign w:val="center"/>
            <w:hideMark/>
          </w:tcPr>
          <w:p w14:paraId="232EA07A" w14:textId="77777777" w:rsidR="00000000" w:rsidRDefault="000A3118">
            <w:pPr>
              <w:rPr>
                <w:rFonts w:eastAsia="Times New Roman"/>
                <w:sz w:val="20"/>
                <w:szCs w:val="20"/>
              </w:rPr>
            </w:pPr>
          </w:p>
        </w:tc>
        <w:tc>
          <w:tcPr>
            <w:tcW w:w="246" w:type="pct"/>
            <w:vAlign w:val="center"/>
            <w:hideMark/>
          </w:tcPr>
          <w:p w14:paraId="4ECF380B" w14:textId="77777777" w:rsidR="00000000" w:rsidRDefault="000A3118">
            <w:pPr>
              <w:rPr>
                <w:rFonts w:eastAsia="Times New Roman"/>
                <w:sz w:val="20"/>
                <w:szCs w:val="20"/>
              </w:rPr>
            </w:pPr>
          </w:p>
        </w:tc>
        <w:tc>
          <w:tcPr>
            <w:tcW w:w="5" w:type="pct"/>
            <w:vAlign w:val="center"/>
            <w:hideMark/>
          </w:tcPr>
          <w:p w14:paraId="7EA5E206" w14:textId="77777777" w:rsidR="00000000" w:rsidRDefault="000A3118">
            <w:pPr>
              <w:rPr>
                <w:rFonts w:eastAsia="Times New Roman"/>
                <w:sz w:val="20"/>
                <w:szCs w:val="20"/>
              </w:rPr>
            </w:pPr>
          </w:p>
        </w:tc>
        <w:tc>
          <w:tcPr>
            <w:tcW w:w="5" w:type="pct"/>
            <w:vAlign w:val="center"/>
            <w:hideMark/>
          </w:tcPr>
          <w:p w14:paraId="3CDCECD4" w14:textId="77777777" w:rsidR="00000000" w:rsidRDefault="000A3118">
            <w:pPr>
              <w:rPr>
                <w:rFonts w:eastAsia="Times New Roman"/>
                <w:sz w:val="20"/>
                <w:szCs w:val="20"/>
              </w:rPr>
            </w:pPr>
          </w:p>
        </w:tc>
        <w:tc>
          <w:tcPr>
            <w:tcW w:w="26" w:type="pct"/>
            <w:vAlign w:val="center"/>
            <w:hideMark/>
          </w:tcPr>
          <w:p w14:paraId="0276432E" w14:textId="77777777" w:rsidR="00000000" w:rsidRDefault="000A3118">
            <w:pPr>
              <w:rPr>
                <w:rFonts w:eastAsia="Times New Roman"/>
                <w:sz w:val="20"/>
                <w:szCs w:val="20"/>
              </w:rPr>
            </w:pPr>
          </w:p>
        </w:tc>
        <w:tc>
          <w:tcPr>
            <w:tcW w:w="5" w:type="pct"/>
            <w:vAlign w:val="center"/>
            <w:hideMark/>
          </w:tcPr>
          <w:p w14:paraId="0DFBFE1A" w14:textId="77777777" w:rsidR="00000000" w:rsidRDefault="000A3118">
            <w:pPr>
              <w:rPr>
                <w:rFonts w:eastAsia="Times New Roman"/>
                <w:sz w:val="20"/>
                <w:szCs w:val="20"/>
              </w:rPr>
            </w:pPr>
          </w:p>
        </w:tc>
        <w:tc>
          <w:tcPr>
            <w:tcW w:w="50" w:type="pct"/>
            <w:vAlign w:val="center"/>
            <w:hideMark/>
          </w:tcPr>
          <w:p w14:paraId="174FDC61" w14:textId="77777777" w:rsidR="00000000" w:rsidRDefault="000A3118">
            <w:pPr>
              <w:rPr>
                <w:rFonts w:eastAsia="Times New Roman"/>
                <w:sz w:val="20"/>
                <w:szCs w:val="20"/>
              </w:rPr>
            </w:pPr>
          </w:p>
        </w:tc>
        <w:tc>
          <w:tcPr>
            <w:tcW w:w="246" w:type="pct"/>
            <w:vAlign w:val="center"/>
            <w:hideMark/>
          </w:tcPr>
          <w:p w14:paraId="6DC630CE" w14:textId="77777777" w:rsidR="00000000" w:rsidRDefault="000A3118">
            <w:pPr>
              <w:rPr>
                <w:rFonts w:eastAsia="Times New Roman"/>
                <w:sz w:val="20"/>
                <w:szCs w:val="20"/>
              </w:rPr>
            </w:pPr>
          </w:p>
        </w:tc>
        <w:tc>
          <w:tcPr>
            <w:tcW w:w="5" w:type="pct"/>
            <w:vAlign w:val="center"/>
            <w:hideMark/>
          </w:tcPr>
          <w:p w14:paraId="674B382F" w14:textId="77777777" w:rsidR="00000000" w:rsidRDefault="000A3118">
            <w:pPr>
              <w:rPr>
                <w:rFonts w:eastAsia="Times New Roman"/>
                <w:sz w:val="20"/>
                <w:szCs w:val="20"/>
              </w:rPr>
            </w:pPr>
          </w:p>
        </w:tc>
        <w:tc>
          <w:tcPr>
            <w:tcW w:w="5" w:type="pct"/>
            <w:vAlign w:val="center"/>
            <w:hideMark/>
          </w:tcPr>
          <w:p w14:paraId="4BB74BE6" w14:textId="77777777" w:rsidR="00000000" w:rsidRDefault="000A3118">
            <w:pPr>
              <w:rPr>
                <w:rFonts w:eastAsia="Times New Roman"/>
                <w:sz w:val="20"/>
                <w:szCs w:val="20"/>
              </w:rPr>
            </w:pPr>
          </w:p>
        </w:tc>
        <w:tc>
          <w:tcPr>
            <w:tcW w:w="26" w:type="pct"/>
            <w:vAlign w:val="center"/>
            <w:hideMark/>
          </w:tcPr>
          <w:p w14:paraId="51E794D0" w14:textId="77777777" w:rsidR="00000000" w:rsidRDefault="000A3118">
            <w:pPr>
              <w:rPr>
                <w:rFonts w:eastAsia="Times New Roman"/>
                <w:sz w:val="20"/>
                <w:szCs w:val="20"/>
              </w:rPr>
            </w:pPr>
          </w:p>
        </w:tc>
        <w:tc>
          <w:tcPr>
            <w:tcW w:w="5" w:type="pct"/>
            <w:vAlign w:val="center"/>
            <w:hideMark/>
          </w:tcPr>
          <w:p w14:paraId="3C44DCBC" w14:textId="77777777" w:rsidR="00000000" w:rsidRDefault="000A3118">
            <w:pPr>
              <w:rPr>
                <w:rFonts w:eastAsia="Times New Roman"/>
                <w:sz w:val="20"/>
                <w:szCs w:val="20"/>
              </w:rPr>
            </w:pPr>
          </w:p>
        </w:tc>
        <w:tc>
          <w:tcPr>
            <w:tcW w:w="50" w:type="pct"/>
            <w:vAlign w:val="center"/>
            <w:hideMark/>
          </w:tcPr>
          <w:p w14:paraId="38D4E4B9" w14:textId="77777777" w:rsidR="00000000" w:rsidRDefault="000A3118">
            <w:pPr>
              <w:rPr>
                <w:rFonts w:eastAsia="Times New Roman"/>
                <w:sz w:val="20"/>
                <w:szCs w:val="20"/>
              </w:rPr>
            </w:pPr>
          </w:p>
        </w:tc>
        <w:tc>
          <w:tcPr>
            <w:tcW w:w="364" w:type="pct"/>
            <w:vAlign w:val="center"/>
            <w:hideMark/>
          </w:tcPr>
          <w:p w14:paraId="5A577189" w14:textId="77777777" w:rsidR="00000000" w:rsidRDefault="000A3118">
            <w:pPr>
              <w:rPr>
                <w:rFonts w:eastAsia="Times New Roman"/>
                <w:sz w:val="20"/>
                <w:szCs w:val="20"/>
              </w:rPr>
            </w:pPr>
          </w:p>
        </w:tc>
        <w:tc>
          <w:tcPr>
            <w:tcW w:w="5" w:type="pct"/>
            <w:vAlign w:val="center"/>
            <w:hideMark/>
          </w:tcPr>
          <w:p w14:paraId="67AB76EC" w14:textId="77777777" w:rsidR="00000000" w:rsidRDefault="000A3118">
            <w:pPr>
              <w:rPr>
                <w:rFonts w:eastAsia="Times New Roman"/>
                <w:sz w:val="20"/>
                <w:szCs w:val="20"/>
              </w:rPr>
            </w:pPr>
          </w:p>
        </w:tc>
        <w:tc>
          <w:tcPr>
            <w:tcW w:w="5" w:type="pct"/>
            <w:vAlign w:val="center"/>
            <w:hideMark/>
          </w:tcPr>
          <w:p w14:paraId="37FE39FD" w14:textId="77777777" w:rsidR="00000000" w:rsidRDefault="000A3118">
            <w:pPr>
              <w:rPr>
                <w:rFonts w:eastAsia="Times New Roman"/>
                <w:sz w:val="20"/>
                <w:szCs w:val="20"/>
              </w:rPr>
            </w:pPr>
          </w:p>
        </w:tc>
        <w:tc>
          <w:tcPr>
            <w:tcW w:w="26" w:type="pct"/>
            <w:vAlign w:val="center"/>
            <w:hideMark/>
          </w:tcPr>
          <w:p w14:paraId="2F037B39" w14:textId="77777777" w:rsidR="00000000" w:rsidRDefault="000A3118">
            <w:pPr>
              <w:rPr>
                <w:rFonts w:eastAsia="Times New Roman"/>
                <w:sz w:val="20"/>
                <w:szCs w:val="20"/>
              </w:rPr>
            </w:pPr>
          </w:p>
        </w:tc>
        <w:tc>
          <w:tcPr>
            <w:tcW w:w="5" w:type="pct"/>
            <w:vAlign w:val="center"/>
            <w:hideMark/>
          </w:tcPr>
          <w:p w14:paraId="339B0B28" w14:textId="77777777" w:rsidR="00000000" w:rsidRDefault="000A3118">
            <w:pPr>
              <w:rPr>
                <w:rFonts w:eastAsia="Times New Roman"/>
                <w:sz w:val="20"/>
                <w:szCs w:val="20"/>
              </w:rPr>
            </w:pPr>
          </w:p>
        </w:tc>
        <w:tc>
          <w:tcPr>
            <w:tcW w:w="50" w:type="pct"/>
            <w:vAlign w:val="center"/>
            <w:hideMark/>
          </w:tcPr>
          <w:p w14:paraId="5E07C204" w14:textId="77777777" w:rsidR="00000000" w:rsidRDefault="000A3118">
            <w:pPr>
              <w:rPr>
                <w:rFonts w:eastAsia="Times New Roman"/>
                <w:sz w:val="20"/>
                <w:szCs w:val="20"/>
              </w:rPr>
            </w:pPr>
          </w:p>
        </w:tc>
        <w:tc>
          <w:tcPr>
            <w:tcW w:w="297" w:type="pct"/>
            <w:vAlign w:val="center"/>
            <w:hideMark/>
          </w:tcPr>
          <w:p w14:paraId="6AAAEE0A" w14:textId="77777777" w:rsidR="00000000" w:rsidRDefault="000A3118">
            <w:pPr>
              <w:rPr>
                <w:rFonts w:eastAsia="Times New Roman"/>
                <w:sz w:val="20"/>
                <w:szCs w:val="20"/>
              </w:rPr>
            </w:pPr>
          </w:p>
        </w:tc>
        <w:tc>
          <w:tcPr>
            <w:tcW w:w="5" w:type="pct"/>
            <w:vAlign w:val="center"/>
            <w:hideMark/>
          </w:tcPr>
          <w:p w14:paraId="3A7AE6A0" w14:textId="77777777" w:rsidR="00000000" w:rsidRDefault="000A3118">
            <w:pPr>
              <w:rPr>
                <w:rFonts w:eastAsia="Times New Roman"/>
                <w:sz w:val="20"/>
                <w:szCs w:val="20"/>
              </w:rPr>
            </w:pPr>
          </w:p>
        </w:tc>
        <w:tc>
          <w:tcPr>
            <w:tcW w:w="5" w:type="pct"/>
            <w:vAlign w:val="center"/>
            <w:hideMark/>
          </w:tcPr>
          <w:p w14:paraId="17EE5EAC" w14:textId="77777777" w:rsidR="00000000" w:rsidRDefault="000A3118">
            <w:pPr>
              <w:rPr>
                <w:rFonts w:eastAsia="Times New Roman"/>
                <w:sz w:val="20"/>
                <w:szCs w:val="20"/>
              </w:rPr>
            </w:pPr>
          </w:p>
        </w:tc>
        <w:tc>
          <w:tcPr>
            <w:tcW w:w="26" w:type="pct"/>
            <w:vAlign w:val="center"/>
            <w:hideMark/>
          </w:tcPr>
          <w:p w14:paraId="2EB29818" w14:textId="77777777" w:rsidR="00000000" w:rsidRDefault="000A3118">
            <w:pPr>
              <w:rPr>
                <w:rFonts w:eastAsia="Times New Roman"/>
                <w:sz w:val="20"/>
                <w:szCs w:val="20"/>
              </w:rPr>
            </w:pPr>
          </w:p>
        </w:tc>
        <w:tc>
          <w:tcPr>
            <w:tcW w:w="5" w:type="pct"/>
            <w:vAlign w:val="center"/>
            <w:hideMark/>
          </w:tcPr>
          <w:p w14:paraId="14819F9F" w14:textId="77777777" w:rsidR="00000000" w:rsidRDefault="000A3118">
            <w:pPr>
              <w:rPr>
                <w:rFonts w:eastAsia="Times New Roman"/>
                <w:sz w:val="20"/>
                <w:szCs w:val="20"/>
              </w:rPr>
            </w:pPr>
          </w:p>
        </w:tc>
        <w:tc>
          <w:tcPr>
            <w:tcW w:w="50" w:type="pct"/>
            <w:vAlign w:val="center"/>
            <w:hideMark/>
          </w:tcPr>
          <w:p w14:paraId="4BD55481" w14:textId="77777777" w:rsidR="00000000" w:rsidRDefault="000A3118">
            <w:pPr>
              <w:rPr>
                <w:rFonts w:eastAsia="Times New Roman"/>
                <w:sz w:val="20"/>
                <w:szCs w:val="20"/>
              </w:rPr>
            </w:pPr>
          </w:p>
        </w:tc>
        <w:tc>
          <w:tcPr>
            <w:tcW w:w="481" w:type="pct"/>
            <w:vAlign w:val="center"/>
            <w:hideMark/>
          </w:tcPr>
          <w:p w14:paraId="5217A61D" w14:textId="77777777" w:rsidR="00000000" w:rsidRDefault="000A3118">
            <w:pPr>
              <w:rPr>
                <w:rFonts w:eastAsia="Times New Roman"/>
                <w:sz w:val="20"/>
                <w:szCs w:val="20"/>
              </w:rPr>
            </w:pPr>
          </w:p>
        </w:tc>
        <w:tc>
          <w:tcPr>
            <w:tcW w:w="5" w:type="pct"/>
            <w:vAlign w:val="center"/>
            <w:hideMark/>
          </w:tcPr>
          <w:p w14:paraId="704C8AC9" w14:textId="77777777" w:rsidR="00000000" w:rsidRDefault="000A3118">
            <w:pPr>
              <w:rPr>
                <w:rFonts w:eastAsia="Times New Roman"/>
                <w:sz w:val="20"/>
                <w:szCs w:val="20"/>
              </w:rPr>
            </w:pPr>
          </w:p>
        </w:tc>
        <w:tc>
          <w:tcPr>
            <w:tcW w:w="5" w:type="pct"/>
            <w:vAlign w:val="center"/>
            <w:hideMark/>
          </w:tcPr>
          <w:p w14:paraId="43754292" w14:textId="77777777" w:rsidR="00000000" w:rsidRDefault="000A3118">
            <w:pPr>
              <w:rPr>
                <w:rFonts w:eastAsia="Times New Roman"/>
                <w:sz w:val="20"/>
                <w:szCs w:val="20"/>
              </w:rPr>
            </w:pPr>
          </w:p>
        </w:tc>
        <w:tc>
          <w:tcPr>
            <w:tcW w:w="26" w:type="pct"/>
            <w:vAlign w:val="center"/>
            <w:hideMark/>
          </w:tcPr>
          <w:p w14:paraId="0487B721" w14:textId="77777777" w:rsidR="00000000" w:rsidRDefault="000A3118">
            <w:pPr>
              <w:rPr>
                <w:rFonts w:eastAsia="Times New Roman"/>
                <w:sz w:val="20"/>
                <w:szCs w:val="20"/>
              </w:rPr>
            </w:pPr>
          </w:p>
        </w:tc>
        <w:tc>
          <w:tcPr>
            <w:tcW w:w="5" w:type="pct"/>
            <w:vAlign w:val="center"/>
            <w:hideMark/>
          </w:tcPr>
          <w:p w14:paraId="65892987" w14:textId="77777777" w:rsidR="00000000" w:rsidRDefault="000A3118">
            <w:pPr>
              <w:rPr>
                <w:rFonts w:eastAsia="Times New Roman"/>
                <w:sz w:val="20"/>
                <w:szCs w:val="20"/>
              </w:rPr>
            </w:pPr>
          </w:p>
        </w:tc>
        <w:tc>
          <w:tcPr>
            <w:tcW w:w="50" w:type="pct"/>
            <w:vAlign w:val="center"/>
            <w:hideMark/>
          </w:tcPr>
          <w:p w14:paraId="5A0B1741" w14:textId="77777777" w:rsidR="00000000" w:rsidRDefault="000A3118">
            <w:pPr>
              <w:rPr>
                <w:rFonts w:eastAsia="Times New Roman"/>
                <w:sz w:val="20"/>
                <w:szCs w:val="20"/>
              </w:rPr>
            </w:pPr>
          </w:p>
        </w:tc>
        <w:tc>
          <w:tcPr>
            <w:tcW w:w="415" w:type="pct"/>
            <w:vAlign w:val="center"/>
            <w:hideMark/>
          </w:tcPr>
          <w:p w14:paraId="7687F213" w14:textId="77777777" w:rsidR="00000000" w:rsidRDefault="000A3118">
            <w:pPr>
              <w:rPr>
                <w:rFonts w:eastAsia="Times New Roman"/>
                <w:sz w:val="20"/>
                <w:szCs w:val="20"/>
              </w:rPr>
            </w:pPr>
          </w:p>
        </w:tc>
        <w:tc>
          <w:tcPr>
            <w:tcW w:w="5" w:type="pct"/>
            <w:vAlign w:val="center"/>
            <w:hideMark/>
          </w:tcPr>
          <w:p w14:paraId="585EBE75" w14:textId="77777777" w:rsidR="00000000" w:rsidRDefault="000A3118">
            <w:pPr>
              <w:rPr>
                <w:rFonts w:eastAsia="Times New Roman"/>
                <w:sz w:val="20"/>
                <w:szCs w:val="20"/>
              </w:rPr>
            </w:pPr>
          </w:p>
        </w:tc>
        <w:tc>
          <w:tcPr>
            <w:tcW w:w="5" w:type="pct"/>
            <w:vAlign w:val="center"/>
            <w:hideMark/>
          </w:tcPr>
          <w:p w14:paraId="45BD7C93" w14:textId="77777777" w:rsidR="00000000" w:rsidRDefault="000A3118">
            <w:pPr>
              <w:rPr>
                <w:rFonts w:eastAsia="Times New Roman"/>
                <w:sz w:val="20"/>
                <w:szCs w:val="20"/>
              </w:rPr>
            </w:pPr>
          </w:p>
        </w:tc>
        <w:tc>
          <w:tcPr>
            <w:tcW w:w="26" w:type="pct"/>
            <w:vAlign w:val="center"/>
            <w:hideMark/>
          </w:tcPr>
          <w:p w14:paraId="1160E6BA" w14:textId="77777777" w:rsidR="00000000" w:rsidRDefault="000A3118">
            <w:pPr>
              <w:rPr>
                <w:rFonts w:eastAsia="Times New Roman"/>
                <w:sz w:val="20"/>
                <w:szCs w:val="20"/>
              </w:rPr>
            </w:pPr>
          </w:p>
        </w:tc>
        <w:tc>
          <w:tcPr>
            <w:tcW w:w="5" w:type="pct"/>
            <w:vAlign w:val="center"/>
            <w:hideMark/>
          </w:tcPr>
          <w:p w14:paraId="4D802072" w14:textId="77777777" w:rsidR="00000000" w:rsidRDefault="000A3118">
            <w:pPr>
              <w:rPr>
                <w:rFonts w:eastAsia="Times New Roman"/>
                <w:sz w:val="20"/>
                <w:szCs w:val="20"/>
              </w:rPr>
            </w:pPr>
          </w:p>
        </w:tc>
        <w:tc>
          <w:tcPr>
            <w:tcW w:w="50" w:type="pct"/>
            <w:vAlign w:val="center"/>
            <w:hideMark/>
          </w:tcPr>
          <w:p w14:paraId="47699C11" w14:textId="77777777" w:rsidR="00000000" w:rsidRDefault="000A3118">
            <w:pPr>
              <w:rPr>
                <w:rFonts w:eastAsia="Times New Roman"/>
                <w:sz w:val="20"/>
                <w:szCs w:val="20"/>
              </w:rPr>
            </w:pPr>
          </w:p>
        </w:tc>
        <w:tc>
          <w:tcPr>
            <w:tcW w:w="467" w:type="pct"/>
            <w:vAlign w:val="center"/>
            <w:hideMark/>
          </w:tcPr>
          <w:p w14:paraId="39950C2C" w14:textId="77777777" w:rsidR="00000000" w:rsidRDefault="000A3118">
            <w:pPr>
              <w:rPr>
                <w:rFonts w:eastAsia="Times New Roman"/>
                <w:sz w:val="20"/>
                <w:szCs w:val="20"/>
              </w:rPr>
            </w:pPr>
          </w:p>
        </w:tc>
        <w:tc>
          <w:tcPr>
            <w:tcW w:w="5" w:type="pct"/>
            <w:vAlign w:val="center"/>
            <w:hideMark/>
          </w:tcPr>
          <w:p w14:paraId="2600BF37" w14:textId="77777777" w:rsidR="00000000" w:rsidRDefault="000A3118">
            <w:pPr>
              <w:rPr>
                <w:rFonts w:eastAsia="Times New Roman"/>
                <w:sz w:val="20"/>
                <w:szCs w:val="20"/>
              </w:rPr>
            </w:pPr>
          </w:p>
        </w:tc>
        <w:tc>
          <w:tcPr>
            <w:tcW w:w="5" w:type="pct"/>
            <w:vAlign w:val="center"/>
            <w:hideMark/>
          </w:tcPr>
          <w:p w14:paraId="05B4628C" w14:textId="77777777" w:rsidR="00000000" w:rsidRDefault="000A3118">
            <w:pPr>
              <w:rPr>
                <w:rFonts w:eastAsia="Times New Roman"/>
                <w:sz w:val="20"/>
                <w:szCs w:val="20"/>
              </w:rPr>
            </w:pPr>
          </w:p>
        </w:tc>
        <w:tc>
          <w:tcPr>
            <w:tcW w:w="26" w:type="pct"/>
            <w:vAlign w:val="center"/>
            <w:hideMark/>
          </w:tcPr>
          <w:p w14:paraId="743545DC" w14:textId="77777777" w:rsidR="00000000" w:rsidRDefault="000A3118">
            <w:pPr>
              <w:rPr>
                <w:rFonts w:eastAsia="Times New Roman"/>
                <w:sz w:val="20"/>
                <w:szCs w:val="20"/>
              </w:rPr>
            </w:pPr>
          </w:p>
        </w:tc>
        <w:tc>
          <w:tcPr>
            <w:tcW w:w="5" w:type="pct"/>
            <w:vAlign w:val="center"/>
            <w:hideMark/>
          </w:tcPr>
          <w:p w14:paraId="3AC6012F" w14:textId="77777777" w:rsidR="00000000" w:rsidRDefault="000A3118">
            <w:pPr>
              <w:rPr>
                <w:rFonts w:eastAsia="Times New Roman"/>
                <w:sz w:val="20"/>
                <w:szCs w:val="20"/>
              </w:rPr>
            </w:pPr>
          </w:p>
        </w:tc>
        <w:tc>
          <w:tcPr>
            <w:tcW w:w="50" w:type="pct"/>
            <w:vAlign w:val="center"/>
            <w:hideMark/>
          </w:tcPr>
          <w:p w14:paraId="59283014" w14:textId="77777777" w:rsidR="00000000" w:rsidRDefault="000A3118">
            <w:pPr>
              <w:rPr>
                <w:rFonts w:eastAsia="Times New Roman"/>
                <w:sz w:val="20"/>
                <w:szCs w:val="20"/>
              </w:rPr>
            </w:pPr>
          </w:p>
        </w:tc>
        <w:tc>
          <w:tcPr>
            <w:tcW w:w="408" w:type="pct"/>
            <w:vAlign w:val="center"/>
            <w:hideMark/>
          </w:tcPr>
          <w:p w14:paraId="75C95E75" w14:textId="77777777" w:rsidR="00000000" w:rsidRDefault="000A3118">
            <w:pPr>
              <w:rPr>
                <w:rFonts w:eastAsia="Times New Roman"/>
                <w:sz w:val="20"/>
                <w:szCs w:val="20"/>
              </w:rPr>
            </w:pPr>
          </w:p>
        </w:tc>
        <w:tc>
          <w:tcPr>
            <w:tcW w:w="5" w:type="pct"/>
            <w:vAlign w:val="center"/>
            <w:hideMark/>
          </w:tcPr>
          <w:p w14:paraId="49399D9F" w14:textId="77777777" w:rsidR="00000000" w:rsidRDefault="000A3118">
            <w:pPr>
              <w:rPr>
                <w:rFonts w:eastAsia="Times New Roman"/>
                <w:sz w:val="20"/>
                <w:szCs w:val="20"/>
              </w:rPr>
            </w:pPr>
          </w:p>
        </w:tc>
      </w:tr>
      <w:tr w:rsidR="00000000" w14:paraId="67DDF4D8" w14:textId="77777777">
        <w:trPr>
          <w:divId w:val="581834406"/>
          <w:trHeight w:val="400"/>
        </w:trPr>
        <w:tc>
          <w:tcPr>
            <w:tcW w:w="0" w:type="auto"/>
            <w:gridSpan w:val="3"/>
            <w:tcMar>
              <w:top w:w="30" w:type="dxa"/>
              <w:left w:w="20" w:type="dxa"/>
              <w:bottom w:w="30" w:type="dxa"/>
              <w:right w:w="20" w:type="dxa"/>
            </w:tcMar>
            <w:vAlign w:val="center"/>
            <w:hideMark/>
          </w:tcPr>
          <w:p w14:paraId="1571EACA" w14:textId="77777777" w:rsidR="00000000" w:rsidRDefault="000A3118">
            <w:pPr>
              <w:rPr>
                <w:rFonts w:eastAsia="Times New Roman"/>
              </w:rPr>
            </w:pPr>
            <w:r>
              <w:rPr>
                <w:rFonts w:eastAsia="Times New Roman"/>
                <w:color w:val="000000"/>
                <w:sz w:val="14"/>
                <w:szCs w:val="14"/>
              </w:rPr>
              <w:t> </w:t>
            </w:r>
          </w:p>
        </w:tc>
        <w:tc>
          <w:tcPr>
            <w:tcW w:w="0" w:type="auto"/>
            <w:gridSpan w:val="9"/>
            <w:shd w:val="clear" w:color="auto" w:fill="FFFFFF"/>
            <w:tcMar>
              <w:top w:w="30" w:type="dxa"/>
              <w:left w:w="20" w:type="dxa"/>
              <w:bottom w:w="30" w:type="dxa"/>
              <w:right w:w="20" w:type="dxa"/>
            </w:tcMar>
            <w:vAlign w:val="bottom"/>
            <w:hideMark/>
          </w:tcPr>
          <w:p w14:paraId="4E4908CB" w14:textId="77777777" w:rsidR="00000000" w:rsidRDefault="000A3118">
            <w:pPr>
              <w:jc w:val="center"/>
              <w:rPr>
                <w:rFonts w:eastAsia="Times New Roman"/>
              </w:rPr>
            </w:pPr>
            <w:r>
              <w:rPr>
                <w:rFonts w:eastAsia="Times New Roman"/>
                <w:b/>
                <w:bCs/>
                <w:color w:val="000000"/>
                <w:sz w:val="14"/>
                <w:szCs w:val="14"/>
              </w:rPr>
              <w:t>Common Stock</w:t>
            </w:r>
          </w:p>
        </w:tc>
        <w:tc>
          <w:tcPr>
            <w:tcW w:w="0" w:type="auto"/>
            <w:gridSpan w:val="3"/>
            <w:shd w:val="clear" w:color="auto" w:fill="FFFFFF"/>
            <w:tcMar>
              <w:top w:w="0" w:type="dxa"/>
              <w:left w:w="20" w:type="dxa"/>
              <w:bottom w:w="0" w:type="dxa"/>
              <w:right w:w="20" w:type="dxa"/>
            </w:tcMar>
            <w:vAlign w:val="center"/>
            <w:hideMark/>
          </w:tcPr>
          <w:p w14:paraId="62E3438A" w14:textId="77777777" w:rsidR="00000000" w:rsidRDefault="000A3118">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14:paraId="43A2DF46" w14:textId="77777777" w:rsidR="00000000" w:rsidRDefault="000A3118">
            <w:pPr>
              <w:jc w:val="center"/>
              <w:rPr>
                <w:rFonts w:eastAsia="Times New Roman"/>
              </w:rPr>
            </w:pPr>
            <w:r>
              <w:rPr>
                <w:rFonts w:eastAsia="Times New Roman"/>
                <w:b/>
                <w:bCs/>
                <w:color w:val="000000"/>
                <w:sz w:val="14"/>
                <w:szCs w:val="14"/>
              </w:rPr>
              <w:t>Capital in</w:t>
            </w:r>
            <w:r>
              <w:rPr>
                <w:rFonts w:eastAsia="Times New Roman"/>
                <w:b/>
                <w:bCs/>
                <w:color w:val="000000"/>
                <w:sz w:val="14"/>
                <w:szCs w:val="14"/>
              </w:rPr>
              <w:br/>
              <w:t>Excess of</w:t>
            </w:r>
            <w:r>
              <w:rPr>
                <w:rFonts w:eastAsia="Times New Roman"/>
                <w:b/>
                <w:bCs/>
                <w:color w:val="000000"/>
                <w:sz w:val="14"/>
                <w:szCs w:val="14"/>
              </w:rPr>
              <w:br/>
              <w:t>Par Value</w:t>
            </w:r>
          </w:p>
        </w:tc>
        <w:tc>
          <w:tcPr>
            <w:tcW w:w="0" w:type="auto"/>
            <w:gridSpan w:val="3"/>
            <w:shd w:val="clear" w:color="auto" w:fill="FFFFFF"/>
            <w:tcMar>
              <w:top w:w="0" w:type="dxa"/>
              <w:left w:w="20" w:type="dxa"/>
              <w:bottom w:w="0" w:type="dxa"/>
              <w:right w:w="20" w:type="dxa"/>
            </w:tcMar>
            <w:vAlign w:val="center"/>
            <w:hideMark/>
          </w:tcPr>
          <w:p w14:paraId="5A5C479C" w14:textId="77777777" w:rsidR="00000000" w:rsidRDefault="000A3118">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14:paraId="21341AF1" w14:textId="77777777" w:rsidR="00000000" w:rsidRDefault="000A3118">
            <w:pPr>
              <w:jc w:val="center"/>
              <w:rPr>
                <w:rFonts w:eastAsia="Times New Roman"/>
              </w:rPr>
            </w:pPr>
            <w:r>
              <w:rPr>
                <w:rFonts w:eastAsia="Times New Roman"/>
                <w:b/>
                <w:bCs/>
                <w:color w:val="000000"/>
                <w:sz w:val="14"/>
                <w:szCs w:val="14"/>
              </w:rPr>
              <w:t>Retained</w:t>
            </w:r>
            <w:r>
              <w:rPr>
                <w:rFonts w:eastAsia="Times New Roman"/>
                <w:b/>
                <w:bCs/>
                <w:color w:val="000000"/>
                <w:sz w:val="14"/>
                <w:szCs w:val="14"/>
              </w:rPr>
              <w:br/>
              <w:t>Earnings</w:t>
            </w:r>
          </w:p>
        </w:tc>
        <w:tc>
          <w:tcPr>
            <w:tcW w:w="0" w:type="auto"/>
            <w:gridSpan w:val="3"/>
            <w:shd w:val="clear" w:color="auto" w:fill="FFFFFF"/>
            <w:tcMar>
              <w:top w:w="0" w:type="dxa"/>
              <w:left w:w="20" w:type="dxa"/>
              <w:bottom w:w="0" w:type="dxa"/>
              <w:right w:w="20" w:type="dxa"/>
            </w:tcMar>
            <w:vAlign w:val="center"/>
            <w:hideMark/>
          </w:tcPr>
          <w:p w14:paraId="66FA5F46" w14:textId="77777777" w:rsidR="00000000" w:rsidRDefault="000A3118">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14:paraId="2E25E476" w14:textId="77777777" w:rsidR="00000000" w:rsidRDefault="000A3118">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Loss</w:t>
            </w:r>
          </w:p>
        </w:tc>
        <w:tc>
          <w:tcPr>
            <w:tcW w:w="0" w:type="auto"/>
            <w:gridSpan w:val="3"/>
            <w:shd w:val="clear" w:color="auto" w:fill="FFFFFF"/>
            <w:tcMar>
              <w:top w:w="0" w:type="dxa"/>
              <w:left w:w="20" w:type="dxa"/>
              <w:bottom w:w="0" w:type="dxa"/>
              <w:right w:w="20" w:type="dxa"/>
            </w:tcMar>
            <w:vAlign w:val="center"/>
            <w:hideMark/>
          </w:tcPr>
          <w:p w14:paraId="7EBA4925" w14:textId="77777777" w:rsidR="00000000" w:rsidRDefault="000A3118">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14:paraId="4B951F2E" w14:textId="77777777" w:rsidR="00000000" w:rsidRDefault="000A3118">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World Fuel</w:t>
            </w:r>
            <w:r>
              <w:rPr>
                <w:rFonts w:eastAsia="Times New Roman"/>
                <w:b/>
                <w:bCs/>
                <w:color w:val="000000"/>
                <w:sz w:val="14"/>
                <w:szCs w:val="14"/>
              </w:rPr>
              <w:br/>
              <w:t>Shareholders'</w:t>
            </w:r>
            <w:r>
              <w:rPr>
                <w:rFonts w:eastAsia="Times New Roman"/>
                <w:b/>
                <w:bCs/>
                <w:color w:val="000000"/>
                <w:sz w:val="14"/>
                <w:szCs w:val="14"/>
              </w:rPr>
              <w:br/>
              <w:t>Equity</w:t>
            </w:r>
          </w:p>
        </w:tc>
        <w:tc>
          <w:tcPr>
            <w:tcW w:w="0" w:type="auto"/>
            <w:gridSpan w:val="3"/>
            <w:shd w:val="clear" w:color="auto" w:fill="FFFFFF"/>
            <w:tcMar>
              <w:top w:w="0" w:type="dxa"/>
              <w:left w:w="20" w:type="dxa"/>
              <w:bottom w:w="0" w:type="dxa"/>
              <w:right w:w="20" w:type="dxa"/>
            </w:tcMar>
            <w:vAlign w:val="center"/>
            <w:hideMark/>
          </w:tcPr>
          <w:p w14:paraId="32DA029A" w14:textId="77777777" w:rsidR="00000000" w:rsidRDefault="000A3118">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14:paraId="70A28E15" w14:textId="77777777" w:rsidR="00000000" w:rsidRDefault="000A3118">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 xml:space="preserve">Interest </w:t>
            </w:r>
            <w:r>
              <w:rPr>
                <w:rFonts w:eastAsia="Times New Roman"/>
                <w:b/>
                <w:bCs/>
                <w:color w:val="000000"/>
                <w:sz w:val="14"/>
                <w:szCs w:val="14"/>
              </w:rPr>
              <w:br/>
              <w:t>Equity</w:t>
            </w:r>
          </w:p>
        </w:tc>
        <w:tc>
          <w:tcPr>
            <w:tcW w:w="0" w:type="auto"/>
            <w:gridSpan w:val="3"/>
            <w:shd w:val="clear" w:color="auto" w:fill="FFFFFF"/>
            <w:tcMar>
              <w:top w:w="0" w:type="dxa"/>
              <w:left w:w="20" w:type="dxa"/>
              <w:bottom w:w="0" w:type="dxa"/>
              <w:right w:w="20" w:type="dxa"/>
            </w:tcMar>
            <w:vAlign w:val="center"/>
            <w:hideMark/>
          </w:tcPr>
          <w:p w14:paraId="2731A80D" w14:textId="77777777" w:rsidR="00000000" w:rsidRDefault="000A311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708CE45" w14:textId="77777777" w:rsidR="00000000" w:rsidRDefault="000A3118">
            <w:pPr>
              <w:jc w:val="center"/>
              <w:rPr>
                <w:rFonts w:eastAsia="Times New Roman"/>
              </w:rPr>
            </w:pPr>
            <w:r>
              <w:rPr>
                <w:rFonts w:eastAsia="Times New Roman"/>
                <w:color w:val="000000"/>
                <w:sz w:val="20"/>
                <w:szCs w:val="20"/>
              </w:rPr>
              <w:t> </w:t>
            </w:r>
          </w:p>
        </w:tc>
      </w:tr>
      <w:tr w:rsidR="00000000" w14:paraId="1102A822" w14:textId="77777777">
        <w:trPr>
          <w:divId w:val="581834406"/>
          <w:trHeight w:val="240"/>
        </w:trPr>
        <w:tc>
          <w:tcPr>
            <w:tcW w:w="0" w:type="auto"/>
            <w:gridSpan w:val="3"/>
            <w:tcMar>
              <w:top w:w="30" w:type="dxa"/>
              <w:left w:w="20" w:type="dxa"/>
              <w:bottom w:w="30" w:type="dxa"/>
              <w:right w:w="20" w:type="dxa"/>
            </w:tcMar>
            <w:vAlign w:val="center"/>
            <w:hideMark/>
          </w:tcPr>
          <w:p w14:paraId="4907031F" w14:textId="77777777" w:rsidR="00000000" w:rsidRDefault="000A3118">
            <w:pPr>
              <w:rPr>
                <w:rFonts w:eastAsia="Times New Roman"/>
              </w:rPr>
            </w:pPr>
            <w:r>
              <w:rPr>
                <w:rFonts w:eastAsia="Times New Roman"/>
                <w:color w:val="000000"/>
                <w:sz w:val="14"/>
                <w:szCs w:val="14"/>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D0F9162" w14:textId="77777777" w:rsidR="00000000" w:rsidRDefault="000A3118">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491D44" w14:textId="77777777" w:rsidR="00000000" w:rsidRDefault="000A311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4F48A2E" w14:textId="77777777" w:rsidR="00000000" w:rsidRDefault="000A3118">
            <w:pPr>
              <w:jc w:val="center"/>
              <w:rPr>
                <w:rFonts w:eastAsia="Times New Roman"/>
              </w:rPr>
            </w:pPr>
            <w:r>
              <w:rPr>
                <w:rFonts w:eastAsia="Times New Roman"/>
                <w:b/>
                <w:bCs/>
                <w:color w:val="000000"/>
                <w:sz w:val="14"/>
                <w:szCs w:val="14"/>
              </w:rPr>
              <w:t>Amount</w:t>
            </w:r>
          </w:p>
        </w:tc>
        <w:tc>
          <w:tcPr>
            <w:tcW w:w="0" w:type="auto"/>
            <w:gridSpan w:val="3"/>
            <w:shd w:val="clear" w:color="auto" w:fill="FFFFFF"/>
            <w:tcMar>
              <w:top w:w="0" w:type="dxa"/>
              <w:left w:w="20" w:type="dxa"/>
              <w:bottom w:w="0" w:type="dxa"/>
              <w:right w:w="20" w:type="dxa"/>
            </w:tcMar>
            <w:vAlign w:val="center"/>
            <w:hideMark/>
          </w:tcPr>
          <w:p w14:paraId="0465BD56" w14:textId="77777777" w:rsidR="00000000" w:rsidRDefault="000A3118">
            <w:pPr>
              <w:jc w:val="center"/>
              <w:rPr>
                <w:rFonts w:eastAsia="Times New Roman"/>
              </w:rPr>
            </w:pPr>
          </w:p>
        </w:tc>
        <w:tc>
          <w:tcPr>
            <w:tcW w:w="0" w:type="auto"/>
            <w:gridSpan w:val="3"/>
            <w:vMerge/>
            <w:vAlign w:val="center"/>
            <w:hideMark/>
          </w:tcPr>
          <w:p w14:paraId="4E1D4FAD"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68BF8" w14:textId="77777777" w:rsidR="00000000" w:rsidRDefault="000A3118">
            <w:pPr>
              <w:rPr>
                <w:rFonts w:eastAsia="Times New Roman"/>
                <w:sz w:val="20"/>
                <w:szCs w:val="20"/>
              </w:rPr>
            </w:pPr>
          </w:p>
        </w:tc>
        <w:tc>
          <w:tcPr>
            <w:tcW w:w="0" w:type="auto"/>
            <w:gridSpan w:val="3"/>
            <w:vMerge/>
            <w:vAlign w:val="center"/>
            <w:hideMark/>
          </w:tcPr>
          <w:p w14:paraId="25B4870E"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DF563" w14:textId="77777777" w:rsidR="00000000" w:rsidRDefault="000A3118">
            <w:pPr>
              <w:rPr>
                <w:rFonts w:eastAsia="Times New Roman"/>
                <w:sz w:val="20"/>
                <w:szCs w:val="20"/>
              </w:rPr>
            </w:pPr>
          </w:p>
        </w:tc>
        <w:tc>
          <w:tcPr>
            <w:tcW w:w="0" w:type="auto"/>
            <w:gridSpan w:val="3"/>
            <w:vMerge/>
            <w:vAlign w:val="center"/>
            <w:hideMark/>
          </w:tcPr>
          <w:p w14:paraId="41AB8D83"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0BD6B" w14:textId="77777777" w:rsidR="00000000" w:rsidRDefault="000A3118">
            <w:pPr>
              <w:rPr>
                <w:rFonts w:eastAsia="Times New Roman"/>
                <w:sz w:val="20"/>
                <w:szCs w:val="20"/>
              </w:rPr>
            </w:pPr>
          </w:p>
        </w:tc>
        <w:tc>
          <w:tcPr>
            <w:tcW w:w="0" w:type="auto"/>
            <w:gridSpan w:val="3"/>
            <w:vMerge/>
            <w:vAlign w:val="center"/>
            <w:hideMark/>
          </w:tcPr>
          <w:p w14:paraId="334FA21D"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B1046" w14:textId="77777777" w:rsidR="00000000" w:rsidRDefault="000A3118">
            <w:pPr>
              <w:rPr>
                <w:rFonts w:eastAsia="Times New Roman"/>
                <w:sz w:val="20"/>
                <w:szCs w:val="20"/>
              </w:rPr>
            </w:pPr>
          </w:p>
        </w:tc>
        <w:tc>
          <w:tcPr>
            <w:tcW w:w="0" w:type="auto"/>
            <w:gridSpan w:val="3"/>
            <w:vMerge/>
            <w:vAlign w:val="center"/>
            <w:hideMark/>
          </w:tcPr>
          <w:p w14:paraId="707C09D2"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91A690" w14:textId="77777777" w:rsidR="00000000" w:rsidRDefault="000A3118">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BAFC418" w14:textId="77777777" w:rsidR="00000000" w:rsidRDefault="000A3118">
            <w:pPr>
              <w:jc w:val="center"/>
              <w:rPr>
                <w:rFonts w:eastAsia="Times New Roman"/>
              </w:rPr>
            </w:pPr>
            <w:r>
              <w:rPr>
                <w:rFonts w:eastAsia="Times New Roman"/>
                <w:b/>
                <w:bCs/>
                <w:color w:val="000000"/>
                <w:sz w:val="14"/>
                <w:szCs w:val="14"/>
              </w:rPr>
              <w:t>Total Equity</w:t>
            </w:r>
          </w:p>
        </w:tc>
      </w:tr>
      <w:tr w:rsidR="000A3118" w14:paraId="622E7317" w14:textId="77777777">
        <w:trPr>
          <w:divId w:val="58183440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F8EAE8" w14:textId="77777777" w:rsidR="00000000" w:rsidRDefault="000A3118">
            <w:pPr>
              <w:rPr>
                <w:rFonts w:eastAsia="Times New Roman"/>
              </w:rPr>
            </w:pPr>
            <w:r>
              <w:rPr>
                <w:rFonts w:eastAsia="Times New Roman"/>
                <w:color w:val="000000"/>
                <w:sz w:val="16"/>
                <w:szCs w:val="16"/>
              </w:rPr>
              <w:t>Balance as of December 31,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5895DB" w14:textId="77777777" w:rsidR="00000000" w:rsidRDefault="000A3118">
            <w:pPr>
              <w:jc w:val="right"/>
              <w:rPr>
                <w:rFonts w:eastAsia="Times New Roman"/>
              </w:rPr>
            </w:pPr>
            <w:r>
              <w:rPr>
                <w:rFonts w:eastAsia="Times New Roman"/>
                <w:color w:val="000000"/>
                <w:sz w:val="16"/>
                <w:szCs w:val="16"/>
              </w:rPr>
              <w:t>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79C8A6"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137D3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B6A86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683F75" w14:textId="77777777" w:rsidR="00000000" w:rsidRDefault="000A3118">
            <w:pPr>
              <w:jc w:val="right"/>
              <w:rPr>
                <w:rFonts w:eastAsia="Times New Roman"/>
              </w:rPr>
            </w:pPr>
            <w:r>
              <w:rPr>
                <w:rFonts w:eastAsia="Times New Roman"/>
                <w:color w:val="000000"/>
                <w:sz w:val="16"/>
                <w:szCs w:val="16"/>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572785"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94061D"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BB567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F1A59F" w14:textId="77777777" w:rsidR="00000000" w:rsidRDefault="000A3118">
            <w:pPr>
              <w:jc w:val="right"/>
              <w:rPr>
                <w:rFonts w:eastAsia="Times New Roman"/>
              </w:rPr>
            </w:pPr>
            <w:r>
              <w:rPr>
                <w:rFonts w:eastAsia="Times New Roman"/>
                <w:color w:val="000000"/>
                <w:sz w:val="16"/>
                <w:szCs w:val="16"/>
              </w:rPr>
              <w:t>340.4 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6B7EAE"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E7C2B7"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25905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202E3B" w14:textId="77777777" w:rsidR="00000000" w:rsidRDefault="000A3118">
            <w:pPr>
              <w:jc w:val="right"/>
              <w:rPr>
                <w:rFonts w:eastAsia="Times New Roman"/>
              </w:rPr>
            </w:pPr>
            <w:r>
              <w:rPr>
                <w:rFonts w:eastAsia="Times New Roman"/>
                <w:color w:val="000000"/>
                <w:sz w:val="16"/>
                <w:szCs w:val="16"/>
              </w:rPr>
              <w:t>1,606.1 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9A5D61"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FD4B2C"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39B76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3E54F1" w14:textId="77777777" w:rsidR="00000000" w:rsidRDefault="000A3118">
            <w:pPr>
              <w:jc w:val="right"/>
              <w:rPr>
                <w:rFonts w:eastAsia="Times New Roman"/>
              </w:rPr>
            </w:pPr>
            <w:r>
              <w:rPr>
                <w:rFonts w:eastAsia="Times New Roman"/>
                <w:color w:val="000000"/>
                <w:sz w:val="16"/>
                <w:szCs w:val="16"/>
              </w:rPr>
              <w:t>(131.7)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4D8FEC"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971991"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BC986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309C1D" w14:textId="77777777" w:rsidR="00000000" w:rsidRDefault="000A3118">
            <w:pPr>
              <w:jc w:val="right"/>
              <w:rPr>
                <w:rFonts w:eastAsia="Times New Roman"/>
              </w:rPr>
            </w:pPr>
            <w:r>
              <w:rPr>
                <w:rFonts w:eastAsia="Times New Roman"/>
                <w:color w:val="000000"/>
                <w:sz w:val="16"/>
                <w:szCs w:val="16"/>
              </w:rPr>
              <w:t>1,815.4 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E1CA71"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203CF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CEFF5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263D8A" w14:textId="77777777" w:rsidR="00000000" w:rsidRDefault="000A3118">
            <w:pPr>
              <w:jc w:val="right"/>
              <w:rPr>
                <w:rFonts w:eastAsia="Times New Roman"/>
              </w:rPr>
            </w:pPr>
            <w:r>
              <w:rPr>
                <w:rFonts w:eastAsia="Times New Roman"/>
                <w:color w:val="000000"/>
                <w:sz w:val="16"/>
                <w:szCs w:val="16"/>
              </w:rPr>
              <w:t>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13B2EC"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C3CEC5"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E0168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CD5DBC" w14:textId="77777777" w:rsidR="00000000" w:rsidRDefault="000A3118">
            <w:pPr>
              <w:jc w:val="right"/>
              <w:rPr>
                <w:rFonts w:eastAsia="Times New Roman"/>
              </w:rPr>
            </w:pPr>
            <w:r>
              <w:rPr>
                <w:rFonts w:eastAsia="Times New Roman"/>
                <w:color w:val="000000"/>
                <w:sz w:val="16"/>
                <w:szCs w:val="16"/>
              </w:rPr>
              <w:t>1,831.6 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91D893" w14:textId="77777777" w:rsidR="00000000" w:rsidRDefault="000A3118">
            <w:pPr>
              <w:jc w:val="right"/>
              <w:rPr>
                <w:rFonts w:eastAsia="Times New Roman"/>
              </w:rPr>
            </w:pPr>
          </w:p>
        </w:tc>
      </w:tr>
      <w:tr w:rsidR="00000000" w14:paraId="70223F90" w14:textId="77777777">
        <w:trPr>
          <w:divId w:val="581834406"/>
        </w:trPr>
        <w:tc>
          <w:tcPr>
            <w:tcW w:w="0" w:type="auto"/>
            <w:gridSpan w:val="3"/>
            <w:shd w:val="clear" w:color="auto" w:fill="FFFFFF"/>
            <w:tcMar>
              <w:top w:w="30" w:type="dxa"/>
              <w:left w:w="135" w:type="dxa"/>
              <w:bottom w:w="30" w:type="dxa"/>
              <w:right w:w="20" w:type="dxa"/>
            </w:tcMar>
            <w:vAlign w:val="bottom"/>
            <w:hideMark/>
          </w:tcPr>
          <w:p w14:paraId="2B022494" w14:textId="77777777" w:rsidR="00000000" w:rsidRDefault="000A3118">
            <w:pPr>
              <w:rPr>
                <w:rFonts w:eastAsia="Times New Roman"/>
              </w:rPr>
            </w:pPr>
            <w:r>
              <w:rPr>
                <w:rFonts w:eastAsia="Times New Roman"/>
                <w:color w:val="000000"/>
                <w:sz w:val="16"/>
                <w:szCs w:val="16"/>
              </w:rPr>
              <w:t>Net income</w:t>
            </w:r>
          </w:p>
        </w:tc>
        <w:tc>
          <w:tcPr>
            <w:tcW w:w="0" w:type="auto"/>
            <w:gridSpan w:val="2"/>
            <w:shd w:val="clear" w:color="auto" w:fill="FFFFFF"/>
            <w:tcMar>
              <w:top w:w="30" w:type="dxa"/>
              <w:left w:w="20" w:type="dxa"/>
              <w:bottom w:w="30" w:type="dxa"/>
              <w:right w:w="0" w:type="dxa"/>
            </w:tcMar>
            <w:vAlign w:val="bottom"/>
            <w:hideMark/>
          </w:tcPr>
          <w:p w14:paraId="0C4218D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EBF7FC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55A9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2462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F0914A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A8BD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834E9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C69982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FF89C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548CAC" w14:textId="77777777" w:rsidR="00000000" w:rsidRDefault="000A3118">
            <w:pPr>
              <w:jc w:val="right"/>
              <w:rPr>
                <w:rFonts w:eastAsia="Times New Roman"/>
              </w:rPr>
            </w:pPr>
            <w:r>
              <w:rPr>
                <w:rFonts w:eastAsia="Times New Roman"/>
                <w:color w:val="000000"/>
                <w:sz w:val="16"/>
                <w:szCs w:val="16"/>
              </w:rPr>
              <w:t>37.2 </w:t>
            </w:r>
          </w:p>
        </w:tc>
        <w:tc>
          <w:tcPr>
            <w:tcW w:w="0" w:type="auto"/>
            <w:shd w:val="clear" w:color="auto" w:fill="FFFFFF"/>
            <w:tcMar>
              <w:top w:w="30" w:type="dxa"/>
              <w:left w:w="0" w:type="dxa"/>
              <w:bottom w:w="30" w:type="dxa"/>
              <w:right w:w="20" w:type="dxa"/>
            </w:tcMar>
            <w:vAlign w:val="bottom"/>
            <w:hideMark/>
          </w:tcPr>
          <w:p w14:paraId="25A5A15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B4E0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5CA6E7"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37BAF4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01BF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3CF500" w14:textId="77777777" w:rsidR="00000000" w:rsidRDefault="000A3118">
            <w:pPr>
              <w:jc w:val="right"/>
              <w:rPr>
                <w:rFonts w:eastAsia="Times New Roman"/>
              </w:rPr>
            </w:pPr>
            <w:r>
              <w:rPr>
                <w:rFonts w:eastAsia="Times New Roman"/>
                <w:color w:val="000000"/>
                <w:sz w:val="16"/>
                <w:szCs w:val="16"/>
              </w:rPr>
              <w:t>37.2 </w:t>
            </w:r>
          </w:p>
        </w:tc>
        <w:tc>
          <w:tcPr>
            <w:tcW w:w="0" w:type="auto"/>
            <w:shd w:val="clear" w:color="auto" w:fill="FFFFFF"/>
            <w:tcMar>
              <w:top w:w="30" w:type="dxa"/>
              <w:left w:w="0" w:type="dxa"/>
              <w:bottom w:w="30" w:type="dxa"/>
              <w:right w:w="20" w:type="dxa"/>
            </w:tcMar>
            <w:vAlign w:val="bottom"/>
            <w:hideMark/>
          </w:tcPr>
          <w:p w14:paraId="538FAB8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56D6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3219AC" w14:textId="77777777" w:rsidR="00000000" w:rsidRDefault="000A3118">
            <w:pPr>
              <w:jc w:val="right"/>
              <w:rPr>
                <w:rFonts w:eastAsia="Times New Roman"/>
              </w:rPr>
            </w:pPr>
            <w:r>
              <w:rPr>
                <w:rFonts w:eastAsia="Times New Roman"/>
                <w:color w:val="000000"/>
                <w:sz w:val="16"/>
                <w:szCs w:val="16"/>
              </w:rPr>
              <w:t>0.1 </w:t>
            </w:r>
          </w:p>
        </w:tc>
        <w:tc>
          <w:tcPr>
            <w:tcW w:w="0" w:type="auto"/>
            <w:shd w:val="clear" w:color="auto" w:fill="FFFFFF"/>
            <w:tcMar>
              <w:top w:w="30" w:type="dxa"/>
              <w:left w:w="0" w:type="dxa"/>
              <w:bottom w:w="30" w:type="dxa"/>
              <w:right w:w="20" w:type="dxa"/>
            </w:tcMar>
            <w:vAlign w:val="bottom"/>
            <w:hideMark/>
          </w:tcPr>
          <w:p w14:paraId="2D0FC9D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F9F6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528815" w14:textId="77777777" w:rsidR="00000000" w:rsidRDefault="000A3118">
            <w:pPr>
              <w:jc w:val="right"/>
              <w:rPr>
                <w:rFonts w:eastAsia="Times New Roman"/>
              </w:rPr>
            </w:pPr>
            <w:r>
              <w:rPr>
                <w:rFonts w:eastAsia="Times New Roman"/>
                <w:color w:val="000000"/>
                <w:sz w:val="16"/>
                <w:szCs w:val="16"/>
              </w:rPr>
              <w:t>37.3 </w:t>
            </w:r>
          </w:p>
        </w:tc>
        <w:tc>
          <w:tcPr>
            <w:tcW w:w="0" w:type="auto"/>
            <w:shd w:val="clear" w:color="auto" w:fill="FFFFFF"/>
            <w:tcMar>
              <w:top w:w="30" w:type="dxa"/>
              <w:left w:w="0" w:type="dxa"/>
              <w:bottom w:w="30" w:type="dxa"/>
              <w:right w:w="20" w:type="dxa"/>
            </w:tcMar>
            <w:vAlign w:val="bottom"/>
            <w:hideMark/>
          </w:tcPr>
          <w:p w14:paraId="5C3B75C7" w14:textId="77777777" w:rsidR="00000000" w:rsidRDefault="000A3118">
            <w:pPr>
              <w:jc w:val="right"/>
              <w:rPr>
                <w:rFonts w:eastAsia="Times New Roman"/>
              </w:rPr>
            </w:pPr>
          </w:p>
        </w:tc>
      </w:tr>
      <w:tr w:rsidR="00000000" w14:paraId="2F9B8258" w14:textId="77777777">
        <w:trPr>
          <w:divId w:val="581834406"/>
        </w:trPr>
        <w:tc>
          <w:tcPr>
            <w:tcW w:w="0" w:type="auto"/>
            <w:gridSpan w:val="3"/>
            <w:shd w:val="clear" w:color="auto" w:fill="CCEEFF"/>
            <w:tcMar>
              <w:top w:w="30" w:type="dxa"/>
              <w:left w:w="135" w:type="dxa"/>
              <w:bottom w:w="30" w:type="dxa"/>
              <w:right w:w="20" w:type="dxa"/>
            </w:tcMar>
            <w:vAlign w:val="bottom"/>
            <w:hideMark/>
          </w:tcPr>
          <w:p w14:paraId="6CED6335" w14:textId="77777777" w:rsidR="00000000" w:rsidRDefault="000A3118">
            <w:pPr>
              <w:rPr>
                <w:rFonts w:eastAsia="Times New Roman"/>
              </w:rPr>
            </w:pPr>
            <w:r>
              <w:rPr>
                <w:rFonts w:eastAsia="Times New Roman"/>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14:paraId="6A03D7A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075BF3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5AA1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CB6A5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7BC06C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C61A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1AEBF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5DBCB6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6483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DD491C" w14:textId="77777777" w:rsidR="00000000" w:rsidRDefault="000A3118">
            <w:pPr>
              <w:jc w:val="right"/>
              <w:rPr>
                <w:rFonts w:eastAsia="Times New Roman"/>
              </w:rPr>
            </w:pPr>
            <w:r>
              <w:rPr>
                <w:rFonts w:eastAsia="Times New Roman"/>
                <w:color w:val="000000"/>
                <w:sz w:val="16"/>
                <w:szCs w:val="16"/>
              </w:rPr>
              <w:t>(4.0)</w:t>
            </w:r>
          </w:p>
        </w:tc>
        <w:tc>
          <w:tcPr>
            <w:tcW w:w="0" w:type="auto"/>
            <w:shd w:val="clear" w:color="auto" w:fill="CCEEFF"/>
            <w:tcMar>
              <w:top w:w="30" w:type="dxa"/>
              <w:left w:w="0" w:type="dxa"/>
              <w:bottom w:w="30" w:type="dxa"/>
              <w:right w:w="20" w:type="dxa"/>
            </w:tcMar>
            <w:vAlign w:val="bottom"/>
            <w:hideMark/>
          </w:tcPr>
          <w:p w14:paraId="0D4A9CE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2FD3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6863D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FCB38E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2C1D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E26F34" w14:textId="77777777" w:rsidR="00000000" w:rsidRDefault="000A3118">
            <w:pPr>
              <w:jc w:val="right"/>
              <w:rPr>
                <w:rFonts w:eastAsia="Times New Roman"/>
              </w:rPr>
            </w:pPr>
            <w:r>
              <w:rPr>
                <w:rFonts w:eastAsia="Times New Roman"/>
                <w:color w:val="000000"/>
                <w:sz w:val="16"/>
                <w:szCs w:val="16"/>
              </w:rPr>
              <w:t>(4.0)</w:t>
            </w:r>
          </w:p>
        </w:tc>
        <w:tc>
          <w:tcPr>
            <w:tcW w:w="0" w:type="auto"/>
            <w:shd w:val="clear" w:color="auto" w:fill="CCEEFF"/>
            <w:tcMar>
              <w:top w:w="30" w:type="dxa"/>
              <w:left w:w="0" w:type="dxa"/>
              <w:bottom w:w="30" w:type="dxa"/>
              <w:right w:w="20" w:type="dxa"/>
            </w:tcMar>
            <w:vAlign w:val="bottom"/>
            <w:hideMark/>
          </w:tcPr>
          <w:p w14:paraId="78D0F68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EABA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5CF7D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09C034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7ED9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A3092E" w14:textId="77777777" w:rsidR="00000000" w:rsidRDefault="000A3118">
            <w:pPr>
              <w:jc w:val="right"/>
              <w:rPr>
                <w:rFonts w:eastAsia="Times New Roman"/>
              </w:rPr>
            </w:pPr>
            <w:r>
              <w:rPr>
                <w:rFonts w:eastAsia="Times New Roman"/>
                <w:color w:val="000000"/>
                <w:sz w:val="16"/>
                <w:szCs w:val="16"/>
              </w:rPr>
              <w:t>(4.0)</w:t>
            </w:r>
          </w:p>
        </w:tc>
        <w:tc>
          <w:tcPr>
            <w:tcW w:w="0" w:type="auto"/>
            <w:shd w:val="clear" w:color="auto" w:fill="CCEEFF"/>
            <w:tcMar>
              <w:top w:w="30" w:type="dxa"/>
              <w:left w:w="0" w:type="dxa"/>
              <w:bottom w:w="30" w:type="dxa"/>
              <w:right w:w="20" w:type="dxa"/>
            </w:tcMar>
            <w:vAlign w:val="bottom"/>
            <w:hideMark/>
          </w:tcPr>
          <w:p w14:paraId="21A41A8E" w14:textId="77777777" w:rsidR="00000000" w:rsidRDefault="000A3118">
            <w:pPr>
              <w:jc w:val="right"/>
              <w:rPr>
                <w:rFonts w:eastAsia="Times New Roman"/>
              </w:rPr>
            </w:pPr>
          </w:p>
        </w:tc>
      </w:tr>
      <w:tr w:rsidR="00000000" w14:paraId="236E2BBA" w14:textId="77777777">
        <w:trPr>
          <w:divId w:val="581834406"/>
        </w:trPr>
        <w:tc>
          <w:tcPr>
            <w:tcW w:w="0" w:type="auto"/>
            <w:gridSpan w:val="3"/>
            <w:shd w:val="clear" w:color="auto" w:fill="FFFFFF"/>
            <w:tcMar>
              <w:top w:w="30" w:type="dxa"/>
              <w:left w:w="135" w:type="dxa"/>
              <w:bottom w:w="30" w:type="dxa"/>
              <w:right w:w="20" w:type="dxa"/>
            </w:tcMar>
            <w:vAlign w:val="bottom"/>
            <w:hideMark/>
          </w:tcPr>
          <w:p w14:paraId="7BE42BC1" w14:textId="77777777" w:rsidR="00000000" w:rsidRDefault="000A3118">
            <w:pPr>
              <w:rPr>
                <w:rFonts w:eastAsia="Times New Roman"/>
              </w:rPr>
            </w:pPr>
            <w:r>
              <w:rPr>
                <w:rFonts w:eastAsia="Times New Roman"/>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14:paraId="7B6F776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E43D69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8B958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F3301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08874A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EF775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C2348D" w14:textId="77777777" w:rsidR="00000000" w:rsidRDefault="000A3118">
            <w:pPr>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14:paraId="5366D26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3E05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E13DC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B0C81B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8415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4F588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7034C0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8818A9"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26D1C1" w14:textId="77777777" w:rsidR="00000000" w:rsidRDefault="000A3118">
            <w:pPr>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14:paraId="3049A21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DC496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F9210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475DCB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249E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F902F3" w14:textId="77777777" w:rsidR="00000000" w:rsidRDefault="000A3118">
            <w:pPr>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14:paraId="7FF2DF51" w14:textId="77777777" w:rsidR="00000000" w:rsidRDefault="000A3118">
            <w:pPr>
              <w:jc w:val="right"/>
              <w:rPr>
                <w:rFonts w:eastAsia="Times New Roman"/>
              </w:rPr>
            </w:pPr>
          </w:p>
        </w:tc>
      </w:tr>
      <w:tr w:rsidR="00000000" w14:paraId="4621FF7E" w14:textId="77777777">
        <w:trPr>
          <w:divId w:val="581834406"/>
        </w:trPr>
        <w:tc>
          <w:tcPr>
            <w:tcW w:w="0" w:type="auto"/>
            <w:gridSpan w:val="3"/>
            <w:shd w:val="clear" w:color="auto" w:fill="CCEEFF"/>
            <w:tcMar>
              <w:top w:w="30" w:type="dxa"/>
              <w:left w:w="135" w:type="dxa"/>
              <w:bottom w:w="30" w:type="dxa"/>
              <w:right w:w="20" w:type="dxa"/>
            </w:tcMar>
            <w:vAlign w:val="bottom"/>
            <w:hideMark/>
          </w:tcPr>
          <w:p w14:paraId="54903771" w14:textId="77777777" w:rsidR="00000000" w:rsidRDefault="000A3118">
            <w:pPr>
              <w:rPr>
                <w:rFonts w:eastAsia="Times New Roman"/>
              </w:rPr>
            </w:pPr>
            <w:r>
              <w:rPr>
                <w:rFonts w:eastAsia="Times New Roman"/>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14:paraId="3BABBEB8" w14:textId="77777777" w:rsidR="00000000" w:rsidRDefault="000A3118">
            <w:pPr>
              <w:jc w:val="right"/>
              <w:rPr>
                <w:rFonts w:eastAsia="Times New Roman"/>
              </w:rPr>
            </w:pPr>
            <w:r>
              <w:rPr>
                <w:rFonts w:eastAsia="Times New Roman"/>
                <w:color w:val="000000"/>
                <w:sz w:val="16"/>
                <w:szCs w:val="16"/>
              </w:rPr>
              <w:t>0.1 </w:t>
            </w:r>
          </w:p>
        </w:tc>
        <w:tc>
          <w:tcPr>
            <w:tcW w:w="0" w:type="auto"/>
            <w:shd w:val="clear" w:color="auto" w:fill="CCEEFF"/>
            <w:tcMar>
              <w:top w:w="30" w:type="dxa"/>
              <w:left w:w="0" w:type="dxa"/>
              <w:bottom w:w="30" w:type="dxa"/>
              <w:right w:w="20" w:type="dxa"/>
            </w:tcMar>
            <w:vAlign w:val="bottom"/>
            <w:hideMark/>
          </w:tcPr>
          <w:p w14:paraId="46C07C6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2246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EC910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885EB6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A3B6B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A45EA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D0B31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2710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83D2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2FE6F1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F967A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0958E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DA3EEA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775F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45D4A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3FC0CE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77B3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8DE40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5711F6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CF9EB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08D7E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D508C44" w14:textId="77777777" w:rsidR="00000000" w:rsidRDefault="000A3118">
            <w:pPr>
              <w:jc w:val="right"/>
              <w:rPr>
                <w:rFonts w:eastAsia="Times New Roman"/>
              </w:rPr>
            </w:pPr>
          </w:p>
        </w:tc>
      </w:tr>
      <w:tr w:rsidR="00000000" w14:paraId="3DB32954" w14:textId="77777777">
        <w:trPr>
          <w:divId w:val="581834406"/>
        </w:trPr>
        <w:tc>
          <w:tcPr>
            <w:tcW w:w="0" w:type="auto"/>
            <w:gridSpan w:val="3"/>
            <w:shd w:val="clear" w:color="auto" w:fill="FFFFFF"/>
            <w:tcMar>
              <w:top w:w="30" w:type="dxa"/>
              <w:left w:w="135" w:type="dxa"/>
              <w:bottom w:w="30" w:type="dxa"/>
              <w:right w:w="20" w:type="dxa"/>
            </w:tcMar>
            <w:vAlign w:val="bottom"/>
            <w:hideMark/>
          </w:tcPr>
          <w:p w14:paraId="2153691B" w14:textId="77777777" w:rsidR="00000000" w:rsidRDefault="000A3118">
            <w:pPr>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17F3EC9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3C8A7D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B990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8B7F8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A86F4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C0EB3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0BF485" w14:textId="77777777" w:rsidR="00000000" w:rsidRDefault="000A3118">
            <w:pPr>
              <w:jc w:val="right"/>
              <w:rPr>
                <w:rFonts w:eastAsia="Times New Roman"/>
              </w:rPr>
            </w:pPr>
            <w:r>
              <w:rPr>
                <w:rFonts w:eastAsia="Times New Roman"/>
                <w:color w:val="000000"/>
                <w:sz w:val="16"/>
                <w:szCs w:val="16"/>
              </w:rPr>
              <w:t>(1.4)</w:t>
            </w:r>
          </w:p>
        </w:tc>
        <w:tc>
          <w:tcPr>
            <w:tcW w:w="0" w:type="auto"/>
            <w:shd w:val="clear" w:color="auto" w:fill="FFFFFF"/>
            <w:tcMar>
              <w:top w:w="30" w:type="dxa"/>
              <w:left w:w="0" w:type="dxa"/>
              <w:bottom w:w="30" w:type="dxa"/>
              <w:right w:w="20" w:type="dxa"/>
            </w:tcMar>
            <w:vAlign w:val="bottom"/>
            <w:hideMark/>
          </w:tcPr>
          <w:p w14:paraId="75B068D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B391E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0CD3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AFE8F3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C882E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52AD9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D9386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52E5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DEB91B" w14:textId="77777777" w:rsidR="00000000" w:rsidRDefault="000A3118">
            <w:pPr>
              <w:jc w:val="right"/>
              <w:rPr>
                <w:rFonts w:eastAsia="Times New Roman"/>
              </w:rPr>
            </w:pPr>
            <w:r>
              <w:rPr>
                <w:rFonts w:eastAsia="Times New Roman"/>
                <w:color w:val="000000"/>
                <w:sz w:val="16"/>
                <w:szCs w:val="16"/>
              </w:rPr>
              <w:t>(1.4)</w:t>
            </w:r>
          </w:p>
        </w:tc>
        <w:tc>
          <w:tcPr>
            <w:tcW w:w="0" w:type="auto"/>
            <w:shd w:val="clear" w:color="auto" w:fill="FFFFFF"/>
            <w:tcMar>
              <w:top w:w="30" w:type="dxa"/>
              <w:left w:w="0" w:type="dxa"/>
              <w:bottom w:w="30" w:type="dxa"/>
              <w:right w:w="20" w:type="dxa"/>
            </w:tcMar>
            <w:vAlign w:val="bottom"/>
            <w:hideMark/>
          </w:tcPr>
          <w:p w14:paraId="70703F4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8C4B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E04BD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C983D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4A78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2CA623" w14:textId="77777777" w:rsidR="00000000" w:rsidRDefault="000A3118">
            <w:pPr>
              <w:jc w:val="right"/>
              <w:rPr>
                <w:rFonts w:eastAsia="Times New Roman"/>
              </w:rPr>
            </w:pPr>
            <w:r>
              <w:rPr>
                <w:rFonts w:eastAsia="Times New Roman"/>
                <w:color w:val="000000"/>
                <w:sz w:val="16"/>
                <w:szCs w:val="16"/>
              </w:rPr>
              <w:t>(1.4)</w:t>
            </w:r>
          </w:p>
        </w:tc>
        <w:tc>
          <w:tcPr>
            <w:tcW w:w="0" w:type="auto"/>
            <w:shd w:val="clear" w:color="auto" w:fill="FFFFFF"/>
            <w:tcMar>
              <w:top w:w="30" w:type="dxa"/>
              <w:left w:w="0" w:type="dxa"/>
              <w:bottom w:w="30" w:type="dxa"/>
              <w:right w:w="20" w:type="dxa"/>
            </w:tcMar>
            <w:vAlign w:val="bottom"/>
            <w:hideMark/>
          </w:tcPr>
          <w:p w14:paraId="7DEE655A" w14:textId="77777777" w:rsidR="00000000" w:rsidRDefault="000A3118">
            <w:pPr>
              <w:jc w:val="right"/>
              <w:rPr>
                <w:rFonts w:eastAsia="Times New Roman"/>
              </w:rPr>
            </w:pPr>
          </w:p>
        </w:tc>
      </w:tr>
      <w:tr w:rsidR="00000000" w14:paraId="4F8A6E33" w14:textId="77777777">
        <w:trPr>
          <w:divId w:val="581834406"/>
        </w:trPr>
        <w:tc>
          <w:tcPr>
            <w:tcW w:w="0" w:type="auto"/>
            <w:gridSpan w:val="3"/>
            <w:shd w:val="clear" w:color="auto" w:fill="CCEEFF"/>
            <w:tcMar>
              <w:top w:w="30" w:type="dxa"/>
              <w:left w:w="135" w:type="dxa"/>
              <w:bottom w:w="30" w:type="dxa"/>
              <w:right w:w="20" w:type="dxa"/>
            </w:tcMar>
            <w:vAlign w:val="bottom"/>
            <w:hideMark/>
          </w:tcPr>
          <w:p w14:paraId="1D454A45" w14:textId="77777777" w:rsidR="00000000" w:rsidRDefault="000A3118">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063EE8E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678888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9A05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2A186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4F6201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A376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6D09F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F25345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56742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B2F37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832899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49D7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AA1954" w14:textId="77777777" w:rsidR="00000000" w:rsidRDefault="000A3118">
            <w:pPr>
              <w:jc w:val="right"/>
              <w:rPr>
                <w:rFonts w:eastAsia="Times New Roman"/>
              </w:rPr>
            </w:pPr>
            <w:r>
              <w:rPr>
                <w:rFonts w:eastAsia="Times New Roman"/>
                <w:color w:val="000000"/>
                <w:sz w:val="16"/>
                <w:szCs w:val="16"/>
              </w:rPr>
              <w:t>(11.0)</w:t>
            </w:r>
          </w:p>
        </w:tc>
        <w:tc>
          <w:tcPr>
            <w:tcW w:w="0" w:type="auto"/>
            <w:shd w:val="clear" w:color="auto" w:fill="CCEEFF"/>
            <w:tcMar>
              <w:top w:w="30" w:type="dxa"/>
              <w:left w:w="0" w:type="dxa"/>
              <w:bottom w:w="30" w:type="dxa"/>
              <w:right w:w="20" w:type="dxa"/>
            </w:tcMar>
            <w:vAlign w:val="bottom"/>
            <w:hideMark/>
          </w:tcPr>
          <w:p w14:paraId="509A745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E431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108B25" w14:textId="77777777" w:rsidR="00000000" w:rsidRDefault="000A3118">
            <w:pPr>
              <w:jc w:val="right"/>
              <w:rPr>
                <w:rFonts w:eastAsia="Times New Roman"/>
              </w:rPr>
            </w:pPr>
            <w:r>
              <w:rPr>
                <w:rFonts w:eastAsia="Times New Roman"/>
                <w:color w:val="000000"/>
                <w:sz w:val="16"/>
                <w:szCs w:val="16"/>
              </w:rPr>
              <w:t>(11.0)</w:t>
            </w:r>
          </w:p>
        </w:tc>
        <w:tc>
          <w:tcPr>
            <w:tcW w:w="0" w:type="auto"/>
            <w:shd w:val="clear" w:color="auto" w:fill="CCEEFF"/>
            <w:tcMar>
              <w:top w:w="30" w:type="dxa"/>
              <w:left w:w="0" w:type="dxa"/>
              <w:bottom w:w="30" w:type="dxa"/>
              <w:right w:w="20" w:type="dxa"/>
            </w:tcMar>
            <w:vAlign w:val="bottom"/>
            <w:hideMark/>
          </w:tcPr>
          <w:p w14:paraId="62B6D05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63D23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84EA7E" w14:textId="77777777" w:rsidR="00000000" w:rsidRDefault="000A3118">
            <w:pPr>
              <w:jc w:val="right"/>
              <w:rPr>
                <w:rFonts w:eastAsia="Times New Roman"/>
              </w:rPr>
            </w:pPr>
            <w:r>
              <w:rPr>
                <w:rFonts w:eastAsia="Times New Roman"/>
                <w:color w:val="000000"/>
                <w:sz w:val="16"/>
                <w:szCs w:val="16"/>
              </w:rPr>
              <w:t>(0.8)</w:t>
            </w:r>
          </w:p>
        </w:tc>
        <w:tc>
          <w:tcPr>
            <w:tcW w:w="0" w:type="auto"/>
            <w:shd w:val="clear" w:color="auto" w:fill="CCEEFF"/>
            <w:tcMar>
              <w:top w:w="30" w:type="dxa"/>
              <w:left w:w="0" w:type="dxa"/>
              <w:bottom w:w="30" w:type="dxa"/>
              <w:right w:w="20" w:type="dxa"/>
            </w:tcMar>
            <w:vAlign w:val="bottom"/>
            <w:hideMark/>
          </w:tcPr>
          <w:p w14:paraId="40249B1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5DDD5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00BD8D" w14:textId="77777777" w:rsidR="00000000" w:rsidRDefault="000A3118">
            <w:pPr>
              <w:jc w:val="right"/>
              <w:rPr>
                <w:rFonts w:eastAsia="Times New Roman"/>
              </w:rPr>
            </w:pPr>
            <w:r>
              <w:rPr>
                <w:rFonts w:eastAsia="Times New Roman"/>
                <w:color w:val="000000"/>
                <w:sz w:val="16"/>
                <w:szCs w:val="16"/>
              </w:rPr>
              <w:t>(11.7)</w:t>
            </w:r>
          </w:p>
        </w:tc>
        <w:tc>
          <w:tcPr>
            <w:tcW w:w="0" w:type="auto"/>
            <w:shd w:val="clear" w:color="auto" w:fill="CCEEFF"/>
            <w:tcMar>
              <w:top w:w="30" w:type="dxa"/>
              <w:left w:w="0" w:type="dxa"/>
              <w:bottom w:w="30" w:type="dxa"/>
              <w:right w:w="20" w:type="dxa"/>
            </w:tcMar>
            <w:vAlign w:val="bottom"/>
            <w:hideMark/>
          </w:tcPr>
          <w:p w14:paraId="0274A27E" w14:textId="77777777" w:rsidR="00000000" w:rsidRDefault="000A3118">
            <w:pPr>
              <w:jc w:val="right"/>
              <w:rPr>
                <w:rFonts w:eastAsia="Times New Roman"/>
              </w:rPr>
            </w:pPr>
          </w:p>
        </w:tc>
      </w:tr>
      <w:tr w:rsidR="000A3118" w14:paraId="01D24093" w14:textId="77777777">
        <w:trPr>
          <w:divId w:val="58183440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CB27DBD" w14:textId="77777777" w:rsidR="00000000" w:rsidRDefault="000A3118">
            <w:pPr>
              <w:rPr>
                <w:rFonts w:eastAsia="Times New Roman"/>
              </w:rPr>
            </w:pPr>
            <w:r>
              <w:rPr>
                <w:rFonts w:eastAsia="Times New Roman"/>
                <w:color w:val="000000"/>
                <w:sz w:val="16"/>
                <w:szCs w:val="16"/>
              </w:rPr>
              <w:t>Balance as of March 31,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8E72A9" w14:textId="77777777" w:rsidR="00000000" w:rsidRDefault="000A3118">
            <w:pPr>
              <w:jc w:val="right"/>
              <w:rPr>
                <w:rFonts w:eastAsia="Times New Roman"/>
              </w:rPr>
            </w:pPr>
            <w:r>
              <w:rPr>
                <w:rFonts w:eastAsia="Times New Roman"/>
                <w:color w:val="000000"/>
                <w:sz w:val="16"/>
                <w:szCs w:val="16"/>
              </w:rPr>
              <w:t>67.1 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D17D50"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C11738"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A478D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BBA99D" w14:textId="77777777" w:rsidR="00000000" w:rsidRDefault="000A3118">
            <w:pPr>
              <w:jc w:val="right"/>
              <w:rPr>
                <w:rFonts w:eastAsia="Times New Roman"/>
              </w:rPr>
            </w:pPr>
            <w:r>
              <w:rPr>
                <w:rFonts w:eastAsia="Times New Roman"/>
                <w:color w:val="000000"/>
                <w:sz w:val="16"/>
                <w:szCs w:val="16"/>
              </w:rPr>
              <w:t>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66D503"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40699FF"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4EB78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E3CBD3" w14:textId="77777777" w:rsidR="00000000" w:rsidRDefault="000A3118">
            <w:pPr>
              <w:jc w:val="right"/>
              <w:rPr>
                <w:rFonts w:eastAsia="Times New Roman"/>
              </w:rPr>
            </w:pPr>
            <w:r>
              <w:rPr>
                <w:rFonts w:eastAsia="Times New Roman"/>
                <w:color w:val="000000"/>
                <w:sz w:val="16"/>
                <w:szCs w:val="16"/>
              </w:rPr>
              <w:t>343.0 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0F3B50"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6347DA"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C83D3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E1BB68" w14:textId="77777777" w:rsidR="00000000" w:rsidRDefault="000A3118">
            <w:pPr>
              <w:jc w:val="right"/>
              <w:rPr>
                <w:rFonts w:eastAsia="Times New Roman"/>
              </w:rPr>
            </w:pPr>
            <w:r>
              <w:rPr>
                <w:rFonts w:eastAsia="Times New Roman"/>
                <w:color w:val="000000"/>
                <w:sz w:val="16"/>
                <w:szCs w:val="16"/>
              </w:rPr>
              <w:t>1,639.3 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DF3663"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3630E3"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FE1B6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6F0FD2" w14:textId="77777777" w:rsidR="00000000" w:rsidRDefault="000A3118">
            <w:pPr>
              <w:jc w:val="right"/>
              <w:rPr>
                <w:rFonts w:eastAsia="Times New Roman"/>
              </w:rPr>
            </w:pPr>
            <w:r>
              <w:rPr>
                <w:rFonts w:eastAsia="Times New Roman"/>
                <w:color w:val="000000"/>
                <w:sz w:val="16"/>
                <w:szCs w:val="16"/>
              </w:rPr>
              <w:t>(142.7)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BED95C"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A571D1"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0C3F2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DEDDE1" w14:textId="77777777" w:rsidR="00000000" w:rsidRDefault="000A3118">
            <w:pPr>
              <w:jc w:val="right"/>
              <w:rPr>
                <w:rFonts w:eastAsia="Times New Roman"/>
              </w:rPr>
            </w:pPr>
            <w:r>
              <w:rPr>
                <w:rFonts w:eastAsia="Times New Roman"/>
                <w:color w:val="000000"/>
                <w:sz w:val="16"/>
                <w:szCs w:val="16"/>
              </w:rPr>
              <w:t>1,840.3 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F2FB78"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A618AA"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0D052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8B8961" w14:textId="77777777" w:rsidR="00000000" w:rsidRDefault="000A3118">
            <w:pPr>
              <w:jc w:val="right"/>
              <w:rPr>
                <w:rFonts w:eastAsia="Times New Roman"/>
              </w:rPr>
            </w:pPr>
            <w:r>
              <w:rPr>
                <w:rFonts w:eastAsia="Times New Roman"/>
                <w:color w:val="000000"/>
                <w:sz w:val="16"/>
                <w:szCs w:val="16"/>
              </w:rPr>
              <w:t>15.5 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220A69"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F60C27"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A3CFBE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9793B3" w14:textId="77777777" w:rsidR="00000000" w:rsidRDefault="000A3118">
            <w:pPr>
              <w:jc w:val="right"/>
              <w:rPr>
                <w:rFonts w:eastAsia="Times New Roman"/>
              </w:rPr>
            </w:pPr>
            <w:r>
              <w:rPr>
                <w:rFonts w:eastAsia="Times New Roman"/>
                <w:color w:val="000000"/>
                <w:sz w:val="16"/>
                <w:szCs w:val="16"/>
              </w:rPr>
              <w:t>1,855.8 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09ECE7" w14:textId="77777777" w:rsidR="00000000" w:rsidRDefault="000A3118">
            <w:pPr>
              <w:jc w:val="right"/>
              <w:rPr>
                <w:rFonts w:eastAsia="Times New Roman"/>
              </w:rPr>
            </w:pPr>
          </w:p>
        </w:tc>
      </w:tr>
      <w:tr w:rsidR="00000000" w14:paraId="7EAE39F1" w14:textId="77777777">
        <w:trPr>
          <w:divId w:val="581834406"/>
        </w:trPr>
        <w:tc>
          <w:tcPr>
            <w:tcW w:w="0" w:type="auto"/>
            <w:gridSpan w:val="3"/>
            <w:shd w:val="clear" w:color="auto" w:fill="CCEEFF"/>
            <w:tcMar>
              <w:top w:w="30" w:type="dxa"/>
              <w:left w:w="135" w:type="dxa"/>
              <w:bottom w:w="30" w:type="dxa"/>
              <w:right w:w="20" w:type="dxa"/>
            </w:tcMar>
            <w:vAlign w:val="bottom"/>
            <w:hideMark/>
          </w:tcPr>
          <w:p w14:paraId="7A03F52E" w14:textId="77777777" w:rsidR="00000000" w:rsidRDefault="000A3118">
            <w:pPr>
              <w:rPr>
                <w:rFonts w:eastAsia="Times New Roman"/>
              </w:rPr>
            </w:pPr>
            <w:r>
              <w:rPr>
                <w:rFonts w:eastAsia="Times New Roman"/>
                <w:color w:val="000000"/>
                <w:sz w:val="16"/>
                <w:szCs w:val="16"/>
              </w:rPr>
              <w:t>Net income</w:t>
            </w:r>
          </w:p>
        </w:tc>
        <w:tc>
          <w:tcPr>
            <w:tcW w:w="0" w:type="auto"/>
            <w:gridSpan w:val="2"/>
            <w:shd w:val="clear" w:color="auto" w:fill="CCEEFF"/>
            <w:tcMar>
              <w:top w:w="30" w:type="dxa"/>
              <w:left w:w="20" w:type="dxa"/>
              <w:bottom w:w="30" w:type="dxa"/>
              <w:right w:w="0" w:type="dxa"/>
            </w:tcMar>
            <w:vAlign w:val="bottom"/>
            <w:hideMark/>
          </w:tcPr>
          <w:p w14:paraId="04E1E53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9244BE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8172C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1C1DA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EAB14D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C6A4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9619A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622EA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4652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C88020" w14:textId="77777777" w:rsidR="00000000" w:rsidRDefault="000A3118">
            <w:pPr>
              <w:jc w:val="right"/>
              <w:rPr>
                <w:rFonts w:eastAsia="Times New Roman"/>
              </w:rPr>
            </w:pPr>
            <w:r>
              <w:rPr>
                <w:rFonts w:eastAsia="Times New Roman"/>
                <w:color w:val="000000"/>
                <w:sz w:val="16"/>
                <w:szCs w:val="16"/>
              </w:rPr>
              <w:t>37.0 </w:t>
            </w:r>
          </w:p>
        </w:tc>
        <w:tc>
          <w:tcPr>
            <w:tcW w:w="0" w:type="auto"/>
            <w:shd w:val="clear" w:color="auto" w:fill="CCEEFF"/>
            <w:tcMar>
              <w:top w:w="30" w:type="dxa"/>
              <w:left w:w="0" w:type="dxa"/>
              <w:bottom w:w="30" w:type="dxa"/>
              <w:right w:w="20" w:type="dxa"/>
            </w:tcMar>
            <w:vAlign w:val="bottom"/>
            <w:hideMark/>
          </w:tcPr>
          <w:p w14:paraId="67E81CF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AD468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7714A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B60880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EB52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887FBF" w14:textId="77777777" w:rsidR="00000000" w:rsidRDefault="000A3118">
            <w:pPr>
              <w:jc w:val="right"/>
              <w:rPr>
                <w:rFonts w:eastAsia="Times New Roman"/>
              </w:rPr>
            </w:pPr>
            <w:r>
              <w:rPr>
                <w:rFonts w:eastAsia="Times New Roman"/>
                <w:color w:val="000000"/>
                <w:sz w:val="16"/>
                <w:szCs w:val="16"/>
              </w:rPr>
              <w:t>37.0 </w:t>
            </w:r>
          </w:p>
        </w:tc>
        <w:tc>
          <w:tcPr>
            <w:tcW w:w="0" w:type="auto"/>
            <w:shd w:val="clear" w:color="auto" w:fill="CCEEFF"/>
            <w:tcMar>
              <w:top w:w="30" w:type="dxa"/>
              <w:left w:w="0" w:type="dxa"/>
              <w:bottom w:w="30" w:type="dxa"/>
              <w:right w:w="20" w:type="dxa"/>
            </w:tcMar>
            <w:vAlign w:val="bottom"/>
            <w:hideMark/>
          </w:tcPr>
          <w:p w14:paraId="66998F6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1FB05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BC1952" w14:textId="77777777" w:rsidR="00000000" w:rsidRDefault="000A3118">
            <w:pPr>
              <w:jc w:val="right"/>
              <w:rPr>
                <w:rFonts w:eastAsia="Times New Roman"/>
              </w:rPr>
            </w:pPr>
            <w:r>
              <w:rPr>
                <w:rFonts w:eastAsia="Times New Roman"/>
                <w:color w:val="000000"/>
                <w:sz w:val="16"/>
                <w:szCs w:val="16"/>
              </w:rPr>
              <w:t>0.6 </w:t>
            </w:r>
          </w:p>
        </w:tc>
        <w:tc>
          <w:tcPr>
            <w:tcW w:w="0" w:type="auto"/>
            <w:shd w:val="clear" w:color="auto" w:fill="CCEEFF"/>
            <w:tcMar>
              <w:top w:w="30" w:type="dxa"/>
              <w:left w:w="0" w:type="dxa"/>
              <w:bottom w:w="30" w:type="dxa"/>
              <w:right w:w="20" w:type="dxa"/>
            </w:tcMar>
            <w:vAlign w:val="bottom"/>
            <w:hideMark/>
          </w:tcPr>
          <w:p w14:paraId="09244F5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442F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8A3528" w14:textId="77777777" w:rsidR="00000000" w:rsidRDefault="000A3118">
            <w:pPr>
              <w:jc w:val="right"/>
              <w:rPr>
                <w:rFonts w:eastAsia="Times New Roman"/>
              </w:rPr>
            </w:pPr>
            <w:r>
              <w:rPr>
                <w:rFonts w:eastAsia="Times New Roman"/>
                <w:color w:val="000000"/>
                <w:sz w:val="16"/>
                <w:szCs w:val="16"/>
              </w:rPr>
              <w:t>37.6 </w:t>
            </w:r>
          </w:p>
        </w:tc>
        <w:tc>
          <w:tcPr>
            <w:tcW w:w="0" w:type="auto"/>
            <w:shd w:val="clear" w:color="auto" w:fill="CCEEFF"/>
            <w:tcMar>
              <w:top w:w="30" w:type="dxa"/>
              <w:left w:w="0" w:type="dxa"/>
              <w:bottom w:w="30" w:type="dxa"/>
              <w:right w:w="20" w:type="dxa"/>
            </w:tcMar>
            <w:vAlign w:val="bottom"/>
            <w:hideMark/>
          </w:tcPr>
          <w:p w14:paraId="70260C2E" w14:textId="77777777" w:rsidR="00000000" w:rsidRDefault="000A3118">
            <w:pPr>
              <w:jc w:val="right"/>
              <w:rPr>
                <w:rFonts w:eastAsia="Times New Roman"/>
              </w:rPr>
            </w:pPr>
          </w:p>
        </w:tc>
      </w:tr>
      <w:tr w:rsidR="00000000" w14:paraId="67F91AA2" w14:textId="77777777">
        <w:trPr>
          <w:divId w:val="581834406"/>
        </w:trPr>
        <w:tc>
          <w:tcPr>
            <w:tcW w:w="0" w:type="auto"/>
            <w:gridSpan w:val="3"/>
            <w:shd w:val="clear" w:color="auto" w:fill="FFFFFF"/>
            <w:tcMar>
              <w:top w:w="30" w:type="dxa"/>
              <w:left w:w="135" w:type="dxa"/>
              <w:bottom w:w="30" w:type="dxa"/>
              <w:right w:w="20" w:type="dxa"/>
            </w:tcMar>
            <w:vAlign w:val="bottom"/>
            <w:hideMark/>
          </w:tcPr>
          <w:p w14:paraId="7CF1CEDA" w14:textId="77777777" w:rsidR="00000000" w:rsidRDefault="000A3118">
            <w:pPr>
              <w:rPr>
                <w:rFonts w:eastAsia="Times New Roman"/>
              </w:rPr>
            </w:pPr>
            <w:r>
              <w:rPr>
                <w:rFonts w:eastAsia="Times New Roman"/>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14:paraId="63998E9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4FFE10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9209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14002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5575E1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27F5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9BE94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351E78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C9EA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CF60BC" w14:textId="77777777" w:rsidR="00000000" w:rsidRDefault="000A3118">
            <w:pPr>
              <w:jc w:val="right"/>
              <w:rPr>
                <w:rFonts w:eastAsia="Times New Roman"/>
              </w:rPr>
            </w:pPr>
            <w:r>
              <w:rPr>
                <w:rFonts w:eastAsia="Times New Roman"/>
                <w:color w:val="000000"/>
                <w:sz w:val="16"/>
                <w:szCs w:val="16"/>
              </w:rPr>
              <w:t>(6.6)</w:t>
            </w:r>
          </w:p>
        </w:tc>
        <w:tc>
          <w:tcPr>
            <w:tcW w:w="0" w:type="auto"/>
            <w:shd w:val="clear" w:color="auto" w:fill="FFFFFF"/>
            <w:tcMar>
              <w:top w:w="30" w:type="dxa"/>
              <w:left w:w="0" w:type="dxa"/>
              <w:bottom w:w="30" w:type="dxa"/>
              <w:right w:w="20" w:type="dxa"/>
            </w:tcMar>
            <w:vAlign w:val="bottom"/>
            <w:hideMark/>
          </w:tcPr>
          <w:p w14:paraId="48BEE4A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620F9"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3BCF8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695CE3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572E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E57D5B" w14:textId="77777777" w:rsidR="00000000" w:rsidRDefault="000A3118">
            <w:pPr>
              <w:jc w:val="right"/>
              <w:rPr>
                <w:rFonts w:eastAsia="Times New Roman"/>
              </w:rPr>
            </w:pPr>
            <w:r>
              <w:rPr>
                <w:rFonts w:eastAsia="Times New Roman"/>
                <w:color w:val="000000"/>
                <w:sz w:val="16"/>
                <w:szCs w:val="16"/>
              </w:rPr>
              <w:t>(6.6)</w:t>
            </w:r>
          </w:p>
        </w:tc>
        <w:tc>
          <w:tcPr>
            <w:tcW w:w="0" w:type="auto"/>
            <w:shd w:val="clear" w:color="auto" w:fill="FFFFFF"/>
            <w:tcMar>
              <w:top w:w="30" w:type="dxa"/>
              <w:left w:w="0" w:type="dxa"/>
              <w:bottom w:w="30" w:type="dxa"/>
              <w:right w:w="20" w:type="dxa"/>
            </w:tcMar>
            <w:vAlign w:val="bottom"/>
            <w:hideMark/>
          </w:tcPr>
          <w:p w14:paraId="3806CE8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DA29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C2CE9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17BA9E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1EE3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8C9204" w14:textId="77777777" w:rsidR="00000000" w:rsidRDefault="000A3118">
            <w:pPr>
              <w:jc w:val="right"/>
              <w:rPr>
                <w:rFonts w:eastAsia="Times New Roman"/>
              </w:rPr>
            </w:pPr>
            <w:r>
              <w:rPr>
                <w:rFonts w:eastAsia="Times New Roman"/>
                <w:color w:val="000000"/>
                <w:sz w:val="16"/>
                <w:szCs w:val="16"/>
              </w:rPr>
              <w:t>(6.6)</w:t>
            </w:r>
          </w:p>
        </w:tc>
        <w:tc>
          <w:tcPr>
            <w:tcW w:w="0" w:type="auto"/>
            <w:shd w:val="clear" w:color="auto" w:fill="FFFFFF"/>
            <w:tcMar>
              <w:top w:w="30" w:type="dxa"/>
              <w:left w:w="0" w:type="dxa"/>
              <w:bottom w:w="30" w:type="dxa"/>
              <w:right w:w="20" w:type="dxa"/>
            </w:tcMar>
            <w:vAlign w:val="bottom"/>
            <w:hideMark/>
          </w:tcPr>
          <w:p w14:paraId="79CA7BB7" w14:textId="77777777" w:rsidR="00000000" w:rsidRDefault="000A3118">
            <w:pPr>
              <w:jc w:val="right"/>
              <w:rPr>
                <w:rFonts w:eastAsia="Times New Roman"/>
              </w:rPr>
            </w:pPr>
          </w:p>
        </w:tc>
      </w:tr>
      <w:tr w:rsidR="00000000" w14:paraId="0DA9AE02" w14:textId="77777777">
        <w:trPr>
          <w:divId w:val="581834406"/>
        </w:trPr>
        <w:tc>
          <w:tcPr>
            <w:tcW w:w="0" w:type="auto"/>
            <w:gridSpan w:val="3"/>
            <w:shd w:val="clear" w:color="auto" w:fill="CCEEFF"/>
            <w:tcMar>
              <w:top w:w="30" w:type="dxa"/>
              <w:left w:w="135" w:type="dxa"/>
              <w:bottom w:w="30" w:type="dxa"/>
              <w:right w:w="20" w:type="dxa"/>
            </w:tcMar>
            <w:vAlign w:val="bottom"/>
            <w:hideMark/>
          </w:tcPr>
          <w:p w14:paraId="5A7F9C21" w14:textId="77777777" w:rsidR="00000000" w:rsidRDefault="000A3118">
            <w:pPr>
              <w:rPr>
                <w:rFonts w:eastAsia="Times New Roman"/>
              </w:rPr>
            </w:pPr>
            <w:r>
              <w:rPr>
                <w:rFonts w:eastAsia="Times New Roman"/>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14:paraId="6C9591A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102851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7DAA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4D289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B1A16F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00F3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83C89B" w14:textId="77777777" w:rsidR="00000000" w:rsidRDefault="000A3118">
            <w:pPr>
              <w:jc w:val="right"/>
              <w:rPr>
                <w:rFonts w:eastAsia="Times New Roman"/>
              </w:rPr>
            </w:pPr>
            <w:r>
              <w:rPr>
                <w:rFonts w:eastAsia="Times New Roman"/>
                <w:color w:val="000000"/>
                <w:sz w:val="16"/>
                <w:szCs w:val="16"/>
              </w:rPr>
              <w:t>3.5 </w:t>
            </w:r>
          </w:p>
        </w:tc>
        <w:tc>
          <w:tcPr>
            <w:tcW w:w="0" w:type="auto"/>
            <w:shd w:val="clear" w:color="auto" w:fill="CCEEFF"/>
            <w:tcMar>
              <w:top w:w="30" w:type="dxa"/>
              <w:left w:w="0" w:type="dxa"/>
              <w:bottom w:w="30" w:type="dxa"/>
              <w:right w:w="20" w:type="dxa"/>
            </w:tcMar>
            <w:vAlign w:val="bottom"/>
            <w:hideMark/>
          </w:tcPr>
          <w:p w14:paraId="30B3BB2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0882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146C6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390823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0520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B8569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3DE128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78B52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CB8924" w14:textId="77777777" w:rsidR="00000000" w:rsidRDefault="000A3118">
            <w:pPr>
              <w:jc w:val="right"/>
              <w:rPr>
                <w:rFonts w:eastAsia="Times New Roman"/>
              </w:rPr>
            </w:pPr>
            <w:r>
              <w:rPr>
                <w:rFonts w:eastAsia="Times New Roman"/>
                <w:color w:val="000000"/>
                <w:sz w:val="16"/>
                <w:szCs w:val="16"/>
              </w:rPr>
              <w:t>3.5 </w:t>
            </w:r>
          </w:p>
        </w:tc>
        <w:tc>
          <w:tcPr>
            <w:tcW w:w="0" w:type="auto"/>
            <w:shd w:val="clear" w:color="auto" w:fill="CCEEFF"/>
            <w:tcMar>
              <w:top w:w="30" w:type="dxa"/>
              <w:left w:w="0" w:type="dxa"/>
              <w:bottom w:w="30" w:type="dxa"/>
              <w:right w:w="20" w:type="dxa"/>
            </w:tcMar>
            <w:vAlign w:val="bottom"/>
            <w:hideMark/>
          </w:tcPr>
          <w:p w14:paraId="3959055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EBD9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2BFB4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D54DB0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40A9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F620F0" w14:textId="77777777" w:rsidR="00000000" w:rsidRDefault="000A3118">
            <w:pPr>
              <w:jc w:val="right"/>
              <w:rPr>
                <w:rFonts w:eastAsia="Times New Roman"/>
              </w:rPr>
            </w:pPr>
            <w:r>
              <w:rPr>
                <w:rFonts w:eastAsia="Times New Roman"/>
                <w:color w:val="000000"/>
                <w:sz w:val="16"/>
                <w:szCs w:val="16"/>
              </w:rPr>
              <w:t>3.5 </w:t>
            </w:r>
          </w:p>
        </w:tc>
        <w:tc>
          <w:tcPr>
            <w:tcW w:w="0" w:type="auto"/>
            <w:shd w:val="clear" w:color="auto" w:fill="CCEEFF"/>
            <w:tcMar>
              <w:top w:w="30" w:type="dxa"/>
              <w:left w:w="0" w:type="dxa"/>
              <w:bottom w:w="30" w:type="dxa"/>
              <w:right w:w="20" w:type="dxa"/>
            </w:tcMar>
            <w:vAlign w:val="bottom"/>
            <w:hideMark/>
          </w:tcPr>
          <w:p w14:paraId="085A5CE0" w14:textId="77777777" w:rsidR="00000000" w:rsidRDefault="000A3118">
            <w:pPr>
              <w:jc w:val="right"/>
              <w:rPr>
                <w:rFonts w:eastAsia="Times New Roman"/>
              </w:rPr>
            </w:pPr>
          </w:p>
        </w:tc>
      </w:tr>
      <w:tr w:rsidR="00000000" w14:paraId="74380DDF" w14:textId="77777777">
        <w:trPr>
          <w:divId w:val="581834406"/>
        </w:trPr>
        <w:tc>
          <w:tcPr>
            <w:tcW w:w="0" w:type="auto"/>
            <w:gridSpan w:val="3"/>
            <w:shd w:val="clear" w:color="auto" w:fill="FFFFFF"/>
            <w:tcMar>
              <w:top w:w="30" w:type="dxa"/>
              <w:left w:w="135" w:type="dxa"/>
              <w:bottom w:w="30" w:type="dxa"/>
              <w:right w:w="20" w:type="dxa"/>
            </w:tcMar>
            <w:vAlign w:val="bottom"/>
            <w:hideMark/>
          </w:tcPr>
          <w:p w14:paraId="418531C8" w14:textId="77777777" w:rsidR="00000000" w:rsidRDefault="000A3118">
            <w:pPr>
              <w:rPr>
                <w:rFonts w:eastAsia="Times New Roman"/>
              </w:rPr>
            </w:pPr>
            <w:r>
              <w:rPr>
                <w:rFonts w:eastAsia="Times New Roman"/>
                <w:color w:val="000000"/>
                <w:sz w:val="16"/>
                <w:szCs w:val="16"/>
              </w:rPr>
              <w:t>Issuance (cancellation) of common stock related to share-based payment awards</w:t>
            </w:r>
          </w:p>
        </w:tc>
        <w:tc>
          <w:tcPr>
            <w:tcW w:w="0" w:type="auto"/>
            <w:gridSpan w:val="2"/>
            <w:shd w:val="clear" w:color="auto" w:fill="FFFFFF"/>
            <w:tcMar>
              <w:top w:w="30" w:type="dxa"/>
              <w:left w:w="20" w:type="dxa"/>
              <w:bottom w:w="30" w:type="dxa"/>
              <w:right w:w="0" w:type="dxa"/>
            </w:tcMar>
            <w:vAlign w:val="bottom"/>
            <w:hideMark/>
          </w:tcPr>
          <w:p w14:paraId="2DD3A232" w14:textId="77777777" w:rsidR="00000000" w:rsidRDefault="000A3118">
            <w:pPr>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14:paraId="2B02182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656EA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52D86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543E7A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B4A4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DB113" w14:textId="77777777" w:rsidR="00000000" w:rsidRDefault="000A3118">
            <w:pPr>
              <w:jc w:val="right"/>
              <w:rPr>
                <w:rFonts w:eastAsia="Times New Roman"/>
              </w:rPr>
            </w:pPr>
            <w:r>
              <w:rPr>
                <w:rFonts w:eastAsia="Times New Roman"/>
                <w:color w:val="000000"/>
                <w:sz w:val="16"/>
                <w:szCs w:val="16"/>
              </w:rPr>
              <w:t>0.7 </w:t>
            </w:r>
          </w:p>
        </w:tc>
        <w:tc>
          <w:tcPr>
            <w:tcW w:w="0" w:type="auto"/>
            <w:shd w:val="clear" w:color="auto" w:fill="FFFFFF"/>
            <w:tcMar>
              <w:top w:w="30" w:type="dxa"/>
              <w:left w:w="0" w:type="dxa"/>
              <w:bottom w:w="30" w:type="dxa"/>
              <w:right w:w="20" w:type="dxa"/>
            </w:tcMar>
            <w:vAlign w:val="bottom"/>
            <w:hideMark/>
          </w:tcPr>
          <w:p w14:paraId="7D7F2EF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8DC4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68161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F2553D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D476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80E8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6D25D6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55A9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81DCA1" w14:textId="77777777" w:rsidR="00000000" w:rsidRDefault="000A3118">
            <w:pPr>
              <w:jc w:val="right"/>
              <w:rPr>
                <w:rFonts w:eastAsia="Times New Roman"/>
              </w:rPr>
            </w:pPr>
            <w:r>
              <w:rPr>
                <w:rFonts w:eastAsia="Times New Roman"/>
                <w:color w:val="000000"/>
                <w:sz w:val="16"/>
                <w:szCs w:val="16"/>
              </w:rPr>
              <w:t>0.7 </w:t>
            </w:r>
          </w:p>
        </w:tc>
        <w:tc>
          <w:tcPr>
            <w:tcW w:w="0" w:type="auto"/>
            <w:shd w:val="clear" w:color="auto" w:fill="FFFFFF"/>
            <w:tcMar>
              <w:top w:w="30" w:type="dxa"/>
              <w:left w:w="0" w:type="dxa"/>
              <w:bottom w:w="30" w:type="dxa"/>
              <w:right w:w="20" w:type="dxa"/>
            </w:tcMar>
            <w:vAlign w:val="bottom"/>
            <w:hideMark/>
          </w:tcPr>
          <w:p w14:paraId="18F9CAA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145E9"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43C72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53CC06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EB63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90502B" w14:textId="77777777" w:rsidR="00000000" w:rsidRDefault="000A3118">
            <w:pPr>
              <w:jc w:val="right"/>
              <w:rPr>
                <w:rFonts w:eastAsia="Times New Roman"/>
              </w:rPr>
            </w:pPr>
            <w:r>
              <w:rPr>
                <w:rFonts w:eastAsia="Times New Roman"/>
                <w:color w:val="000000"/>
                <w:sz w:val="16"/>
                <w:szCs w:val="16"/>
              </w:rPr>
              <w:t>0.7 </w:t>
            </w:r>
          </w:p>
        </w:tc>
        <w:tc>
          <w:tcPr>
            <w:tcW w:w="0" w:type="auto"/>
            <w:shd w:val="clear" w:color="auto" w:fill="FFFFFF"/>
            <w:tcMar>
              <w:top w:w="30" w:type="dxa"/>
              <w:left w:w="0" w:type="dxa"/>
              <w:bottom w:w="30" w:type="dxa"/>
              <w:right w:w="20" w:type="dxa"/>
            </w:tcMar>
            <w:vAlign w:val="bottom"/>
            <w:hideMark/>
          </w:tcPr>
          <w:p w14:paraId="46603758" w14:textId="77777777" w:rsidR="00000000" w:rsidRDefault="000A3118">
            <w:pPr>
              <w:jc w:val="right"/>
              <w:rPr>
                <w:rFonts w:eastAsia="Times New Roman"/>
              </w:rPr>
            </w:pPr>
          </w:p>
        </w:tc>
      </w:tr>
      <w:tr w:rsidR="00000000" w14:paraId="41E539F8" w14:textId="77777777">
        <w:trPr>
          <w:divId w:val="581834406"/>
        </w:trPr>
        <w:tc>
          <w:tcPr>
            <w:tcW w:w="0" w:type="auto"/>
            <w:gridSpan w:val="3"/>
            <w:shd w:val="clear" w:color="auto" w:fill="CCEEFF"/>
            <w:tcMar>
              <w:top w:w="30" w:type="dxa"/>
              <w:left w:w="135" w:type="dxa"/>
              <w:bottom w:w="30" w:type="dxa"/>
              <w:right w:w="20" w:type="dxa"/>
            </w:tcMar>
            <w:vAlign w:val="bottom"/>
            <w:hideMark/>
          </w:tcPr>
          <w:p w14:paraId="25791B39" w14:textId="77777777" w:rsidR="00000000" w:rsidRDefault="000A3118">
            <w:pPr>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14:paraId="3216333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8B8D40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BBA3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145C8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02E5A8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371F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48D04E" w14:textId="77777777" w:rsidR="00000000" w:rsidRDefault="000A3118">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14:paraId="556BE84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A982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6BD80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04B3F7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D7CB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352CF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0B3FC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A575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145D60" w14:textId="77777777" w:rsidR="00000000" w:rsidRDefault="000A3118">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14:paraId="104EE00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F5303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47158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12BA2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7D6F7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2B2D7C" w14:textId="77777777" w:rsidR="00000000" w:rsidRDefault="000A3118">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14:paraId="6E7CB97F" w14:textId="77777777" w:rsidR="00000000" w:rsidRDefault="000A3118">
            <w:pPr>
              <w:jc w:val="right"/>
              <w:rPr>
                <w:rFonts w:eastAsia="Times New Roman"/>
              </w:rPr>
            </w:pPr>
          </w:p>
        </w:tc>
      </w:tr>
      <w:tr w:rsidR="00000000" w14:paraId="71109FF7" w14:textId="77777777">
        <w:trPr>
          <w:divId w:val="581834406"/>
        </w:trPr>
        <w:tc>
          <w:tcPr>
            <w:tcW w:w="0" w:type="auto"/>
            <w:gridSpan w:val="3"/>
            <w:shd w:val="clear" w:color="auto" w:fill="FFFFFF"/>
            <w:tcMar>
              <w:top w:w="30" w:type="dxa"/>
              <w:left w:w="135" w:type="dxa"/>
              <w:bottom w:w="30" w:type="dxa"/>
              <w:right w:w="20" w:type="dxa"/>
            </w:tcMar>
            <w:vAlign w:val="bottom"/>
            <w:hideMark/>
          </w:tcPr>
          <w:p w14:paraId="11EDAA40" w14:textId="77777777" w:rsidR="00000000" w:rsidRDefault="000A3118">
            <w:pPr>
              <w:rPr>
                <w:rFonts w:eastAsia="Times New Roman"/>
              </w:rPr>
            </w:pPr>
            <w:r>
              <w:rPr>
                <w:rFonts w:eastAsia="Times New Roman"/>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14:paraId="65A913D8" w14:textId="77777777" w:rsidR="00000000" w:rsidRDefault="000A3118">
            <w:pPr>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14:paraId="226B20F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C288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0B8E7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D66749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4405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742D60" w14:textId="77777777" w:rsidR="00000000" w:rsidRDefault="000A3118">
            <w:pPr>
              <w:jc w:val="right"/>
              <w:rPr>
                <w:rFonts w:eastAsia="Times New Roman"/>
              </w:rPr>
            </w:pPr>
            <w:r>
              <w:rPr>
                <w:rFonts w:eastAsia="Times New Roman"/>
                <w:color w:val="000000"/>
                <w:sz w:val="16"/>
                <w:szCs w:val="16"/>
              </w:rPr>
              <w:t>(</w:t>
            </w:r>
            <w:r>
              <w:rPr>
                <w:rFonts w:eastAsia="Times New Roman"/>
                <w:color w:val="000000"/>
                <w:sz w:val="16"/>
                <w:szCs w:val="16"/>
              </w:rPr>
              <w:t>65.4)</w:t>
            </w:r>
          </w:p>
        </w:tc>
        <w:tc>
          <w:tcPr>
            <w:tcW w:w="0" w:type="auto"/>
            <w:shd w:val="clear" w:color="auto" w:fill="FFFFFF"/>
            <w:tcMar>
              <w:top w:w="30" w:type="dxa"/>
              <w:left w:w="0" w:type="dxa"/>
              <w:bottom w:w="30" w:type="dxa"/>
              <w:right w:w="20" w:type="dxa"/>
            </w:tcMar>
            <w:vAlign w:val="bottom"/>
            <w:hideMark/>
          </w:tcPr>
          <w:p w14:paraId="1BFDC6C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02A9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2EE2A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5BB28E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D950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EA858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D118C6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3DE4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B4011F" w14:textId="77777777" w:rsidR="00000000" w:rsidRDefault="000A3118">
            <w:pPr>
              <w:jc w:val="right"/>
              <w:rPr>
                <w:rFonts w:eastAsia="Times New Roman"/>
              </w:rPr>
            </w:pPr>
            <w:r>
              <w:rPr>
                <w:rFonts w:eastAsia="Times New Roman"/>
                <w:color w:val="000000"/>
                <w:sz w:val="16"/>
                <w:szCs w:val="16"/>
              </w:rPr>
              <w:t>(65.4)</w:t>
            </w:r>
          </w:p>
        </w:tc>
        <w:tc>
          <w:tcPr>
            <w:tcW w:w="0" w:type="auto"/>
            <w:shd w:val="clear" w:color="auto" w:fill="FFFFFF"/>
            <w:tcMar>
              <w:top w:w="30" w:type="dxa"/>
              <w:left w:w="0" w:type="dxa"/>
              <w:bottom w:w="30" w:type="dxa"/>
              <w:right w:w="20" w:type="dxa"/>
            </w:tcMar>
            <w:vAlign w:val="bottom"/>
            <w:hideMark/>
          </w:tcPr>
          <w:p w14:paraId="0F9BD13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6D5D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37952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B616AB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7797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0CCB82" w14:textId="77777777" w:rsidR="00000000" w:rsidRDefault="000A3118">
            <w:pPr>
              <w:jc w:val="right"/>
              <w:rPr>
                <w:rFonts w:eastAsia="Times New Roman"/>
              </w:rPr>
            </w:pPr>
            <w:r>
              <w:rPr>
                <w:rFonts w:eastAsia="Times New Roman"/>
                <w:color w:val="000000"/>
                <w:sz w:val="16"/>
                <w:szCs w:val="16"/>
              </w:rPr>
              <w:t>(65.4)</w:t>
            </w:r>
          </w:p>
        </w:tc>
        <w:tc>
          <w:tcPr>
            <w:tcW w:w="0" w:type="auto"/>
            <w:shd w:val="clear" w:color="auto" w:fill="FFFFFF"/>
            <w:tcMar>
              <w:top w:w="30" w:type="dxa"/>
              <w:left w:w="0" w:type="dxa"/>
              <w:bottom w:w="30" w:type="dxa"/>
              <w:right w:w="20" w:type="dxa"/>
            </w:tcMar>
            <w:vAlign w:val="bottom"/>
            <w:hideMark/>
          </w:tcPr>
          <w:p w14:paraId="1DE83A48" w14:textId="77777777" w:rsidR="00000000" w:rsidRDefault="000A3118">
            <w:pPr>
              <w:jc w:val="right"/>
              <w:rPr>
                <w:rFonts w:eastAsia="Times New Roman"/>
              </w:rPr>
            </w:pPr>
          </w:p>
        </w:tc>
      </w:tr>
      <w:tr w:rsidR="00000000" w14:paraId="6EB3C4C6" w14:textId="77777777">
        <w:trPr>
          <w:divId w:val="581834406"/>
        </w:trPr>
        <w:tc>
          <w:tcPr>
            <w:tcW w:w="0" w:type="auto"/>
            <w:gridSpan w:val="3"/>
            <w:shd w:val="clear" w:color="auto" w:fill="CCEEFF"/>
            <w:tcMar>
              <w:top w:w="30" w:type="dxa"/>
              <w:left w:w="135" w:type="dxa"/>
              <w:bottom w:w="30" w:type="dxa"/>
              <w:right w:w="20" w:type="dxa"/>
            </w:tcMar>
            <w:vAlign w:val="bottom"/>
            <w:hideMark/>
          </w:tcPr>
          <w:p w14:paraId="25D5AF55" w14:textId="77777777" w:rsidR="00000000" w:rsidRDefault="000A3118">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11B4193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538E5F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B266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5CDF9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1FA50B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834E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13793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91EC67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1A57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26A4D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38DE23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CD87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78F758" w14:textId="77777777" w:rsidR="00000000" w:rsidRDefault="000A3118">
            <w:pPr>
              <w:jc w:val="right"/>
              <w:rPr>
                <w:rFonts w:eastAsia="Times New Roman"/>
              </w:rPr>
            </w:pPr>
            <w:r>
              <w:rPr>
                <w:rFonts w:eastAsia="Times New Roman"/>
                <w:color w:val="000000"/>
                <w:sz w:val="16"/>
                <w:szCs w:val="16"/>
              </w:rPr>
              <w:t>(8.9)</w:t>
            </w:r>
          </w:p>
        </w:tc>
        <w:tc>
          <w:tcPr>
            <w:tcW w:w="0" w:type="auto"/>
            <w:shd w:val="clear" w:color="auto" w:fill="CCEEFF"/>
            <w:tcMar>
              <w:top w:w="30" w:type="dxa"/>
              <w:left w:w="0" w:type="dxa"/>
              <w:bottom w:w="30" w:type="dxa"/>
              <w:right w:w="20" w:type="dxa"/>
            </w:tcMar>
            <w:vAlign w:val="bottom"/>
            <w:hideMark/>
          </w:tcPr>
          <w:p w14:paraId="7FB5A19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507A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037DCA" w14:textId="77777777" w:rsidR="00000000" w:rsidRDefault="000A3118">
            <w:pPr>
              <w:jc w:val="right"/>
              <w:rPr>
                <w:rFonts w:eastAsia="Times New Roman"/>
              </w:rPr>
            </w:pPr>
            <w:r>
              <w:rPr>
                <w:rFonts w:eastAsia="Times New Roman"/>
                <w:color w:val="000000"/>
                <w:sz w:val="16"/>
                <w:szCs w:val="16"/>
              </w:rPr>
              <w:t>(8.9)</w:t>
            </w:r>
          </w:p>
        </w:tc>
        <w:tc>
          <w:tcPr>
            <w:tcW w:w="0" w:type="auto"/>
            <w:shd w:val="clear" w:color="auto" w:fill="CCEEFF"/>
            <w:tcMar>
              <w:top w:w="30" w:type="dxa"/>
              <w:left w:w="0" w:type="dxa"/>
              <w:bottom w:w="30" w:type="dxa"/>
              <w:right w:w="20" w:type="dxa"/>
            </w:tcMar>
            <w:vAlign w:val="bottom"/>
            <w:hideMark/>
          </w:tcPr>
          <w:p w14:paraId="32FD8C6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00BD2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64C08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339F81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E90E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399089" w14:textId="77777777" w:rsidR="00000000" w:rsidRDefault="000A3118">
            <w:pPr>
              <w:jc w:val="right"/>
              <w:rPr>
                <w:rFonts w:eastAsia="Times New Roman"/>
              </w:rPr>
            </w:pPr>
            <w:r>
              <w:rPr>
                <w:rFonts w:eastAsia="Times New Roman"/>
                <w:color w:val="000000"/>
                <w:sz w:val="16"/>
                <w:szCs w:val="16"/>
              </w:rPr>
              <w:t>(8.9)</w:t>
            </w:r>
          </w:p>
        </w:tc>
        <w:tc>
          <w:tcPr>
            <w:tcW w:w="0" w:type="auto"/>
            <w:shd w:val="clear" w:color="auto" w:fill="CCEEFF"/>
            <w:tcMar>
              <w:top w:w="30" w:type="dxa"/>
              <w:left w:w="0" w:type="dxa"/>
              <w:bottom w:w="30" w:type="dxa"/>
              <w:right w:w="20" w:type="dxa"/>
            </w:tcMar>
            <w:vAlign w:val="bottom"/>
            <w:hideMark/>
          </w:tcPr>
          <w:p w14:paraId="436AAE76" w14:textId="77777777" w:rsidR="00000000" w:rsidRDefault="000A3118">
            <w:pPr>
              <w:jc w:val="right"/>
              <w:rPr>
                <w:rFonts w:eastAsia="Times New Roman"/>
              </w:rPr>
            </w:pPr>
          </w:p>
        </w:tc>
      </w:tr>
      <w:tr w:rsidR="000A3118" w14:paraId="10E0EAE9" w14:textId="77777777">
        <w:trPr>
          <w:divId w:val="58183440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190CCF4" w14:textId="77777777" w:rsidR="00000000" w:rsidRDefault="000A3118">
            <w:pPr>
              <w:rPr>
                <w:rFonts w:eastAsia="Times New Roman"/>
              </w:rPr>
            </w:pPr>
            <w:r>
              <w:rPr>
                <w:rFonts w:eastAsia="Times New Roman"/>
                <w:color w:val="000000"/>
                <w:sz w:val="16"/>
                <w:szCs w:val="16"/>
              </w:rPr>
              <w:t>Balance as of June 30,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136B35" w14:textId="77777777" w:rsidR="00000000" w:rsidRDefault="000A3118">
            <w:pPr>
              <w:jc w:val="right"/>
              <w:rPr>
                <w:rFonts w:eastAsia="Times New Roman"/>
              </w:rPr>
            </w:pPr>
            <w:r>
              <w:rPr>
                <w:rFonts w:eastAsia="Times New Roman"/>
                <w:color w:val="000000"/>
                <w:sz w:val="16"/>
                <w:szCs w:val="16"/>
              </w:rPr>
              <w:t>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049D6F"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186DC1"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37265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C6DA05" w14:textId="77777777" w:rsidR="00000000" w:rsidRDefault="000A3118">
            <w:pPr>
              <w:jc w:val="right"/>
              <w:rPr>
                <w:rFonts w:eastAsia="Times New Roman"/>
              </w:rPr>
            </w:pPr>
            <w:r>
              <w:rPr>
                <w:rFonts w:eastAsia="Times New Roman"/>
                <w:color w:val="000000"/>
                <w:sz w:val="16"/>
                <w:szCs w:val="16"/>
              </w:rPr>
              <w:t>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A6D507"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470D8A"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DF301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45AABC" w14:textId="77777777" w:rsidR="00000000" w:rsidRDefault="000A3118">
            <w:pPr>
              <w:jc w:val="right"/>
              <w:rPr>
                <w:rFonts w:eastAsia="Times New Roman"/>
              </w:rPr>
            </w:pPr>
            <w:r>
              <w:rPr>
                <w:rFonts w:eastAsia="Times New Roman"/>
                <w:color w:val="000000"/>
                <w:sz w:val="16"/>
                <w:szCs w:val="16"/>
              </w:rPr>
              <w:t>280.7 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B39021"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AD0910"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341647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EB7D7E7" w14:textId="77777777" w:rsidR="00000000" w:rsidRDefault="000A3118">
            <w:pPr>
              <w:jc w:val="right"/>
              <w:rPr>
                <w:rFonts w:eastAsia="Times New Roman"/>
              </w:rPr>
            </w:pPr>
            <w:r>
              <w:rPr>
                <w:rFonts w:eastAsia="Times New Roman"/>
                <w:color w:val="000000"/>
                <w:sz w:val="16"/>
                <w:szCs w:val="16"/>
              </w:rPr>
              <w:t>1,669.7 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E2A0B2"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3B9617"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F9F0D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199EF1B" w14:textId="77777777" w:rsidR="00000000" w:rsidRDefault="000A3118">
            <w:pPr>
              <w:jc w:val="right"/>
              <w:rPr>
                <w:rFonts w:eastAsia="Times New Roman"/>
              </w:rPr>
            </w:pPr>
            <w:r>
              <w:rPr>
                <w:rFonts w:eastAsia="Times New Roman"/>
                <w:color w:val="000000"/>
                <w:sz w:val="16"/>
                <w:szCs w:val="16"/>
              </w:rPr>
              <w:t>(</w:t>
            </w:r>
            <w:r>
              <w:rPr>
                <w:rFonts w:eastAsia="Times New Roman"/>
                <w:color w:val="000000"/>
                <w:sz w:val="16"/>
                <w:szCs w:val="16"/>
              </w:rPr>
              <w:t>151.6)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76A7B6"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80CE734"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20E99E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533B905" w14:textId="77777777" w:rsidR="00000000" w:rsidRDefault="000A3118">
            <w:pPr>
              <w:jc w:val="right"/>
              <w:rPr>
                <w:rFonts w:eastAsia="Times New Roman"/>
              </w:rPr>
            </w:pPr>
            <w:r>
              <w:rPr>
                <w:rFonts w:eastAsia="Times New Roman"/>
                <w:color w:val="000000"/>
                <w:sz w:val="16"/>
                <w:szCs w:val="16"/>
              </w:rPr>
              <w:t>1,799.4 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4DB6D5"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C6BD4D3"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D069E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7A6F9F" w14:textId="77777777" w:rsidR="00000000" w:rsidRDefault="000A3118">
            <w:pPr>
              <w:jc w:val="right"/>
              <w:rPr>
                <w:rFonts w:eastAsia="Times New Roman"/>
              </w:rPr>
            </w:pPr>
            <w:r>
              <w:rPr>
                <w:rFonts w:eastAsia="Times New Roman"/>
                <w:color w:val="000000"/>
                <w:sz w:val="16"/>
                <w:szCs w:val="16"/>
              </w:rPr>
              <w:t>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18F7E8"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EB749E"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E5BC9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481F6D3" w14:textId="77777777" w:rsidR="00000000" w:rsidRDefault="000A3118">
            <w:pPr>
              <w:jc w:val="right"/>
              <w:rPr>
                <w:rFonts w:eastAsia="Times New Roman"/>
              </w:rPr>
            </w:pPr>
            <w:r>
              <w:rPr>
                <w:rFonts w:eastAsia="Times New Roman"/>
                <w:color w:val="000000"/>
                <w:sz w:val="16"/>
                <w:szCs w:val="16"/>
              </w:rPr>
              <w:t>1,815.6 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E6FF67" w14:textId="77777777" w:rsidR="00000000" w:rsidRDefault="000A3118">
            <w:pPr>
              <w:jc w:val="right"/>
              <w:rPr>
                <w:rFonts w:eastAsia="Times New Roman"/>
              </w:rPr>
            </w:pPr>
          </w:p>
        </w:tc>
      </w:tr>
      <w:tr w:rsidR="00000000" w14:paraId="48D33E68" w14:textId="77777777">
        <w:trPr>
          <w:divId w:val="581834406"/>
        </w:trPr>
        <w:tc>
          <w:tcPr>
            <w:tcW w:w="0" w:type="auto"/>
            <w:gridSpan w:val="3"/>
            <w:shd w:val="clear" w:color="auto" w:fill="CCEEFF"/>
            <w:tcMar>
              <w:top w:w="30" w:type="dxa"/>
              <w:left w:w="135" w:type="dxa"/>
              <w:bottom w:w="30" w:type="dxa"/>
              <w:right w:w="20" w:type="dxa"/>
            </w:tcMar>
            <w:vAlign w:val="bottom"/>
            <w:hideMark/>
          </w:tcPr>
          <w:p w14:paraId="1FA0B3FB" w14:textId="77777777" w:rsidR="00000000" w:rsidRDefault="000A3118">
            <w:pPr>
              <w:rPr>
                <w:rFonts w:eastAsia="Times New Roman"/>
              </w:rPr>
            </w:pPr>
            <w:r>
              <w:rPr>
                <w:rFonts w:eastAsia="Times New Roman"/>
                <w:color w:val="000000"/>
                <w:sz w:val="16"/>
                <w:szCs w:val="16"/>
              </w:rPr>
              <w:t>Net income</w:t>
            </w:r>
          </w:p>
        </w:tc>
        <w:tc>
          <w:tcPr>
            <w:tcW w:w="0" w:type="auto"/>
            <w:gridSpan w:val="2"/>
            <w:shd w:val="clear" w:color="auto" w:fill="CCEEFF"/>
            <w:tcMar>
              <w:top w:w="30" w:type="dxa"/>
              <w:left w:w="20" w:type="dxa"/>
              <w:bottom w:w="30" w:type="dxa"/>
              <w:right w:w="0" w:type="dxa"/>
            </w:tcMar>
            <w:vAlign w:val="bottom"/>
            <w:hideMark/>
          </w:tcPr>
          <w:p w14:paraId="732554A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A2DC53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49A1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C8319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D23EB9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0CEA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D4A04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114B14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E2F96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874FEB" w14:textId="77777777" w:rsidR="00000000" w:rsidRDefault="000A3118">
            <w:pPr>
              <w:jc w:val="right"/>
              <w:rPr>
                <w:rFonts w:eastAsia="Times New Roman"/>
              </w:rPr>
            </w:pPr>
            <w:r>
              <w:rPr>
                <w:rFonts w:eastAsia="Times New Roman"/>
                <w:color w:val="000000"/>
                <w:sz w:val="16"/>
                <w:szCs w:val="16"/>
              </w:rPr>
              <w:t>48.2 </w:t>
            </w:r>
          </w:p>
        </w:tc>
        <w:tc>
          <w:tcPr>
            <w:tcW w:w="0" w:type="auto"/>
            <w:shd w:val="clear" w:color="auto" w:fill="CCEEFF"/>
            <w:tcMar>
              <w:top w:w="30" w:type="dxa"/>
              <w:left w:w="0" w:type="dxa"/>
              <w:bottom w:w="30" w:type="dxa"/>
              <w:right w:w="20" w:type="dxa"/>
            </w:tcMar>
            <w:vAlign w:val="bottom"/>
            <w:hideMark/>
          </w:tcPr>
          <w:p w14:paraId="5111C03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8C42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98D1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E85A5E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AA23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6E68F5" w14:textId="77777777" w:rsidR="00000000" w:rsidRDefault="000A3118">
            <w:pPr>
              <w:jc w:val="right"/>
              <w:rPr>
                <w:rFonts w:eastAsia="Times New Roman"/>
              </w:rPr>
            </w:pPr>
            <w:r>
              <w:rPr>
                <w:rFonts w:eastAsia="Times New Roman"/>
                <w:color w:val="000000"/>
                <w:sz w:val="16"/>
                <w:szCs w:val="16"/>
              </w:rPr>
              <w:t>48.2 </w:t>
            </w:r>
          </w:p>
        </w:tc>
        <w:tc>
          <w:tcPr>
            <w:tcW w:w="0" w:type="auto"/>
            <w:shd w:val="clear" w:color="auto" w:fill="CCEEFF"/>
            <w:tcMar>
              <w:top w:w="30" w:type="dxa"/>
              <w:left w:w="0" w:type="dxa"/>
              <w:bottom w:w="30" w:type="dxa"/>
              <w:right w:w="20" w:type="dxa"/>
            </w:tcMar>
            <w:vAlign w:val="bottom"/>
            <w:hideMark/>
          </w:tcPr>
          <w:p w14:paraId="02BD495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322E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4F271B" w14:textId="77777777" w:rsidR="00000000" w:rsidRDefault="000A3118">
            <w:pPr>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14:paraId="009BF4D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0D11F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76B7C6" w14:textId="77777777" w:rsidR="00000000" w:rsidRDefault="000A3118">
            <w:pPr>
              <w:jc w:val="right"/>
              <w:rPr>
                <w:rFonts w:eastAsia="Times New Roman"/>
              </w:rPr>
            </w:pPr>
            <w:r>
              <w:rPr>
                <w:rFonts w:eastAsia="Times New Roman"/>
                <w:color w:val="000000"/>
                <w:sz w:val="16"/>
                <w:szCs w:val="16"/>
              </w:rPr>
              <w:t>49.4 </w:t>
            </w:r>
          </w:p>
        </w:tc>
        <w:tc>
          <w:tcPr>
            <w:tcW w:w="0" w:type="auto"/>
            <w:shd w:val="clear" w:color="auto" w:fill="CCEEFF"/>
            <w:tcMar>
              <w:top w:w="30" w:type="dxa"/>
              <w:left w:w="0" w:type="dxa"/>
              <w:bottom w:w="30" w:type="dxa"/>
              <w:right w:w="20" w:type="dxa"/>
            </w:tcMar>
            <w:vAlign w:val="bottom"/>
            <w:hideMark/>
          </w:tcPr>
          <w:p w14:paraId="7F750F27" w14:textId="77777777" w:rsidR="00000000" w:rsidRDefault="000A3118">
            <w:pPr>
              <w:jc w:val="right"/>
              <w:rPr>
                <w:rFonts w:eastAsia="Times New Roman"/>
              </w:rPr>
            </w:pPr>
          </w:p>
        </w:tc>
      </w:tr>
      <w:tr w:rsidR="00000000" w14:paraId="7973A26E" w14:textId="77777777">
        <w:trPr>
          <w:divId w:val="581834406"/>
        </w:trPr>
        <w:tc>
          <w:tcPr>
            <w:tcW w:w="0" w:type="auto"/>
            <w:gridSpan w:val="3"/>
            <w:shd w:val="clear" w:color="auto" w:fill="FFFFFF"/>
            <w:tcMar>
              <w:top w:w="30" w:type="dxa"/>
              <w:left w:w="135" w:type="dxa"/>
              <w:bottom w:w="30" w:type="dxa"/>
              <w:right w:w="20" w:type="dxa"/>
            </w:tcMar>
            <w:vAlign w:val="bottom"/>
            <w:hideMark/>
          </w:tcPr>
          <w:p w14:paraId="6B0E03B4" w14:textId="77777777" w:rsidR="00000000" w:rsidRDefault="000A3118">
            <w:pPr>
              <w:rPr>
                <w:rFonts w:eastAsia="Times New Roman"/>
              </w:rPr>
            </w:pPr>
            <w:r>
              <w:rPr>
                <w:rFonts w:eastAsia="Times New Roman"/>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14:paraId="13B10E2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A778D5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4E59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97CBA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C6CE00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DB008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B0E7C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8B9A7B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42E89"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5A1ECC" w14:textId="77777777" w:rsidR="00000000" w:rsidRDefault="000A3118">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14:paraId="3F5C80E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AF80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9964D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2BEF04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1417D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E3D40C" w14:textId="77777777" w:rsidR="00000000" w:rsidRDefault="000A3118">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14:paraId="1A4A9FA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AEA6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60835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99B3A0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D284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D02069" w14:textId="77777777" w:rsidR="00000000" w:rsidRDefault="000A3118">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14:paraId="2D784173" w14:textId="77777777" w:rsidR="00000000" w:rsidRDefault="000A3118">
            <w:pPr>
              <w:jc w:val="right"/>
              <w:rPr>
                <w:rFonts w:eastAsia="Times New Roman"/>
              </w:rPr>
            </w:pPr>
          </w:p>
        </w:tc>
      </w:tr>
      <w:tr w:rsidR="00000000" w14:paraId="72039AC7" w14:textId="77777777">
        <w:trPr>
          <w:divId w:val="581834406"/>
        </w:trPr>
        <w:tc>
          <w:tcPr>
            <w:tcW w:w="0" w:type="auto"/>
            <w:gridSpan w:val="3"/>
            <w:shd w:val="clear" w:color="auto" w:fill="CCEEFF"/>
            <w:tcMar>
              <w:top w:w="30" w:type="dxa"/>
              <w:left w:w="135" w:type="dxa"/>
              <w:bottom w:w="30" w:type="dxa"/>
              <w:right w:w="20" w:type="dxa"/>
            </w:tcMar>
            <w:vAlign w:val="bottom"/>
            <w:hideMark/>
          </w:tcPr>
          <w:p w14:paraId="642B4501" w14:textId="77777777" w:rsidR="00000000" w:rsidRDefault="000A3118">
            <w:pPr>
              <w:rPr>
                <w:rFonts w:eastAsia="Times New Roman"/>
              </w:rPr>
            </w:pPr>
            <w:r>
              <w:rPr>
                <w:rFonts w:eastAsia="Times New Roman"/>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14:paraId="6B0318B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0D73CA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DCFE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5E45B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DA51AB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E3F1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C704B6" w14:textId="77777777" w:rsidR="00000000" w:rsidRDefault="000A3118">
            <w:pPr>
              <w:jc w:val="right"/>
              <w:rPr>
                <w:rFonts w:eastAsia="Times New Roman"/>
              </w:rPr>
            </w:pPr>
            <w:r>
              <w:rPr>
                <w:rFonts w:eastAsia="Times New Roman"/>
                <w:color w:val="000000"/>
                <w:sz w:val="16"/>
                <w:szCs w:val="16"/>
              </w:rPr>
              <w:t>3.9 </w:t>
            </w:r>
          </w:p>
        </w:tc>
        <w:tc>
          <w:tcPr>
            <w:tcW w:w="0" w:type="auto"/>
            <w:shd w:val="clear" w:color="auto" w:fill="CCEEFF"/>
            <w:tcMar>
              <w:top w:w="30" w:type="dxa"/>
              <w:left w:w="0" w:type="dxa"/>
              <w:bottom w:w="30" w:type="dxa"/>
              <w:right w:w="20" w:type="dxa"/>
            </w:tcMar>
            <w:vAlign w:val="bottom"/>
            <w:hideMark/>
          </w:tcPr>
          <w:p w14:paraId="6B0C8C2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69FD2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2094C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8F7B20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6022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3C4CF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F6129D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F315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63AEFF" w14:textId="77777777" w:rsidR="00000000" w:rsidRDefault="000A3118">
            <w:pPr>
              <w:jc w:val="right"/>
              <w:rPr>
                <w:rFonts w:eastAsia="Times New Roman"/>
              </w:rPr>
            </w:pPr>
            <w:r>
              <w:rPr>
                <w:rFonts w:eastAsia="Times New Roman"/>
                <w:color w:val="000000"/>
                <w:sz w:val="16"/>
                <w:szCs w:val="16"/>
              </w:rPr>
              <w:t>3.9 </w:t>
            </w:r>
          </w:p>
        </w:tc>
        <w:tc>
          <w:tcPr>
            <w:tcW w:w="0" w:type="auto"/>
            <w:shd w:val="clear" w:color="auto" w:fill="CCEEFF"/>
            <w:tcMar>
              <w:top w:w="30" w:type="dxa"/>
              <w:left w:w="0" w:type="dxa"/>
              <w:bottom w:w="30" w:type="dxa"/>
              <w:right w:w="20" w:type="dxa"/>
            </w:tcMar>
            <w:vAlign w:val="bottom"/>
            <w:hideMark/>
          </w:tcPr>
          <w:p w14:paraId="503D137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20001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AF451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FB91E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9040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BBD0A9" w14:textId="77777777" w:rsidR="00000000" w:rsidRDefault="000A3118">
            <w:pPr>
              <w:jc w:val="right"/>
              <w:rPr>
                <w:rFonts w:eastAsia="Times New Roman"/>
              </w:rPr>
            </w:pPr>
            <w:r>
              <w:rPr>
                <w:rFonts w:eastAsia="Times New Roman"/>
                <w:color w:val="000000"/>
                <w:sz w:val="16"/>
                <w:szCs w:val="16"/>
              </w:rPr>
              <w:t>3.9 </w:t>
            </w:r>
          </w:p>
        </w:tc>
        <w:tc>
          <w:tcPr>
            <w:tcW w:w="0" w:type="auto"/>
            <w:shd w:val="clear" w:color="auto" w:fill="CCEEFF"/>
            <w:tcMar>
              <w:top w:w="30" w:type="dxa"/>
              <w:left w:w="0" w:type="dxa"/>
              <w:bottom w:w="30" w:type="dxa"/>
              <w:right w:w="20" w:type="dxa"/>
            </w:tcMar>
            <w:vAlign w:val="bottom"/>
            <w:hideMark/>
          </w:tcPr>
          <w:p w14:paraId="3640E0FA" w14:textId="77777777" w:rsidR="00000000" w:rsidRDefault="000A3118">
            <w:pPr>
              <w:jc w:val="right"/>
              <w:rPr>
                <w:rFonts w:eastAsia="Times New Roman"/>
              </w:rPr>
            </w:pPr>
          </w:p>
        </w:tc>
      </w:tr>
      <w:tr w:rsidR="00000000" w14:paraId="71554E45" w14:textId="77777777">
        <w:trPr>
          <w:divId w:val="581834406"/>
        </w:trPr>
        <w:tc>
          <w:tcPr>
            <w:tcW w:w="0" w:type="auto"/>
            <w:gridSpan w:val="3"/>
            <w:vAlign w:val="center"/>
            <w:hideMark/>
          </w:tcPr>
          <w:p w14:paraId="0F55BAD5" w14:textId="77777777" w:rsidR="00000000" w:rsidRDefault="000A3118">
            <w:pPr>
              <w:jc w:val="right"/>
              <w:rPr>
                <w:rFonts w:eastAsia="Times New Roman"/>
                <w:sz w:val="20"/>
                <w:szCs w:val="20"/>
              </w:rPr>
            </w:pPr>
          </w:p>
        </w:tc>
        <w:tc>
          <w:tcPr>
            <w:tcW w:w="0" w:type="auto"/>
            <w:gridSpan w:val="3"/>
            <w:vAlign w:val="center"/>
            <w:hideMark/>
          </w:tcPr>
          <w:p w14:paraId="66ED3EA4" w14:textId="77777777" w:rsidR="00000000" w:rsidRDefault="000A3118">
            <w:pPr>
              <w:rPr>
                <w:rFonts w:eastAsia="Times New Roman"/>
                <w:sz w:val="20"/>
                <w:szCs w:val="20"/>
              </w:rPr>
            </w:pPr>
          </w:p>
        </w:tc>
        <w:tc>
          <w:tcPr>
            <w:tcW w:w="0" w:type="auto"/>
            <w:gridSpan w:val="3"/>
            <w:vAlign w:val="center"/>
            <w:hideMark/>
          </w:tcPr>
          <w:p w14:paraId="3688FB6F" w14:textId="77777777" w:rsidR="00000000" w:rsidRDefault="000A3118">
            <w:pPr>
              <w:rPr>
                <w:rFonts w:eastAsia="Times New Roman"/>
                <w:sz w:val="20"/>
                <w:szCs w:val="20"/>
              </w:rPr>
            </w:pPr>
          </w:p>
        </w:tc>
        <w:tc>
          <w:tcPr>
            <w:tcW w:w="0" w:type="auto"/>
            <w:gridSpan w:val="3"/>
            <w:vAlign w:val="center"/>
            <w:hideMark/>
          </w:tcPr>
          <w:p w14:paraId="4022B3B5" w14:textId="77777777" w:rsidR="00000000" w:rsidRDefault="000A3118">
            <w:pPr>
              <w:rPr>
                <w:rFonts w:eastAsia="Times New Roman"/>
                <w:sz w:val="20"/>
                <w:szCs w:val="20"/>
              </w:rPr>
            </w:pPr>
          </w:p>
        </w:tc>
        <w:tc>
          <w:tcPr>
            <w:tcW w:w="0" w:type="auto"/>
            <w:gridSpan w:val="3"/>
            <w:vAlign w:val="center"/>
            <w:hideMark/>
          </w:tcPr>
          <w:p w14:paraId="0E54ED31" w14:textId="77777777" w:rsidR="00000000" w:rsidRDefault="000A3118">
            <w:pPr>
              <w:rPr>
                <w:rFonts w:eastAsia="Times New Roman"/>
                <w:sz w:val="20"/>
                <w:szCs w:val="20"/>
              </w:rPr>
            </w:pPr>
          </w:p>
        </w:tc>
        <w:tc>
          <w:tcPr>
            <w:tcW w:w="0" w:type="auto"/>
            <w:gridSpan w:val="3"/>
            <w:vAlign w:val="center"/>
            <w:hideMark/>
          </w:tcPr>
          <w:p w14:paraId="6B1C1A62" w14:textId="77777777" w:rsidR="00000000" w:rsidRDefault="000A3118">
            <w:pPr>
              <w:rPr>
                <w:rFonts w:eastAsia="Times New Roman"/>
                <w:sz w:val="20"/>
                <w:szCs w:val="20"/>
              </w:rPr>
            </w:pPr>
          </w:p>
        </w:tc>
        <w:tc>
          <w:tcPr>
            <w:tcW w:w="0" w:type="auto"/>
            <w:gridSpan w:val="3"/>
            <w:vAlign w:val="center"/>
            <w:hideMark/>
          </w:tcPr>
          <w:p w14:paraId="302D1A8A" w14:textId="77777777" w:rsidR="00000000" w:rsidRDefault="000A3118">
            <w:pPr>
              <w:rPr>
                <w:rFonts w:eastAsia="Times New Roman"/>
                <w:sz w:val="20"/>
                <w:szCs w:val="20"/>
              </w:rPr>
            </w:pPr>
          </w:p>
        </w:tc>
        <w:tc>
          <w:tcPr>
            <w:tcW w:w="0" w:type="auto"/>
            <w:gridSpan w:val="3"/>
            <w:vAlign w:val="center"/>
            <w:hideMark/>
          </w:tcPr>
          <w:p w14:paraId="4D5FDA34" w14:textId="77777777" w:rsidR="00000000" w:rsidRDefault="000A3118">
            <w:pPr>
              <w:rPr>
                <w:rFonts w:eastAsia="Times New Roman"/>
                <w:sz w:val="20"/>
                <w:szCs w:val="20"/>
              </w:rPr>
            </w:pPr>
          </w:p>
        </w:tc>
        <w:tc>
          <w:tcPr>
            <w:tcW w:w="0" w:type="auto"/>
            <w:gridSpan w:val="3"/>
            <w:vAlign w:val="center"/>
            <w:hideMark/>
          </w:tcPr>
          <w:p w14:paraId="7142CDF6" w14:textId="77777777" w:rsidR="00000000" w:rsidRDefault="000A3118">
            <w:pPr>
              <w:rPr>
                <w:rFonts w:eastAsia="Times New Roman"/>
                <w:sz w:val="20"/>
                <w:szCs w:val="20"/>
              </w:rPr>
            </w:pPr>
          </w:p>
        </w:tc>
        <w:tc>
          <w:tcPr>
            <w:tcW w:w="0" w:type="auto"/>
            <w:gridSpan w:val="3"/>
            <w:vAlign w:val="center"/>
            <w:hideMark/>
          </w:tcPr>
          <w:p w14:paraId="2AE444BD" w14:textId="77777777" w:rsidR="00000000" w:rsidRDefault="000A3118">
            <w:pPr>
              <w:rPr>
                <w:rFonts w:eastAsia="Times New Roman"/>
                <w:sz w:val="20"/>
                <w:szCs w:val="20"/>
              </w:rPr>
            </w:pPr>
          </w:p>
        </w:tc>
        <w:tc>
          <w:tcPr>
            <w:tcW w:w="0" w:type="auto"/>
            <w:gridSpan w:val="3"/>
            <w:vAlign w:val="center"/>
            <w:hideMark/>
          </w:tcPr>
          <w:p w14:paraId="122DCF92" w14:textId="77777777" w:rsidR="00000000" w:rsidRDefault="000A3118">
            <w:pPr>
              <w:rPr>
                <w:rFonts w:eastAsia="Times New Roman"/>
                <w:sz w:val="20"/>
                <w:szCs w:val="20"/>
              </w:rPr>
            </w:pPr>
          </w:p>
        </w:tc>
        <w:tc>
          <w:tcPr>
            <w:tcW w:w="0" w:type="auto"/>
            <w:gridSpan w:val="3"/>
            <w:vAlign w:val="center"/>
            <w:hideMark/>
          </w:tcPr>
          <w:p w14:paraId="0280BD67" w14:textId="77777777" w:rsidR="00000000" w:rsidRDefault="000A3118">
            <w:pPr>
              <w:rPr>
                <w:rFonts w:eastAsia="Times New Roman"/>
                <w:sz w:val="20"/>
                <w:szCs w:val="20"/>
              </w:rPr>
            </w:pPr>
          </w:p>
        </w:tc>
        <w:tc>
          <w:tcPr>
            <w:tcW w:w="0" w:type="auto"/>
            <w:gridSpan w:val="3"/>
            <w:vAlign w:val="center"/>
            <w:hideMark/>
          </w:tcPr>
          <w:p w14:paraId="1FEED616" w14:textId="77777777" w:rsidR="00000000" w:rsidRDefault="000A3118">
            <w:pPr>
              <w:rPr>
                <w:rFonts w:eastAsia="Times New Roman"/>
                <w:sz w:val="20"/>
                <w:szCs w:val="20"/>
              </w:rPr>
            </w:pPr>
          </w:p>
        </w:tc>
        <w:tc>
          <w:tcPr>
            <w:tcW w:w="0" w:type="auto"/>
            <w:gridSpan w:val="3"/>
            <w:vAlign w:val="center"/>
            <w:hideMark/>
          </w:tcPr>
          <w:p w14:paraId="2897D047" w14:textId="77777777" w:rsidR="00000000" w:rsidRDefault="000A3118">
            <w:pPr>
              <w:rPr>
                <w:rFonts w:eastAsia="Times New Roman"/>
                <w:sz w:val="20"/>
                <w:szCs w:val="20"/>
              </w:rPr>
            </w:pPr>
          </w:p>
        </w:tc>
        <w:tc>
          <w:tcPr>
            <w:tcW w:w="0" w:type="auto"/>
            <w:gridSpan w:val="3"/>
            <w:vAlign w:val="center"/>
            <w:hideMark/>
          </w:tcPr>
          <w:p w14:paraId="631E0CCE" w14:textId="77777777" w:rsidR="00000000" w:rsidRDefault="000A3118">
            <w:pPr>
              <w:rPr>
                <w:rFonts w:eastAsia="Times New Roman"/>
                <w:sz w:val="20"/>
                <w:szCs w:val="20"/>
              </w:rPr>
            </w:pPr>
          </w:p>
        </w:tc>
        <w:tc>
          <w:tcPr>
            <w:tcW w:w="0" w:type="auto"/>
            <w:gridSpan w:val="3"/>
            <w:vAlign w:val="center"/>
            <w:hideMark/>
          </w:tcPr>
          <w:p w14:paraId="12DE32F3" w14:textId="77777777" w:rsidR="00000000" w:rsidRDefault="000A3118">
            <w:pPr>
              <w:rPr>
                <w:rFonts w:eastAsia="Times New Roman"/>
                <w:sz w:val="20"/>
                <w:szCs w:val="20"/>
              </w:rPr>
            </w:pPr>
          </w:p>
        </w:tc>
      </w:tr>
      <w:tr w:rsidR="00000000" w14:paraId="1112B469" w14:textId="77777777">
        <w:trPr>
          <w:divId w:val="581834406"/>
        </w:trPr>
        <w:tc>
          <w:tcPr>
            <w:tcW w:w="0" w:type="auto"/>
            <w:gridSpan w:val="3"/>
            <w:shd w:val="clear" w:color="auto" w:fill="FFFFFF"/>
            <w:tcMar>
              <w:top w:w="30" w:type="dxa"/>
              <w:left w:w="135" w:type="dxa"/>
              <w:bottom w:w="30" w:type="dxa"/>
              <w:right w:w="20" w:type="dxa"/>
            </w:tcMar>
            <w:vAlign w:val="bottom"/>
            <w:hideMark/>
          </w:tcPr>
          <w:p w14:paraId="70A89D88" w14:textId="77777777" w:rsidR="00000000" w:rsidRDefault="000A3118">
            <w:pPr>
              <w:rPr>
                <w:rFonts w:eastAsia="Times New Roman"/>
              </w:rPr>
            </w:pPr>
            <w:r>
              <w:rPr>
                <w:rFonts w:eastAsia="Times New Roman"/>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14:paraId="0FB05CF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EB8BF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5052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8295A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8B34F1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E7DD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5DD85B" w14:textId="77777777" w:rsidR="00000000" w:rsidRDefault="000A3118">
            <w:pPr>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7C41C03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8282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A8DA6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DCF556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CD17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CDD6F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7BDB0C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34A33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65EFF6" w14:textId="77777777" w:rsidR="00000000" w:rsidRDefault="000A3118">
            <w:pPr>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52B383B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FD02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7234F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E6814F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FA45F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59F729" w14:textId="77777777" w:rsidR="00000000" w:rsidRDefault="000A3118">
            <w:pPr>
              <w:jc w:val="right"/>
              <w:rPr>
                <w:rFonts w:eastAsia="Times New Roman"/>
              </w:rPr>
            </w:pPr>
            <w:r>
              <w:rPr>
                <w:rFonts w:eastAsia="Times New Roman"/>
                <w:color w:val="000000"/>
                <w:sz w:val="16"/>
                <w:szCs w:val="16"/>
              </w:rPr>
              <w:t>(0.1)</w:t>
            </w:r>
          </w:p>
        </w:tc>
        <w:tc>
          <w:tcPr>
            <w:tcW w:w="0" w:type="auto"/>
            <w:shd w:val="clear" w:color="auto" w:fill="FFFFFF"/>
            <w:tcMar>
              <w:top w:w="30" w:type="dxa"/>
              <w:left w:w="0" w:type="dxa"/>
              <w:bottom w:w="30" w:type="dxa"/>
              <w:right w:w="20" w:type="dxa"/>
            </w:tcMar>
            <w:vAlign w:val="bottom"/>
            <w:hideMark/>
          </w:tcPr>
          <w:p w14:paraId="436B93D2" w14:textId="77777777" w:rsidR="00000000" w:rsidRDefault="000A3118">
            <w:pPr>
              <w:jc w:val="right"/>
              <w:rPr>
                <w:rFonts w:eastAsia="Times New Roman"/>
              </w:rPr>
            </w:pPr>
          </w:p>
        </w:tc>
      </w:tr>
      <w:tr w:rsidR="00000000" w14:paraId="7FB29CDE" w14:textId="77777777">
        <w:trPr>
          <w:divId w:val="581834406"/>
        </w:trPr>
        <w:tc>
          <w:tcPr>
            <w:tcW w:w="0" w:type="auto"/>
            <w:gridSpan w:val="3"/>
            <w:shd w:val="clear" w:color="auto" w:fill="CCEEFF"/>
            <w:tcMar>
              <w:top w:w="30" w:type="dxa"/>
              <w:left w:w="135" w:type="dxa"/>
              <w:bottom w:w="30" w:type="dxa"/>
              <w:right w:w="20" w:type="dxa"/>
            </w:tcMar>
            <w:vAlign w:val="bottom"/>
            <w:hideMark/>
          </w:tcPr>
          <w:p w14:paraId="159FE0D0" w14:textId="77777777" w:rsidR="00000000" w:rsidRDefault="000A3118">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14:paraId="318035A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E97E47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4B96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E91D7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D1BA2B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EFDF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A17CE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541FFD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0A4F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6354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5F6EDE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1FAB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CBBD48" w14:textId="77777777" w:rsidR="00000000" w:rsidRDefault="000A3118">
            <w:pPr>
              <w:jc w:val="right"/>
              <w:rPr>
                <w:rFonts w:eastAsia="Times New Roman"/>
              </w:rPr>
            </w:pPr>
            <w:r>
              <w:rPr>
                <w:rFonts w:eastAsia="Times New Roman"/>
                <w:color w:val="000000"/>
                <w:sz w:val="16"/>
                <w:szCs w:val="16"/>
              </w:rPr>
              <w:t>(2.8)</w:t>
            </w:r>
          </w:p>
        </w:tc>
        <w:tc>
          <w:tcPr>
            <w:tcW w:w="0" w:type="auto"/>
            <w:shd w:val="clear" w:color="auto" w:fill="CCEEFF"/>
            <w:tcMar>
              <w:top w:w="30" w:type="dxa"/>
              <w:left w:w="0" w:type="dxa"/>
              <w:bottom w:w="30" w:type="dxa"/>
              <w:right w:w="20" w:type="dxa"/>
            </w:tcMar>
            <w:vAlign w:val="bottom"/>
            <w:hideMark/>
          </w:tcPr>
          <w:p w14:paraId="6429509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59E1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8F1ED8" w14:textId="77777777" w:rsidR="00000000" w:rsidRDefault="000A3118">
            <w:pPr>
              <w:jc w:val="right"/>
              <w:rPr>
                <w:rFonts w:eastAsia="Times New Roman"/>
              </w:rPr>
            </w:pPr>
            <w:r>
              <w:rPr>
                <w:rFonts w:eastAsia="Times New Roman"/>
                <w:color w:val="000000"/>
                <w:sz w:val="16"/>
                <w:szCs w:val="16"/>
              </w:rPr>
              <w:t>(2.8)</w:t>
            </w:r>
          </w:p>
        </w:tc>
        <w:tc>
          <w:tcPr>
            <w:tcW w:w="0" w:type="auto"/>
            <w:shd w:val="clear" w:color="auto" w:fill="CCEEFF"/>
            <w:tcMar>
              <w:top w:w="30" w:type="dxa"/>
              <w:left w:w="0" w:type="dxa"/>
              <w:bottom w:w="30" w:type="dxa"/>
              <w:right w:w="20" w:type="dxa"/>
            </w:tcMar>
            <w:vAlign w:val="bottom"/>
            <w:hideMark/>
          </w:tcPr>
          <w:p w14:paraId="179EFE5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F259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A20C97" w14:textId="77777777" w:rsidR="00000000" w:rsidRDefault="000A3118">
            <w:pPr>
              <w:jc w:val="right"/>
              <w:rPr>
                <w:rFonts w:eastAsia="Times New Roman"/>
              </w:rPr>
            </w:pPr>
            <w:r>
              <w:rPr>
                <w:rFonts w:eastAsia="Times New Roman"/>
                <w:color w:val="000000"/>
                <w:sz w:val="16"/>
                <w:szCs w:val="16"/>
              </w:rPr>
              <w:t>(0.8)</w:t>
            </w:r>
          </w:p>
        </w:tc>
        <w:tc>
          <w:tcPr>
            <w:tcW w:w="0" w:type="auto"/>
            <w:shd w:val="clear" w:color="auto" w:fill="CCEEFF"/>
            <w:tcMar>
              <w:top w:w="30" w:type="dxa"/>
              <w:left w:w="0" w:type="dxa"/>
              <w:bottom w:w="30" w:type="dxa"/>
              <w:right w:w="20" w:type="dxa"/>
            </w:tcMar>
            <w:vAlign w:val="bottom"/>
            <w:hideMark/>
          </w:tcPr>
          <w:p w14:paraId="4AC9C49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69BA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0D6F16" w14:textId="77777777" w:rsidR="00000000" w:rsidRDefault="000A3118">
            <w:pPr>
              <w:jc w:val="right"/>
              <w:rPr>
                <w:rFonts w:eastAsia="Times New Roman"/>
              </w:rPr>
            </w:pPr>
            <w:r>
              <w:rPr>
                <w:rFonts w:eastAsia="Times New Roman"/>
                <w:color w:val="000000"/>
                <w:sz w:val="16"/>
                <w:szCs w:val="16"/>
              </w:rPr>
              <w:t>(3.6)</w:t>
            </w:r>
          </w:p>
        </w:tc>
        <w:tc>
          <w:tcPr>
            <w:tcW w:w="0" w:type="auto"/>
            <w:shd w:val="clear" w:color="auto" w:fill="CCEEFF"/>
            <w:tcMar>
              <w:top w:w="30" w:type="dxa"/>
              <w:left w:w="0" w:type="dxa"/>
              <w:bottom w:w="30" w:type="dxa"/>
              <w:right w:w="20" w:type="dxa"/>
            </w:tcMar>
            <w:vAlign w:val="bottom"/>
            <w:hideMark/>
          </w:tcPr>
          <w:p w14:paraId="2A6BAC02" w14:textId="77777777" w:rsidR="00000000" w:rsidRDefault="000A3118">
            <w:pPr>
              <w:jc w:val="right"/>
              <w:rPr>
                <w:rFonts w:eastAsia="Times New Roman"/>
              </w:rPr>
            </w:pPr>
          </w:p>
        </w:tc>
      </w:tr>
      <w:tr w:rsidR="000A3118" w14:paraId="70B8B275" w14:textId="77777777">
        <w:trPr>
          <w:divId w:val="581834406"/>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0238F02E" w14:textId="77777777" w:rsidR="00000000" w:rsidRDefault="000A3118">
            <w:pPr>
              <w:rPr>
                <w:rFonts w:eastAsia="Times New Roman"/>
              </w:rPr>
            </w:pPr>
            <w:r>
              <w:rPr>
                <w:rFonts w:eastAsia="Times New Roman"/>
                <w:color w:val="000000"/>
                <w:sz w:val="16"/>
                <w:szCs w:val="16"/>
              </w:rPr>
              <w:t>Balance as of September 30, 2019</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D62CE2E" w14:textId="77777777" w:rsidR="00000000" w:rsidRDefault="000A3118">
            <w:pPr>
              <w:jc w:val="right"/>
              <w:rPr>
                <w:rFonts w:eastAsia="Times New Roman"/>
              </w:rPr>
            </w:pPr>
            <w:r>
              <w:rPr>
                <w:rFonts w:eastAsia="Times New Roman"/>
                <w:color w:val="000000"/>
                <w:sz w:val="16"/>
                <w:szCs w:val="16"/>
              </w:rPr>
              <w:t>65.2 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8CA0C4"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80058D1"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5C2D0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3957D8" w14:textId="77777777" w:rsidR="00000000" w:rsidRDefault="000A3118">
            <w:pPr>
              <w:jc w:val="right"/>
              <w:rPr>
                <w:rFonts w:eastAsia="Times New Roman"/>
              </w:rPr>
            </w:pPr>
            <w:r>
              <w:rPr>
                <w:rFonts w:eastAsia="Times New Roman"/>
                <w:color w:val="000000"/>
                <w:sz w:val="16"/>
                <w:szCs w:val="16"/>
              </w:rPr>
              <w:t>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EBA035"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76DE792"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59AF7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AD69DC" w14:textId="77777777" w:rsidR="00000000" w:rsidRDefault="000A3118">
            <w:pPr>
              <w:jc w:val="right"/>
              <w:rPr>
                <w:rFonts w:eastAsia="Times New Roman"/>
              </w:rPr>
            </w:pPr>
            <w:r>
              <w:rPr>
                <w:rFonts w:eastAsia="Times New Roman"/>
                <w:color w:val="000000"/>
                <w:sz w:val="16"/>
                <w:szCs w:val="16"/>
              </w:rPr>
              <w:t>284.5 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C2D98B"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2205AF4"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4DF19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F3B3655" w14:textId="77777777" w:rsidR="00000000" w:rsidRDefault="000A3118">
            <w:pPr>
              <w:jc w:val="right"/>
              <w:rPr>
                <w:rFonts w:eastAsia="Times New Roman"/>
              </w:rPr>
            </w:pPr>
            <w:r>
              <w:rPr>
                <w:rFonts w:eastAsia="Times New Roman"/>
                <w:color w:val="000000"/>
                <w:sz w:val="16"/>
                <w:szCs w:val="16"/>
              </w:rPr>
              <w:t>1,711.4 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A01F23"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2D76DC3"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9AA8F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51888B" w14:textId="77777777" w:rsidR="00000000" w:rsidRDefault="000A3118">
            <w:pPr>
              <w:jc w:val="right"/>
              <w:rPr>
                <w:rFonts w:eastAsia="Times New Roman"/>
              </w:rPr>
            </w:pPr>
            <w:r>
              <w:rPr>
                <w:rFonts w:eastAsia="Times New Roman"/>
                <w:color w:val="000000"/>
                <w:sz w:val="16"/>
                <w:szCs w:val="16"/>
              </w:rPr>
              <w:t>(154.3)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EFEA6E"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2013EB4"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CF3BF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3C809C" w14:textId="77777777" w:rsidR="00000000" w:rsidRDefault="000A3118">
            <w:pPr>
              <w:jc w:val="right"/>
              <w:rPr>
                <w:rFonts w:eastAsia="Times New Roman"/>
              </w:rPr>
            </w:pPr>
            <w:r>
              <w:rPr>
                <w:rFonts w:eastAsia="Times New Roman"/>
                <w:color w:val="000000"/>
                <w:sz w:val="16"/>
                <w:szCs w:val="16"/>
              </w:rPr>
              <w:t>1,842.1 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1EA4E5"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3A8BA9D"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0BCF3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190A9C" w14:textId="77777777" w:rsidR="00000000" w:rsidRDefault="000A3118">
            <w:pPr>
              <w:jc w:val="right"/>
              <w:rPr>
                <w:rFonts w:eastAsia="Times New Roman"/>
              </w:rPr>
            </w:pPr>
            <w:r>
              <w:rPr>
                <w:rFonts w:eastAsia="Times New Roman"/>
                <w:color w:val="000000"/>
                <w:sz w:val="16"/>
                <w:szCs w:val="16"/>
              </w:rPr>
              <w:t>16.5 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B8BACC"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FE2D976"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CBD43E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3E3E6E9" w14:textId="77777777" w:rsidR="00000000" w:rsidRDefault="000A3118">
            <w:pPr>
              <w:jc w:val="right"/>
              <w:rPr>
                <w:rFonts w:eastAsia="Times New Roman"/>
              </w:rPr>
            </w:pPr>
            <w:r>
              <w:rPr>
                <w:rFonts w:eastAsia="Times New Roman"/>
                <w:color w:val="000000"/>
                <w:sz w:val="16"/>
                <w:szCs w:val="16"/>
              </w:rPr>
              <w:t>1,858.6 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1E769A" w14:textId="77777777" w:rsidR="00000000" w:rsidRDefault="000A3118">
            <w:pPr>
              <w:jc w:val="right"/>
              <w:rPr>
                <w:rFonts w:eastAsia="Times New Roman"/>
              </w:rPr>
            </w:pPr>
          </w:p>
        </w:tc>
      </w:tr>
    </w:tbl>
    <w:p w14:paraId="78A31B66" w14:textId="77777777" w:rsidR="00000000" w:rsidRDefault="000A3118">
      <w:pPr>
        <w:jc w:val="both"/>
        <w:rPr>
          <w:rFonts w:eastAsia="Times New Roman"/>
        </w:rPr>
      </w:pPr>
    </w:p>
    <w:p w14:paraId="245F23A6" w14:textId="77777777" w:rsidR="00000000" w:rsidRDefault="000A3118">
      <w:pPr>
        <w:jc w:val="both"/>
        <w:rPr>
          <w:rFonts w:eastAsia="Times New Roman"/>
        </w:rPr>
      </w:pPr>
    </w:p>
    <w:p w14:paraId="70E75A10" w14:textId="77777777" w:rsidR="00000000" w:rsidRDefault="000A3118">
      <w:pPr>
        <w:jc w:val="both"/>
        <w:rPr>
          <w:rFonts w:eastAsia="Times New Roman"/>
        </w:rPr>
      </w:pPr>
      <w:r>
        <w:rPr>
          <w:rFonts w:eastAsia="Times New Roman"/>
          <w:b/>
          <w:bCs/>
          <w:color w:val="000000"/>
          <w:sz w:val="20"/>
          <w:szCs w:val="20"/>
        </w:rPr>
        <w:t>Cash Dividends</w:t>
      </w:r>
    </w:p>
    <w:p w14:paraId="767711F1" w14:textId="77777777" w:rsidR="00000000" w:rsidRDefault="000A3118">
      <w:pPr>
        <w:jc w:val="both"/>
        <w:rPr>
          <w:rFonts w:eastAsia="Times New Roman"/>
        </w:rPr>
      </w:pPr>
    </w:p>
    <w:p w14:paraId="50F84DC0" w14:textId="77777777" w:rsidR="00000000" w:rsidRDefault="000A3118">
      <w:pPr>
        <w:jc w:val="both"/>
        <w:rPr>
          <w:rFonts w:eastAsia="Times New Roman"/>
        </w:rPr>
      </w:pPr>
      <w:r>
        <w:rPr>
          <w:rFonts w:eastAsia="Times New Roman"/>
          <w:color w:val="000000"/>
          <w:sz w:val="20"/>
          <w:szCs w:val="20"/>
        </w:rPr>
        <w:t>During the nine months ended September 30, 2020, the Company's Board of Directors declared quarterly cash dividends of $0.10 per common share representing $6.5 million, $6.3 million and $6.3 million in total dividends, which were paid on April 9, 2020, Jul</w:t>
      </w:r>
      <w:r>
        <w:rPr>
          <w:rFonts w:eastAsia="Times New Roman"/>
          <w:color w:val="000000"/>
          <w:sz w:val="20"/>
          <w:szCs w:val="20"/>
        </w:rPr>
        <w:t>y 2, 2020 and October 9, 2020, respectively. During the nine months ended September 30, 2019, the Company's Board of Directors declared quarterly cash dividends of $0.06 , $0.10 and $0.10 per common share representing $4.0 million,$6.6 million and $6.5 mil</w:t>
      </w:r>
      <w:r>
        <w:rPr>
          <w:rFonts w:eastAsia="Times New Roman"/>
          <w:color w:val="000000"/>
          <w:sz w:val="20"/>
          <w:szCs w:val="20"/>
        </w:rPr>
        <w:t>lion in total dividends, which were paid on April 12, 2019, July 5, 2019 and October 11, 2019, respectively.</w:t>
      </w:r>
    </w:p>
    <w:p w14:paraId="60CB9AAF" w14:textId="77777777" w:rsidR="00000000" w:rsidRDefault="000A3118">
      <w:pPr>
        <w:divId w:val="2109693909"/>
        <w:rPr>
          <w:rFonts w:eastAsia="Times New Roman"/>
        </w:rPr>
      </w:pPr>
    </w:p>
    <w:p w14:paraId="7DFA26E7" w14:textId="77777777" w:rsidR="00000000" w:rsidRDefault="000A3118">
      <w:pPr>
        <w:jc w:val="center"/>
        <w:rPr>
          <w:rFonts w:eastAsia="Times New Roman"/>
        </w:rPr>
      </w:pPr>
      <w:r>
        <w:rPr>
          <w:rFonts w:eastAsia="Times New Roman"/>
          <w:color w:val="000000"/>
          <w:sz w:val="20"/>
          <w:szCs w:val="20"/>
        </w:rPr>
        <w:t>The accompanying notes are an integral part of these unaudited Consolidated Financial Statements.</w:t>
      </w:r>
    </w:p>
    <w:p w14:paraId="00B36B60" w14:textId="77777777" w:rsidR="00000000" w:rsidRDefault="000A3118">
      <w:pPr>
        <w:ind w:firstLine="720"/>
        <w:divId w:val="481197094"/>
        <w:rPr>
          <w:rFonts w:eastAsia="Times New Roman"/>
        </w:rPr>
      </w:pPr>
    </w:p>
    <w:p w14:paraId="7E2AF44C" w14:textId="77777777" w:rsidR="00000000" w:rsidRDefault="000A3118">
      <w:pPr>
        <w:jc w:val="center"/>
        <w:divId w:val="1898277029"/>
        <w:rPr>
          <w:rFonts w:eastAsia="Times New Roman"/>
        </w:rPr>
      </w:pPr>
      <w:r>
        <w:rPr>
          <w:rFonts w:eastAsia="Times New Roman"/>
          <w:color w:val="000000"/>
          <w:sz w:val="20"/>
          <w:szCs w:val="20"/>
        </w:rPr>
        <w:t>4</w:t>
      </w:r>
    </w:p>
    <w:p w14:paraId="50EB112E" w14:textId="77777777" w:rsidR="00000000" w:rsidRDefault="000A3118">
      <w:pPr>
        <w:rPr>
          <w:rFonts w:eastAsia="Times New Roman"/>
        </w:rPr>
      </w:pPr>
      <w:r>
        <w:rPr>
          <w:rFonts w:eastAsia="Times New Roman"/>
        </w:rPr>
        <w:pict w14:anchorId="6C66BFC8">
          <v:rect id="_x0000_i1032" style="width:0;height:1.5pt" o:hralign="center" o:hrstd="t" o:hr="t" fillcolor="#a0a0a0" stroked="f"/>
        </w:pict>
      </w:r>
    </w:p>
    <w:p w14:paraId="64FEE39B" w14:textId="77777777" w:rsidR="00000000" w:rsidRDefault="000A3118">
      <w:pPr>
        <w:divId w:val="1354378758"/>
        <w:rPr>
          <w:rFonts w:eastAsia="Times New Roman"/>
        </w:rPr>
      </w:pPr>
    </w:p>
    <w:p w14:paraId="216E9F9B" w14:textId="77777777" w:rsidR="00000000" w:rsidRDefault="000A3118">
      <w:pPr>
        <w:jc w:val="center"/>
        <w:rPr>
          <w:rFonts w:eastAsia="Times New Roman"/>
        </w:rPr>
      </w:pPr>
      <w:r>
        <w:rPr>
          <w:rFonts w:eastAsia="Times New Roman"/>
          <w:b/>
          <w:bCs/>
          <w:color w:val="000000"/>
          <w:sz w:val="20"/>
          <w:szCs w:val="20"/>
        </w:rPr>
        <w:t>World Fuel Services Corporation</w:t>
      </w:r>
    </w:p>
    <w:p w14:paraId="2BEDBF2C" w14:textId="77777777" w:rsidR="00000000" w:rsidRDefault="000A3118">
      <w:pPr>
        <w:jc w:val="center"/>
        <w:rPr>
          <w:rFonts w:eastAsia="Times New Roman"/>
        </w:rPr>
      </w:pPr>
      <w:r>
        <w:rPr>
          <w:rFonts w:eastAsia="Times New Roman"/>
          <w:b/>
          <w:bCs/>
          <w:color w:val="000000"/>
          <w:sz w:val="20"/>
          <w:szCs w:val="20"/>
        </w:rPr>
        <w:t>Consolidated Statements of Cash Flows</w:t>
      </w:r>
    </w:p>
    <w:p w14:paraId="5ACBC7DC" w14:textId="77777777" w:rsidR="00000000" w:rsidRDefault="000A3118">
      <w:pPr>
        <w:jc w:val="center"/>
        <w:rPr>
          <w:rFonts w:eastAsia="Times New Roman"/>
        </w:rPr>
      </w:pPr>
      <w:r>
        <w:rPr>
          <w:rFonts w:eastAsia="Times New Roman"/>
          <w:color w:val="000000"/>
          <w:sz w:val="20"/>
          <w:szCs w:val="20"/>
        </w:rPr>
        <w:t>(Unaudited - In millions)</w:t>
      </w:r>
    </w:p>
    <w:p w14:paraId="56BF2AB2" w14:textId="77777777" w:rsidR="00000000" w:rsidRDefault="000A3118">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5943"/>
        <w:gridCol w:w="38"/>
        <w:gridCol w:w="36"/>
        <w:gridCol w:w="36"/>
        <w:gridCol w:w="36"/>
        <w:gridCol w:w="102"/>
        <w:gridCol w:w="893"/>
        <w:gridCol w:w="36"/>
        <w:gridCol w:w="36"/>
        <w:gridCol w:w="36"/>
        <w:gridCol w:w="36"/>
        <w:gridCol w:w="102"/>
        <w:gridCol w:w="896"/>
        <w:gridCol w:w="36"/>
      </w:tblGrid>
      <w:tr w:rsidR="00000000" w14:paraId="5EF0B780" w14:textId="77777777">
        <w:trPr>
          <w:divId w:val="156726764"/>
        </w:trPr>
        <w:tc>
          <w:tcPr>
            <w:tcW w:w="50" w:type="pct"/>
            <w:vAlign w:val="center"/>
            <w:hideMark/>
          </w:tcPr>
          <w:p w14:paraId="7ED5DE74" w14:textId="77777777" w:rsidR="00000000" w:rsidRDefault="000A3118">
            <w:pPr>
              <w:jc w:val="center"/>
              <w:rPr>
                <w:rFonts w:eastAsia="Times New Roman"/>
              </w:rPr>
            </w:pPr>
          </w:p>
        </w:tc>
        <w:tc>
          <w:tcPr>
            <w:tcW w:w="3599" w:type="pct"/>
            <w:vAlign w:val="center"/>
            <w:hideMark/>
          </w:tcPr>
          <w:p w14:paraId="6DC408A4" w14:textId="77777777" w:rsidR="00000000" w:rsidRDefault="000A3118">
            <w:pPr>
              <w:rPr>
                <w:rFonts w:eastAsia="Times New Roman"/>
                <w:sz w:val="20"/>
                <w:szCs w:val="20"/>
              </w:rPr>
            </w:pPr>
          </w:p>
        </w:tc>
        <w:tc>
          <w:tcPr>
            <w:tcW w:w="5" w:type="pct"/>
            <w:vAlign w:val="center"/>
            <w:hideMark/>
          </w:tcPr>
          <w:p w14:paraId="148C6934" w14:textId="77777777" w:rsidR="00000000" w:rsidRDefault="000A3118">
            <w:pPr>
              <w:rPr>
                <w:rFonts w:eastAsia="Times New Roman"/>
                <w:sz w:val="20"/>
                <w:szCs w:val="20"/>
              </w:rPr>
            </w:pPr>
          </w:p>
        </w:tc>
        <w:tc>
          <w:tcPr>
            <w:tcW w:w="5" w:type="pct"/>
            <w:vAlign w:val="center"/>
            <w:hideMark/>
          </w:tcPr>
          <w:p w14:paraId="69AC9979" w14:textId="77777777" w:rsidR="00000000" w:rsidRDefault="000A3118">
            <w:pPr>
              <w:rPr>
                <w:rFonts w:eastAsia="Times New Roman"/>
                <w:sz w:val="20"/>
                <w:szCs w:val="20"/>
              </w:rPr>
            </w:pPr>
          </w:p>
        </w:tc>
        <w:tc>
          <w:tcPr>
            <w:tcW w:w="26" w:type="pct"/>
            <w:vAlign w:val="center"/>
            <w:hideMark/>
          </w:tcPr>
          <w:p w14:paraId="1D88AFE5" w14:textId="77777777" w:rsidR="00000000" w:rsidRDefault="000A3118">
            <w:pPr>
              <w:rPr>
                <w:rFonts w:eastAsia="Times New Roman"/>
                <w:sz w:val="20"/>
                <w:szCs w:val="20"/>
              </w:rPr>
            </w:pPr>
          </w:p>
        </w:tc>
        <w:tc>
          <w:tcPr>
            <w:tcW w:w="5" w:type="pct"/>
            <w:vAlign w:val="center"/>
            <w:hideMark/>
          </w:tcPr>
          <w:p w14:paraId="1FD09E1D" w14:textId="77777777" w:rsidR="00000000" w:rsidRDefault="000A3118">
            <w:pPr>
              <w:rPr>
                <w:rFonts w:eastAsia="Times New Roman"/>
                <w:sz w:val="20"/>
                <w:szCs w:val="20"/>
              </w:rPr>
            </w:pPr>
          </w:p>
        </w:tc>
        <w:tc>
          <w:tcPr>
            <w:tcW w:w="50" w:type="pct"/>
            <w:vAlign w:val="center"/>
            <w:hideMark/>
          </w:tcPr>
          <w:p w14:paraId="214E81AC" w14:textId="77777777" w:rsidR="00000000" w:rsidRDefault="000A3118">
            <w:pPr>
              <w:rPr>
                <w:rFonts w:eastAsia="Times New Roman"/>
                <w:sz w:val="20"/>
                <w:szCs w:val="20"/>
              </w:rPr>
            </w:pPr>
          </w:p>
        </w:tc>
        <w:tc>
          <w:tcPr>
            <w:tcW w:w="580" w:type="pct"/>
            <w:vAlign w:val="center"/>
            <w:hideMark/>
          </w:tcPr>
          <w:p w14:paraId="5BD173BB" w14:textId="77777777" w:rsidR="00000000" w:rsidRDefault="000A3118">
            <w:pPr>
              <w:rPr>
                <w:rFonts w:eastAsia="Times New Roman"/>
                <w:sz w:val="20"/>
                <w:szCs w:val="20"/>
              </w:rPr>
            </w:pPr>
          </w:p>
        </w:tc>
        <w:tc>
          <w:tcPr>
            <w:tcW w:w="5" w:type="pct"/>
            <w:vAlign w:val="center"/>
            <w:hideMark/>
          </w:tcPr>
          <w:p w14:paraId="0D51BB62" w14:textId="77777777" w:rsidR="00000000" w:rsidRDefault="000A3118">
            <w:pPr>
              <w:rPr>
                <w:rFonts w:eastAsia="Times New Roman"/>
                <w:sz w:val="20"/>
                <w:szCs w:val="20"/>
              </w:rPr>
            </w:pPr>
          </w:p>
        </w:tc>
        <w:tc>
          <w:tcPr>
            <w:tcW w:w="5" w:type="pct"/>
            <w:vAlign w:val="center"/>
            <w:hideMark/>
          </w:tcPr>
          <w:p w14:paraId="138E480A" w14:textId="77777777" w:rsidR="00000000" w:rsidRDefault="000A3118">
            <w:pPr>
              <w:rPr>
                <w:rFonts w:eastAsia="Times New Roman"/>
                <w:sz w:val="20"/>
                <w:szCs w:val="20"/>
              </w:rPr>
            </w:pPr>
          </w:p>
        </w:tc>
        <w:tc>
          <w:tcPr>
            <w:tcW w:w="26" w:type="pct"/>
            <w:vAlign w:val="center"/>
            <w:hideMark/>
          </w:tcPr>
          <w:p w14:paraId="546E6C44" w14:textId="77777777" w:rsidR="00000000" w:rsidRDefault="000A3118">
            <w:pPr>
              <w:rPr>
                <w:rFonts w:eastAsia="Times New Roman"/>
                <w:sz w:val="20"/>
                <w:szCs w:val="20"/>
              </w:rPr>
            </w:pPr>
          </w:p>
        </w:tc>
        <w:tc>
          <w:tcPr>
            <w:tcW w:w="5" w:type="pct"/>
            <w:vAlign w:val="center"/>
            <w:hideMark/>
          </w:tcPr>
          <w:p w14:paraId="2B3C553B" w14:textId="77777777" w:rsidR="00000000" w:rsidRDefault="000A3118">
            <w:pPr>
              <w:rPr>
                <w:rFonts w:eastAsia="Times New Roman"/>
                <w:sz w:val="20"/>
                <w:szCs w:val="20"/>
              </w:rPr>
            </w:pPr>
          </w:p>
        </w:tc>
        <w:tc>
          <w:tcPr>
            <w:tcW w:w="50" w:type="pct"/>
            <w:vAlign w:val="center"/>
            <w:hideMark/>
          </w:tcPr>
          <w:p w14:paraId="449E7AD2" w14:textId="77777777" w:rsidR="00000000" w:rsidRDefault="000A3118">
            <w:pPr>
              <w:rPr>
                <w:rFonts w:eastAsia="Times New Roman"/>
                <w:sz w:val="20"/>
                <w:szCs w:val="20"/>
              </w:rPr>
            </w:pPr>
          </w:p>
        </w:tc>
        <w:tc>
          <w:tcPr>
            <w:tcW w:w="581" w:type="pct"/>
            <w:vAlign w:val="center"/>
            <w:hideMark/>
          </w:tcPr>
          <w:p w14:paraId="0EDAA195" w14:textId="77777777" w:rsidR="00000000" w:rsidRDefault="000A3118">
            <w:pPr>
              <w:rPr>
                <w:rFonts w:eastAsia="Times New Roman"/>
                <w:sz w:val="20"/>
                <w:szCs w:val="20"/>
              </w:rPr>
            </w:pPr>
          </w:p>
        </w:tc>
        <w:tc>
          <w:tcPr>
            <w:tcW w:w="5" w:type="pct"/>
            <w:vAlign w:val="center"/>
            <w:hideMark/>
          </w:tcPr>
          <w:p w14:paraId="74759C0E" w14:textId="77777777" w:rsidR="00000000" w:rsidRDefault="000A3118">
            <w:pPr>
              <w:rPr>
                <w:rFonts w:eastAsia="Times New Roman"/>
                <w:sz w:val="20"/>
                <w:szCs w:val="20"/>
              </w:rPr>
            </w:pPr>
          </w:p>
        </w:tc>
      </w:tr>
      <w:tr w:rsidR="00000000" w14:paraId="0037AA6C" w14:textId="77777777">
        <w:trPr>
          <w:divId w:val="156726764"/>
        </w:trPr>
        <w:tc>
          <w:tcPr>
            <w:tcW w:w="0" w:type="auto"/>
            <w:gridSpan w:val="3"/>
            <w:tcMar>
              <w:top w:w="30" w:type="dxa"/>
              <w:left w:w="20" w:type="dxa"/>
              <w:bottom w:w="30" w:type="dxa"/>
              <w:right w:w="20" w:type="dxa"/>
            </w:tcMar>
            <w:vAlign w:val="bottom"/>
            <w:hideMark/>
          </w:tcPr>
          <w:p w14:paraId="53BC916D" w14:textId="77777777" w:rsidR="00000000" w:rsidRDefault="000A311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423D9F8" w14:textId="77777777" w:rsidR="00000000" w:rsidRDefault="000A3118">
            <w:pPr>
              <w:rPr>
                <w:rFonts w:eastAsia="Times New Roman"/>
              </w:rPr>
            </w:pPr>
          </w:p>
        </w:tc>
        <w:tc>
          <w:tcPr>
            <w:tcW w:w="0" w:type="auto"/>
            <w:gridSpan w:val="9"/>
            <w:tcMar>
              <w:top w:w="30" w:type="dxa"/>
              <w:left w:w="20" w:type="dxa"/>
              <w:bottom w:w="30" w:type="dxa"/>
              <w:right w:w="20" w:type="dxa"/>
            </w:tcMar>
            <w:vAlign w:val="bottom"/>
            <w:hideMark/>
          </w:tcPr>
          <w:p w14:paraId="6E6DAAA0" w14:textId="77777777" w:rsidR="00000000" w:rsidRDefault="000A3118">
            <w:pPr>
              <w:jc w:val="center"/>
              <w:rPr>
                <w:rFonts w:eastAsia="Times New Roman"/>
              </w:rPr>
            </w:pPr>
            <w:r>
              <w:rPr>
                <w:rFonts w:eastAsia="Times New Roman"/>
                <w:b/>
                <w:bCs/>
                <w:color w:val="000000"/>
                <w:sz w:val="16"/>
                <w:szCs w:val="16"/>
              </w:rPr>
              <w:t>For the Nine Months Ended</w:t>
            </w:r>
          </w:p>
        </w:tc>
      </w:tr>
      <w:tr w:rsidR="00000000" w14:paraId="2119B142" w14:textId="77777777">
        <w:trPr>
          <w:divId w:val="156726764"/>
        </w:trPr>
        <w:tc>
          <w:tcPr>
            <w:tcW w:w="0" w:type="auto"/>
            <w:gridSpan w:val="3"/>
            <w:tcMar>
              <w:top w:w="30" w:type="dxa"/>
              <w:left w:w="20" w:type="dxa"/>
              <w:bottom w:w="30" w:type="dxa"/>
              <w:right w:w="20" w:type="dxa"/>
            </w:tcMar>
            <w:vAlign w:val="bottom"/>
            <w:hideMark/>
          </w:tcPr>
          <w:p w14:paraId="7291B318" w14:textId="77777777" w:rsidR="00000000" w:rsidRDefault="000A311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A9092F5" w14:textId="77777777" w:rsidR="00000000" w:rsidRDefault="000A3118">
            <w:pPr>
              <w:rPr>
                <w:rFonts w:eastAsia="Times New Roman"/>
              </w:rPr>
            </w:pPr>
          </w:p>
        </w:tc>
        <w:tc>
          <w:tcPr>
            <w:tcW w:w="0" w:type="auto"/>
            <w:gridSpan w:val="9"/>
            <w:tcMar>
              <w:top w:w="30" w:type="dxa"/>
              <w:left w:w="20" w:type="dxa"/>
              <w:bottom w:w="30" w:type="dxa"/>
              <w:right w:w="20" w:type="dxa"/>
            </w:tcMar>
            <w:vAlign w:val="bottom"/>
            <w:hideMark/>
          </w:tcPr>
          <w:p w14:paraId="7762B72A" w14:textId="77777777" w:rsidR="00000000" w:rsidRDefault="000A3118">
            <w:pPr>
              <w:jc w:val="center"/>
              <w:rPr>
                <w:rFonts w:eastAsia="Times New Roman"/>
              </w:rPr>
            </w:pPr>
            <w:r>
              <w:rPr>
                <w:rFonts w:eastAsia="Times New Roman"/>
                <w:b/>
                <w:bCs/>
                <w:color w:val="000000"/>
                <w:sz w:val="16"/>
                <w:szCs w:val="16"/>
              </w:rPr>
              <w:t>September 30,</w:t>
            </w:r>
          </w:p>
        </w:tc>
      </w:tr>
      <w:tr w:rsidR="00000000" w14:paraId="728D7E76" w14:textId="77777777">
        <w:trPr>
          <w:divId w:val="156726764"/>
        </w:trPr>
        <w:tc>
          <w:tcPr>
            <w:tcW w:w="0" w:type="auto"/>
            <w:gridSpan w:val="3"/>
            <w:tcMar>
              <w:top w:w="30" w:type="dxa"/>
              <w:left w:w="20" w:type="dxa"/>
              <w:bottom w:w="30" w:type="dxa"/>
              <w:right w:w="20" w:type="dxa"/>
            </w:tcMar>
            <w:vAlign w:val="bottom"/>
            <w:hideMark/>
          </w:tcPr>
          <w:p w14:paraId="71B1F323" w14:textId="77777777" w:rsidR="00000000" w:rsidRDefault="000A3118">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2C96E77" w14:textId="77777777" w:rsidR="00000000" w:rsidRDefault="000A311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9FA2AD"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B307959"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AC3582" w14:textId="77777777" w:rsidR="00000000" w:rsidRDefault="000A3118">
            <w:pPr>
              <w:jc w:val="center"/>
              <w:rPr>
                <w:rFonts w:eastAsia="Times New Roman"/>
              </w:rPr>
            </w:pPr>
            <w:r>
              <w:rPr>
                <w:rFonts w:eastAsia="Times New Roman"/>
                <w:b/>
                <w:bCs/>
                <w:color w:val="000000"/>
                <w:sz w:val="16"/>
                <w:szCs w:val="16"/>
              </w:rPr>
              <w:t>2019</w:t>
            </w:r>
          </w:p>
        </w:tc>
      </w:tr>
      <w:tr w:rsidR="00000000" w14:paraId="7C81E69E" w14:textId="77777777">
        <w:trPr>
          <w:divId w:val="156726764"/>
        </w:trPr>
        <w:tc>
          <w:tcPr>
            <w:tcW w:w="0" w:type="auto"/>
            <w:gridSpan w:val="3"/>
            <w:shd w:val="clear" w:color="auto" w:fill="CCEEFF"/>
            <w:tcMar>
              <w:top w:w="30" w:type="dxa"/>
              <w:left w:w="20" w:type="dxa"/>
              <w:bottom w:w="30" w:type="dxa"/>
              <w:right w:w="20" w:type="dxa"/>
            </w:tcMar>
            <w:vAlign w:val="bottom"/>
            <w:hideMark/>
          </w:tcPr>
          <w:p w14:paraId="39396496" w14:textId="77777777" w:rsidR="00000000" w:rsidRDefault="000A3118">
            <w:pPr>
              <w:rPr>
                <w:rFonts w:eastAsia="Times New Roman"/>
              </w:rPr>
            </w:pPr>
            <w:r>
              <w:rPr>
                <w:rFonts w:eastAsia="Times New Roman"/>
                <w:color w:val="000000"/>
                <w:sz w:val="16"/>
                <w:szCs w:val="16"/>
              </w:rPr>
              <w:t>Cash flows from operating activities:</w:t>
            </w:r>
          </w:p>
        </w:tc>
        <w:tc>
          <w:tcPr>
            <w:tcW w:w="0" w:type="auto"/>
            <w:gridSpan w:val="3"/>
            <w:shd w:val="clear" w:color="auto" w:fill="CCEEFF"/>
            <w:tcMar>
              <w:top w:w="0" w:type="dxa"/>
              <w:left w:w="20" w:type="dxa"/>
              <w:bottom w:w="0" w:type="dxa"/>
              <w:right w:w="20" w:type="dxa"/>
            </w:tcMar>
            <w:vAlign w:val="center"/>
            <w:hideMark/>
          </w:tcPr>
          <w:p w14:paraId="69D4A1BC" w14:textId="77777777" w:rsidR="00000000" w:rsidRDefault="000A3118">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D4DA1EF" w14:textId="77777777" w:rsidR="00000000" w:rsidRDefault="000A3118">
            <w:pPr>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4A123C" w14:textId="77777777" w:rsidR="00000000" w:rsidRDefault="000A3118">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2AA5B6B" w14:textId="77777777" w:rsidR="00000000" w:rsidRDefault="000A3118">
            <w:pPr>
              <w:rPr>
                <w:rFonts w:eastAsia="Times New Roman"/>
              </w:rPr>
            </w:pPr>
            <w:r>
              <w:rPr>
                <w:rFonts w:eastAsia="Times New Roman"/>
                <w:color w:val="000000"/>
                <w:sz w:val="20"/>
                <w:szCs w:val="20"/>
              </w:rPr>
              <w:t> </w:t>
            </w:r>
          </w:p>
        </w:tc>
      </w:tr>
      <w:tr w:rsidR="00000000" w14:paraId="6B79872B" w14:textId="77777777">
        <w:trPr>
          <w:divId w:val="156726764"/>
        </w:trPr>
        <w:tc>
          <w:tcPr>
            <w:tcW w:w="0" w:type="auto"/>
            <w:gridSpan w:val="3"/>
            <w:shd w:val="clear" w:color="auto" w:fill="FFFFFF"/>
            <w:tcMar>
              <w:top w:w="30" w:type="dxa"/>
              <w:left w:w="135" w:type="dxa"/>
              <w:bottom w:w="30" w:type="dxa"/>
              <w:right w:w="20" w:type="dxa"/>
            </w:tcMar>
            <w:vAlign w:val="bottom"/>
            <w:hideMark/>
          </w:tcPr>
          <w:p w14:paraId="1E7937EF" w14:textId="77777777" w:rsidR="00000000" w:rsidRDefault="000A3118">
            <w:pPr>
              <w:rPr>
                <w:rFonts w:eastAsia="Times New Roman"/>
              </w:rPr>
            </w:pPr>
            <w:r>
              <w:rPr>
                <w:rFonts w:eastAsia="Times New Roman"/>
                <w:color w:val="000000"/>
                <w:sz w:val="16"/>
                <w:szCs w:val="16"/>
              </w:rPr>
              <w:t>Net income including noncontrolling interest</w:t>
            </w:r>
          </w:p>
        </w:tc>
        <w:tc>
          <w:tcPr>
            <w:tcW w:w="0" w:type="auto"/>
            <w:gridSpan w:val="3"/>
            <w:shd w:val="clear" w:color="auto" w:fill="FFFFFF"/>
            <w:tcMar>
              <w:top w:w="0" w:type="dxa"/>
              <w:left w:w="20" w:type="dxa"/>
              <w:bottom w:w="0" w:type="dxa"/>
              <w:right w:w="20" w:type="dxa"/>
            </w:tcMar>
            <w:vAlign w:val="center"/>
            <w:hideMark/>
          </w:tcPr>
          <w:p w14:paraId="2B637B1B"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227685E4"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7FB2F74" w14:textId="77777777" w:rsidR="00000000" w:rsidRDefault="000A3118">
            <w:pPr>
              <w:jc w:val="right"/>
              <w:rPr>
                <w:rFonts w:eastAsia="Times New Roman"/>
              </w:rPr>
            </w:pPr>
            <w:r>
              <w:rPr>
                <w:rFonts w:eastAsia="Times New Roman"/>
                <w:color w:val="000000"/>
                <w:sz w:val="16"/>
                <w:szCs w:val="16"/>
              </w:rPr>
              <w:t>113.4 </w:t>
            </w:r>
          </w:p>
        </w:tc>
        <w:tc>
          <w:tcPr>
            <w:tcW w:w="0" w:type="auto"/>
            <w:shd w:val="clear" w:color="auto" w:fill="FFFFFF"/>
            <w:tcMar>
              <w:top w:w="30" w:type="dxa"/>
              <w:left w:w="0" w:type="dxa"/>
              <w:bottom w:w="30" w:type="dxa"/>
              <w:right w:w="20" w:type="dxa"/>
            </w:tcMar>
            <w:vAlign w:val="bottom"/>
            <w:hideMark/>
          </w:tcPr>
          <w:p w14:paraId="3A5854C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81AE5"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ECB887"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26FFE1D" w14:textId="77777777" w:rsidR="00000000" w:rsidRDefault="000A3118">
            <w:pPr>
              <w:jc w:val="right"/>
              <w:rPr>
                <w:rFonts w:eastAsia="Times New Roman"/>
              </w:rPr>
            </w:pPr>
            <w:r>
              <w:rPr>
                <w:rFonts w:eastAsia="Times New Roman"/>
                <w:color w:val="000000"/>
                <w:sz w:val="16"/>
                <w:szCs w:val="16"/>
              </w:rPr>
              <w:t>124.3 </w:t>
            </w:r>
          </w:p>
        </w:tc>
        <w:tc>
          <w:tcPr>
            <w:tcW w:w="0" w:type="auto"/>
            <w:shd w:val="clear" w:color="auto" w:fill="FFFFFF"/>
            <w:tcMar>
              <w:top w:w="30" w:type="dxa"/>
              <w:left w:w="0" w:type="dxa"/>
              <w:bottom w:w="30" w:type="dxa"/>
              <w:right w:w="20" w:type="dxa"/>
            </w:tcMar>
            <w:vAlign w:val="bottom"/>
            <w:hideMark/>
          </w:tcPr>
          <w:p w14:paraId="2D748E08" w14:textId="77777777" w:rsidR="00000000" w:rsidRDefault="000A3118">
            <w:pPr>
              <w:jc w:val="right"/>
              <w:rPr>
                <w:rFonts w:eastAsia="Times New Roman"/>
              </w:rPr>
            </w:pPr>
          </w:p>
        </w:tc>
      </w:tr>
      <w:tr w:rsidR="00000000" w14:paraId="5F9792CB" w14:textId="77777777">
        <w:trPr>
          <w:divId w:val="156726764"/>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14:paraId="30437AA7" w14:textId="77777777" w:rsidR="00000000" w:rsidRDefault="000A3118">
            <w:pPr>
              <w:rPr>
                <w:rFonts w:eastAsia="Times New Roman"/>
              </w:rPr>
            </w:pPr>
            <w:r>
              <w:rPr>
                <w:rFonts w:eastAsia="Times New Roman"/>
                <w:color w:val="000000"/>
                <w:sz w:val="16"/>
                <w:szCs w:val="16"/>
              </w:rPr>
              <w:t>Adjustments to reconcile net income including noncontrolling interest to net cash provided by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C5203A" w14:textId="77777777" w:rsidR="00000000" w:rsidRDefault="000A3118">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721674" w14:textId="77777777" w:rsidR="00000000" w:rsidRDefault="000A3118">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D4419F"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E656AA" w14:textId="77777777" w:rsidR="00000000" w:rsidRDefault="000A3118">
            <w:pPr>
              <w:rPr>
                <w:rFonts w:eastAsia="Times New Roman"/>
                <w:sz w:val="20"/>
                <w:szCs w:val="20"/>
              </w:rPr>
            </w:pPr>
          </w:p>
        </w:tc>
      </w:tr>
      <w:tr w:rsidR="00000000" w14:paraId="1D822615" w14:textId="77777777">
        <w:trPr>
          <w:divId w:val="156726764"/>
        </w:trPr>
        <w:tc>
          <w:tcPr>
            <w:tcW w:w="0" w:type="auto"/>
            <w:gridSpan w:val="3"/>
            <w:shd w:val="clear" w:color="auto" w:fill="FFFFFF"/>
            <w:tcMar>
              <w:top w:w="30" w:type="dxa"/>
              <w:left w:w="225" w:type="dxa"/>
              <w:bottom w:w="30" w:type="dxa"/>
              <w:right w:w="20" w:type="dxa"/>
            </w:tcMar>
            <w:vAlign w:val="bottom"/>
            <w:hideMark/>
          </w:tcPr>
          <w:p w14:paraId="54E76A2F" w14:textId="77777777" w:rsidR="00000000" w:rsidRDefault="000A3118">
            <w:pPr>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14:paraId="4CE1714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C29ED4" w14:textId="77777777" w:rsidR="00000000" w:rsidRDefault="000A3118">
            <w:pPr>
              <w:jc w:val="right"/>
              <w:rPr>
                <w:rFonts w:eastAsia="Times New Roman"/>
              </w:rPr>
            </w:pPr>
            <w:r>
              <w:rPr>
                <w:rFonts w:eastAsia="Times New Roman"/>
                <w:color w:val="000000"/>
                <w:sz w:val="16"/>
                <w:szCs w:val="16"/>
              </w:rPr>
              <w:t>66.3 </w:t>
            </w:r>
          </w:p>
        </w:tc>
        <w:tc>
          <w:tcPr>
            <w:tcW w:w="0" w:type="auto"/>
            <w:shd w:val="clear" w:color="auto" w:fill="FFFFFF"/>
            <w:tcMar>
              <w:top w:w="30" w:type="dxa"/>
              <w:left w:w="0" w:type="dxa"/>
              <w:bottom w:w="30" w:type="dxa"/>
              <w:right w:w="20" w:type="dxa"/>
            </w:tcMar>
            <w:vAlign w:val="bottom"/>
            <w:hideMark/>
          </w:tcPr>
          <w:p w14:paraId="6854318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C4A3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B87287" w14:textId="77777777" w:rsidR="00000000" w:rsidRDefault="000A3118">
            <w:pPr>
              <w:jc w:val="right"/>
              <w:rPr>
                <w:rFonts w:eastAsia="Times New Roman"/>
              </w:rPr>
            </w:pPr>
            <w:r>
              <w:rPr>
                <w:rFonts w:eastAsia="Times New Roman"/>
                <w:color w:val="000000"/>
                <w:sz w:val="16"/>
                <w:szCs w:val="16"/>
              </w:rPr>
              <w:t>64.2 </w:t>
            </w:r>
          </w:p>
        </w:tc>
        <w:tc>
          <w:tcPr>
            <w:tcW w:w="0" w:type="auto"/>
            <w:shd w:val="clear" w:color="auto" w:fill="FFFFFF"/>
            <w:tcMar>
              <w:top w:w="30" w:type="dxa"/>
              <w:left w:w="0" w:type="dxa"/>
              <w:bottom w:w="30" w:type="dxa"/>
              <w:right w:w="20" w:type="dxa"/>
            </w:tcMar>
            <w:vAlign w:val="bottom"/>
            <w:hideMark/>
          </w:tcPr>
          <w:p w14:paraId="640E8E9E" w14:textId="77777777" w:rsidR="00000000" w:rsidRDefault="000A3118">
            <w:pPr>
              <w:jc w:val="right"/>
              <w:rPr>
                <w:rFonts w:eastAsia="Times New Roman"/>
              </w:rPr>
            </w:pPr>
          </w:p>
        </w:tc>
      </w:tr>
      <w:tr w:rsidR="00000000" w14:paraId="0D946BCE" w14:textId="77777777">
        <w:trPr>
          <w:divId w:val="156726764"/>
        </w:trPr>
        <w:tc>
          <w:tcPr>
            <w:tcW w:w="0" w:type="auto"/>
            <w:gridSpan w:val="3"/>
            <w:shd w:val="clear" w:color="auto" w:fill="CCEEFF"/>
            <w:tcMar>
              <w:top w:w="30" w:type="dxa"/>
              <w:left w:w="225" w:type="dxa"/>
              <w:bottom w:w="30" w:type="dxa"/>
              <w:right w:w="20" w:type="dxa"/>
            </w:tcMar>
            <w:vAlign w:val="bottom"/>
            <w:hideMark/>
          </w:tcPr>
          <w:p w14:paraId="24FBAF93" w14:textId="77777777" w:rsidR="00000000" w:rsidRDefault="000A3118">
            <w:pPr>
              <w:rPr>
                <w:rFonts w:eastAsia="Times New Roman"/>
              </w:rPr>
            </w:pPr>
            <w:r>
              <w:rPr>
                <w:rFonts w:eastAsia="Times New Roman"/>
                <w:color w:val="000000"/>
                <w:sz w:val="16"/>
                <w:szCs w:val="16"/>
              </w:rPr>
              <w:t>Provision for bad debt</w:t>
            </w:r>
          </w:p>
        </w:tc>
        <w:tc>
          <w:tcPr>
            <w:tcW w:w="0" w:type="auto"/>
            <w:gridSpan w:val="3"/>
            <w:shd w:val="clear" w:color="auto" w:fill="CCEEFF"/>
            <w:tcMar>
              <w:top w:w="0" w:type="dxa"/>
              <w:left w:w="20" w:type="dxa"/>
              <w:bottom w:w="0" w:type="dxa"/>
              <w:right w:w="20" w:type="dxa"/>
            </w:tcMar>
            <w:vAlign w:val="center"/>
            <w:hideMark/>
          </w:tcPr>
          <w:p w14:paraId="668B59DD"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036DB9" w14:textId="77777777" w:rsidR="00000000" w:rsidRDefault="000A3118">
            <w:pPr>
              <w:jc w:val="right"/>
              <w:rPr>
                <w:rFonts w:eastAsia="Times New Roman"/>
              </w:rPr>
            </w:pPr>
            <w:r>
              <w:rPr>
                <w:rFonts w:eastAsia="Times New Roman"/>
                <w:color w:val="000000"/>
                <w:sz w:val="16"/>
                <w:szCs w:val="16"/>
              </w:rPr>
              <w:t>57.9 </w:t>
            </w:r>
          </w:p>
        </w:tc>
        <w:tc>
          <w:tcPr>
            <w:tcW w:w="0" w:type="auto"/>
            <w:shd w:val="clear" w:color="auto" w:fill="CCEEFF"/>
            <w:tcMar>
              <w:top w:w="30" w:type="dxa"/>
              <w:left w:w="0" w:type="dxa"/>
              <w:bottom w:w="30" w:type="dxa"/>
              <w:right w:w="20" w:type="dxa"/>
            </w:tcMar>
            <w:vAlign w:val="bottom"/>
            <w:hideMark/>
          </w:tcPr>
          <w:p w14:paraId="1D94FE0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2A96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8B056E" w14:textId="77777777" w:rsidR="00000000" w:rsidRDefault="000A3118">
            <w:pPr>
              <w:jc w:val="right"/>
              <w:rPr>
                <w:rFonts w:eastAsia="Times New Roman"/>
              </w:rPr>
            </w:pPr>
            <w:r>
              <w:rPr>
                <w:rFonts w:eastAsia="Times New Roman"/>
                <w:color w:val="000000"/>
                <w:sz w:val="16"/>
                <w:szCs w:val="16"/>
              </w:rPr>
              <w:t>19.6 </w:t>
            </w:r>
          </w:p>
        </w:tc>
        <w:tc>
          <w:tcPr>
            <w:tcW w:w="0" w:type="auto"/>
            <w:shd w:val="clear" w:color="auto" w:fill="CCEEFF"/>
            <w:tcMar>
              <w:top w:w="30" w:type="dxa"/>
              <w:left w:w="0" w:type="dxa"/>
              <w:bottom w:w="30" w:type="dxa"/>
              <w:right w:w="20" w:type="dxa"/>
            </w:tcMar>
            <w:vAlign w:val="bottom"/>
            <w:hideMark/>
          </w:tcPr>
          <w:p w14:paraId="695C1B69" w14:textId="77777777" w:rsidR="00000000" w:rsidRDefault="000A3118">
            <w:pPr>
              <w:jc w:val="right"/>
              <w:rPr>
                <w:rFonts w:eastAsia="Times New Roman"/>
              </w:rPr>
            </w:pPr>
          </w:p>
        </w:tc>
      </w:tr>
      <w:tr w:rsidR="00000000" w14:paraId="76349682" w14:textId="77777777">
        <w:trPr>
          <w:divId w:val="156726764"/>
        </w:trPr>
        <w:tc>
          <w:tcPr>
            <w:tcW w:w="0" w:type="auto"/>
            <w:gridSpan w:val="3"/>
            <w:shd w:val="clear" w:color="auto" w:fill="FFFFFF"/>
            <w:tcMar>
              <w:top w:w="30" w:type="dxa"/>
              <w:left w:w="225" w:type="dxa"/>
              <w:bottom w:w="30" w:type="dxa"/>
              <w:right w:w="20" w:type="dxa"/>
            </w:tcMar>
            <w:vAlign w:val="bottom"/>
            <w:hideMark/>
          </w:tcPr>
          <w:p w14:paraId="11F87D74" w14:textId="77777777" w:rsidR="00000000" w:rsidRDefault="000A3118">
            <w:pPr>
              <w:rPr>
                <w:rFonts w:eastAsia="Times New Roman"/>
              </w:rPr>
            </w:pPr>
            <w:r>
              <w:rPr>
                <w:rFonts w:eastAsia="Times New Roman"/>
                <w:color w:val="000000"/>
                <w:sz w:val="16"/>
                <w:szCs w:val="16"/>
              </w:rPr>
              <w:t>Share-based payment award compensation costs</w:t>
            </w:r>
          </w:p>
        </w:tc>
        <w:tc>
          <w:tcPr>
            <w:tcW w:w="0" w:type="auto"/>
            <w:gridSpan w:val="3"/>
            <w:shd w:val="clear" w:color="auto" w:fill="FFFFFF"/>
            <w:tcMar>
              <w:top w:w="0" w:type="dxa"/>
              <w:left w:w="20" w:type="dxa"/>
              <w:bottom w:w="0" w:type="dxa"/>
              <w:right w:w="20" w:type="dxa"/>
            </w:tcMar>
            <w:vAlign w:val="center"/>
            <w:hideMark/>
          </w:tcPr>
          <w:p w14:paraId="04F186CA"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CC96F9" w14:textId="77777777" w:rsidR="00000000" w:rsidRDefault="000A3118">
            <w:pPr>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bottom"/>
            <w:hideMark/>
          </w:tcPr>
          <w:p w14:paraId="03C8B30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84AC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A9F2EA" w14:textId="77777777" w:rsidR="00000000" w:rsidRDefault="000A3118">
            <w:pPr>
              <w:jc w:val="right"/>
              <w:rPr>
                <w:rFonts w:eastAsia="Times New Roman"/>
              </w:rPr>
            </w:pPr>
            <w:r>
              <w:rPr>
                <w:rFonts w:eastAsia="Times New Roman"/>
                <w:color w:val="000000"/>
                <w:sz w:val="16"/>
                <w:szCs w:val="16"/>
              </w:rPr>
              <w:t>12.4 </w:t>
            </w:r>
          </w:p>
        </w:tc>
        <w:tc>
          <w:tcPr>
            <w:tcW w:w="0" w:type="auto"/>
            <w:shd w:val="clear" w:color="auto" w:fill="FFFFFF"/>
            <w:tcMar>
              <w:top w:w="30" w:type="dxa"/>
              <w:left w:w="0" w:type="dxa"/>
              <w:bottom w:w="30" w:type="dxa"/>
              <w:right w:w="20" w:type="dxa"/>
            </w:tcMar>
            <w:vAlign w:val="bottom"/>
            <w:hideMark/>
          </w:tcPr>
          <w:p w14:paraId="4AD8B214" w14:textId="77777777" w:rsidR="00000000" w:rsidRDefault="000A3118">
            <w:pPr>
              <w:jc w:val="right"/>
              <w:rPr>
                <w:rFonts w:eastAsia="Times New Roman"/>
              </w:rPr>
            </w:pPr>
          </w:p>
        </w:tc>
      </w:tr>
      <w:tr w:rsidR="00000000" w14:paraId="0E243E33" w14:textId="77777777">
        <w:trPr>
          <w:divId w:val="156726764"/>
        </w:trPr>
        <w:tc>
          <w:tcPr>
            <w:tcW w:w="0" w:type="auto"/>
            <w:gridSpan w:val="3"/>
            <w:shd w:val="clear" w:color="auto" w:fill="CCEEFF"/>
            <w:tcMar>
              <w:top w:w="30" w:type="dxa"/>
              <w:left w:w="225" w:type="dxa"/>
              <w:bottom w:w="30" w:type="dxa"/>
              <w:right w:w="20" w:type="dxa"/>
            </w:tcMar>
            <w:vAlign w:val="bottom"/>
            <w:hideMark/>
          </w:tcPr>
          <w:p w14:paraId="5A7EF2FC" w14:textId="77777777" w:rsidR="00000000" w:rsidRDefault="000A3118">
            <w:pPr>
              <w:rPr>
                <w:rFonts w:eastAsia="Times New Roman"/>
              </w:rPr>
            </w:pPr>
            <w:r>
              <w:rPr>
                <w:rFonts w:eastAsia="Times New Roman"/>
                <w:color w:val="000000"/>
                <w:sz w:val="16"/>
                <w:szCs w:val="16"/>
              </w:rPr>
              <w:t>Deferred income tax expense (benefit)</w:t>
            </w:r>
          </w:p>
        </w:tc>
        <w:tc>
          <w:tcPr>
            <w:tcW w:w="0" w:type="auto"/>
            <w:gridSpan w:val="3"/>
            <w:shd w:val="clear" w:color="auto" w:fill="CCEEFF"/>
            <w:tcMar>
              <w:top w:w="0" w:type="dxa"/>
              <w:left w:w="20" w:type="dxa"/>
              <w:bottom w:w="0" w:type="dxa"/>
              <w:right w:w="20" w:type="dxa"/>
            </w:tcMar>
            <w:vAlign w:val="center"/>
            <w:hideMark/>
          </w:tcPr>
          <w:p w14:paraId="533C8DD4"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19E784" w14:textId="77777777" w:rsidR="00000000" w:rsidRDefault="000A3118">
            <w:pPr>
              <w:jc w:val="right"/>
              <w:rPr>
                <w:rFonts w:eastAsia="Times New Roman"/>
              </w:rPr>
            </w:pPr>
            <w:r>
              <w:rPr>
                <w:rFonts w:eastAsia="Times New Roman"/>
                <w:color w:val="000000"/>
                <w:sz w:val="16"/>
                <w:szCs w:val="16"/>
              </w:rPr>
              <w:t>(7.9)</w:t>
            </w:r>
          </w:p>
        </w:tc>
        <w:tc>
          <w:tcPr>
            <w:tcW w:w="0" w:type="auto"/>
            <w:shd w:val="clear" w:color="auto" w:fill="CCEEFF"/>
            <w:tcMar>
              <w:top w:w="30" w:type="dxa"/>
              <w:left w:w="0" w:type="dxa"/>
              <w:bottom w:w="30" w:type="dxa"/>
              <w:right w:w="20" w:type="dxa"/>
            </w:tcMar>
            <w:vAlign w:val="bottom"/>
            <w:hideMark/>
          </w:tcPr>
          <w:p w14:paraId="5DD3833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5D29F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200542" w14:textId="77777777" w:rsidR="00000000" w:rsidRDefault="000A3118">
            <w:pPr>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14:paraId="5A76799C" w14:textId="77777777" w:rsidR="00000000" w:rsidRDefault="000A3118">
            <w:pPr>
              <w:jc w:val="right"/>
              <w:rPr>
                <w:rFonts w:eastAsia="Times New Roman"/>
              </w:rPr>
            </w:pPr>
          </w:p>
        </w:tc>
      </w:tr>
      <w:tr w:rsidR="00000000" w14:paraId="638E1E2F" w14:textId="77777777">
        <w:trPr>
          <w:divId w:val="156726764"/>
        </w:trPr>
        <w:tc>
          <w:tcPr>
            <w:tcW w:w="0" w:type="auto"/>
            <w:gridSpan w:val="3"/>
            <w:shd w:val="clear" w:color="auto" w:fill="FFFFFF"/>
            <w:tcMar>
              <w:top w:w="30" w:type="dxa"/>
              <w:left w:w="225" w:type="dxa"/>
              <w:bottom w:w="30" w:type="dxa"/>
              <w:right w:w="20" w:type="dxa"/>
            </w:tcMar>
            <w:vAlign w:val="bottom"/>
            <w:hideMark/>
          </w:tcPr>
          <w:p w14:paraId="1F72ECEB" w14:textId="77777777" w:rsidR="00000000" w:rsidRDefault="000A3118">
            <w:pPr>
              <w:rPr>
                <w:rFonts w:eastAsia="Times New Roman"/>
              </w:rPr>
            </w:pPr>
            <w:r>
              <w:rPr>
                <w:rFonts w:eastAsia="Times New Roman"/>
                <w:color w:val="000000"/>
                <w:sz w:val="16"/>
                <w:szCs w:val="16"/>
              </w:rPr>
              <w:t xml:space="preserve">Foreign currency (gains) losses, net </w:t>
            </w:r>
          </w:p>
        </w:tc>
        <w:tc>
          <w:tcPr>
            <w:tcW w:w="0" w:type="auto"/>
            <w:gridSpan w:val="3"/>
            <w:shd w:val="clear" w:color="auto" w:fill="FFFFFF"/>
            <w:tcMar>
              <w:top w:w="0" w:type="dxa"/>
              <w:left w:w="20" w:type="dxa"/>
              <w:bottom w:w="0" w:type="dxa"/>
              <w:right w:w="20" w:type="dxa"/>
            </w:tcMar>
            <w:vAlign w:val="center"/>
            <w:hideMark/>
          </w:tcPr>
          <w:p w14:paraId="16F7A44D"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66E8E7" w14:textId="77777777" w:rsidR="00000000" w:rsidRDefault="000A3118">
            <w:pPr>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14:paraId="4801B1F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55EF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83A50" w14:textId="77777777" w:rsidR="00000000" w:rsidRDefault="000A3118">
            <w:pPr>
              <w:jc w:val="right"/>
              <w:rPr>
                <w:rFonts w:eastAsia="Times New Roman"/>
              </w:rPr>
            </w:pPr>
            <w:r>
              <w:rPr>
                <w:rFonts w:eastAsia="Times New Roman"/>
                <w:color w:val="000000"/>
                <w:sz w:val="16"/>
                <w:szCs w:val="16"/>
              </w:rPr>
              <w:t>(0.5)</w:t>
            </w:r>
          </w:p>
        </w:tc>
        <w:tc>
          <w:tcPr>
            <w:tcW w:w="0" w:type="auto"/>
            <w:shd w:val="clear" w:color="auto" w:fill="FFFFFF"/>
            <w:tcMar>
              <w:top w:w="30" w:type="dxa"/>
              <w:left w:w="0" w:type="dxa"/>
              <w:bottom w:w="30" w:type="dxa"/>
              <w:right w:w="20" w:type="dxa"/>
            </w:tcMar>
            <w:vAlign w:val="bottom"/>
            <w:hideMark/>
          </w:tcPr>
          <w:p w14:paraId="6211E514" w14:textId="77777777" w:rsidR="00000000" w:rsidRDefault="000A3118">
            <w:pPr>
              <w:jc w:val="right"/>
              <w:rPr>
                <w:rFonts w:eastAsia="Times New Roman"/>
              </w:rPr>
            </w:pPr>
          </w:p>
        </w:tc>
      </w:tr>
      <w:tr w:rsidR="00000000" w14:paraId="2C897939" w14:textId="77777777">
        <w:trPr>
          <w:divId w:val="156726764"/>
        </w:trPr>
        <w:tc>
          <w:tcPr>
            <w:tcW w:w="0" w:type="auto"/>
            <w:gridSpan w:val="3"/>
            <w:shd w:val="clear" w:color="auto" w:fill="CCEEFF"/>
            <w:tcMar>
              <w:top w:w="30" w:type="dxa"/>
              <w:left w:w="225" w:type="dxa"/>
              <w:bottom w:w="30" w:type="dxa"/>
              <w:right w:w="20" w:type="dxa"/>
            </w:tcMar>
            <w:vAlign w:val="bottom"/>
            <w:hideMark/>
          </w:tcPr>
          <w:p w14:paraId="5E28DCD2" w14:textId="77777777" w:rsidR="00000000" w:rsidRDefault="000A3118">
            <w:pPr>
              <w:rPr>
                <w:rFonts w:eastAsia="Times New Roman"/>
              </w:rPr>
            </w:pPr>
            <w:r>
              <w:rPr>
                <w:rFonts w:eastAsia="Times New Roman"/>
                <w:color w:val="000000"/>
                <w:sz w:val="16"/>
                <w:szCs w:val="16"/>
              </w:rPr>
              <w:t>Gain on sale of business</w:t>
            </w:r>
          </w:p>
        </w:tc>
        <w:tc>
          <w:tcPr>
            <w:tcW w:w="0" w:type="auto"/>
            <w:gridSpan w:val="3"/>
            <w:shd w:val="clear" w:color="auto" w:fill="CCEEFF"/>
            <w:tcMar>
              <w:top w:w="0" w:type="dxa"/>
              <w:left w:w="20" w:type="dxa"/>
              <w:bottom w:w="0" w:type="dxa"/>
              <w:right w:w="20" w:type="dxa"/>
            </w:tcMar>
            <w:vAlign w:val="center"/>
            <w:hideMark/>
          </w:tcPr>
          <w:p w14:paraId="60AC45C5"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FD7C78" w14:textId="77777777" w:rsidR="00000000" w:rsidRDefault="000A3118">
            <w:pPr>
              <w:jc w:val="right"/>
              <w:rPr>
                <w:rFonts w:eastAsia="Times New Roman"/>
              </w:rPr>
            </w:pPr>
            <w:r>
              <w:rPr>
                <w:rFonts w:eastAsia="Times New Roman"/>
                <w:color w:val="000000"/>
                <w:sz w:val="16"/>
                <w:szCs w:val="16"/>
              </w:rPr>
              <w:t>(80.0)</w:t>
            </w:r>
          </w:p>
        </w:tc>
        <w:tc>
          <w:tcPr>
            <w:tcW w:w="0" w:type="auto"/>
            <w:shd w:val="clear" w:color="auto" w:fill="CCEEFF"/>
            <w:tcMar>
              <w:top w:w="30" w:type="dxa"/>
              <w:left w:w="0" w:type="dxa"/>
              <w:bottom w:w="30" w:type="dxa"/>
              <w:right w:w="20" w:type="dxa"/>
            </w:tcMar>
            <w:vAlign w:val="bottom"/>
            <w:hideMark/>
          </w:tcPr>
          <w:p w14:paraId="569CE2A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AF2EE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A81E4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9E5E03" w14:textId="77777777" w:rsidR="00000000" w:rsidRDefault="000A3118">
            <w:pPr>
              <w:jc w:val="right"/>
              <w:rPr>
                <w:rFonts w:eastAsia="Times New Roman"/>
              </w:rPr>
            </w:pPr>
          </w:p>
        </w:tc>
      </w:tr>
      <w:tr w:rsidR="00000000" w14:paraId="2EAE431F" w14:textId="77777777">
        <w:trPr>
          <w:divId w:val="156726764"/>
        </w:trPr>
        <w:tc>
          <w:tcPr>
            <w:tcW w:w="0" w:type="auto"/>
            <w:gridSpan w:val="3"/>
            <w:shd w:val="clear" w:color="auto" w:fill="FFFFFF"/>
            <w:tcMar>
              <w:top w:w="30" w:type="dxa"/>
              <w:left w:w="225" w:type="dxa"/>
              <w:bottom w:w="30" w:type="dxa"/>
              <w:right w:w="20" w:type="dxa"/>
            </w:tcMar>
            <w:vAlign w:val="bottom"/>
            <w:hideMark/>
          </w:tcPr>
          <w:p w14:paraId="30FC5B45" w14:textId="77777777" w:rsidR="00000000" w:rsidRDefault="000A3118">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5C463E8E"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DABB49" w14:textId="77777777" w:rsidR="00000000" w:rsidRDefault="000A3118">
            <w:pPr>
              <w:jc w:val="right"/>
              <w:rPr>
                <w:rFonts w:eastAsia="Times New Roman"/>
              </w:rPr>
            </w:pPr>
            <w:r>
              <w:rPr>
                <w:rFonts w:eastAsia="Times New Roman"/>
                <w:color w:val="000000"/>
                <w:sz w:val="16"/>
                <w:szCs w:val="16"/>
              </w:rPr>
              <w:t>12.4 </w:t>
            </w:r>
          </w:p>
        </w:tc>
        <w:tc>
          <w:tcPr>
            <w:tcW w:w="0" w:type="auto"/>
            <w:shd w:val="clear" w:color="auto" w:fill="FFFFFF"/>
            <w:tcMar>
              <w:top w:w="30" w:type="dxa"/>
              <w:left w:w="0" w:type="dxa"/>
              <w:bottom w:w="30" w:type="dxa"/>
              <w:right w:w="20" w:type="dxa"/>
            </w:tcMar>
            <w:vAlign w:val="bottom"/>
            <w:hideMark/>
          </w:tcPr>
          <w:p w14:paraId="1B4F900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4177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15AE76" w14:textId="77777777" w:rsidR="00000000" w:rsidRDefault="000A3118">
            <w:pPr>
              <w:jc w:val="right"/>
              <w:rPr>
                <w:rFonts w:eastAsia="Times New Roman"/>
              </w:rPr>
            </w:pPr>
            <w:r>
              <w:rPr>
                <w:rFonts w:eastAsia="Times New Roman"/>
                <w:color w:val="000000"/>
                <w:sz w:val="16"/>
                <w:szCs w:val="16"/>
              </w:rPr>
              <w:t>0.3 </w:t>
            </w:r>
          </w:p>
        </w:tc>
        <w:tc>
          <w:tcPr>
            <w:tcW w:w="0" w:type="auto"/>
            <w:shd w:val="clear" w:color="auto" w:fill="FFFFFF"/>
            <w:tcMar>
              <w:top w:w="30" w:type="dxa"/>
              <w:left w:w="0" w:type="dxa"/>
              <w:bottom w:w="30" w:type="dxa"/>
              <w:right w:w="20" w:type="dxa"/>
            </w:tcMar>
            <w:vAlign w:val="bottom"/>
            <w:hideMark/>
          </w:tcPr>
          <w:p w14:paraId="21D2CA79" w14:textId="77777777" w:rsidR="00000000" w:rsidRDefault="000A3118">
            <w:pPr>
              <w:jc w:val="right"/>
              <w:rPr>
                <w:rFonts w:eastAsia="Times New Roman"/>
              </w:rPr>
            </w:pPr>
          </w:p>
        </w:tc>
      </w:tr>
      <w:tr w:rsidR="00000000" w14:paraId="0C7D0A76" w14:textId="77777777">
        <w:trPr>
          <w:divId w:val="156726764"/>
        </w:trPr>
        <w:tc>
          <w:tcPr>
            <w:tcW w:w="0" w:type="auto"/>
            <w:gridSpan w:val="3"/>
            <w:shd w:val="clear" w:color="auto" w:fill="CCEEFF"/>
            <w:tcMar>
              <w:top w:w="30" w:type="dxa"/>
              <w:left w:w="225" w:type="dxa"/>
              <w:bottom w:w="30" w:type="dxa"/>
              <w:right w:w="20" w:type="dxa"/>
            </w:tcMar>
            <w:vAlign w:val="bottom"/>
            <w:hideMark/>
          </w:tcPr>
          <w:p w14:paraId="6E51DAD2" w14:textId="77777777" w:rsidR="00000000" w:rsidRDefault="000A3118">
            <w:pPr>
              <w:rPr>
                <w:rFonts w:eastAsia="Times New Roman"/>
              </w:rPr>
            </w:pPr>
            <w:r>
              <w:rPr>
                <w:rFonts w:eastAsia="Times New Roman"/>
                <w:color w:val="000000"/>
                <w:sz w:val="16"/>
                <w:szCs w:val="16"/>
              </w:rPr>
              <w:t>Changes in assets and liabilities, net of acquisitions:</w:t>
            </w:r>
          </w:p>
        </w:tc>
        <w:tc>
          <w:tcPr>
            <w:tcW w:w="0" w:type="auto"/>
            <w:gridSpan w:val="3"/>
            <w:shd w:val="clear" w:color="auto" w:fill="CCEEFF"/>
            <w:tcMar>
              <w:top w:w="0" w:type="dxa"/>
              <w:left w:w="20" w:type="dxa"/>
              <w:bottom w:w="0" w:type="dxa"/>
              <w:right w:w="20" w:type="dxa"/>
            </w:tcMar>
            <w:vAlign w:val="center"/>
            <w:hideMark/>
          </w:tcPr>
          <w:p w14:paraId="55448CF8" w14:textId="77777777" w:rsidR="00000000" w:rsidRDefault="000A3118">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E0E87A" w14:textId="77777777" w:rsidR="00000000" w:rsidRDefault="000A3118">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C4356C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63FA0F" w14:textId="77777777" w:rsidR="00000000" w:rsidRDefault="000A3118">
            <w:pPr>
              <w:rPr>
                <w:rFonts w:eastAsia="Times New Roman"/>
                <w:sz w:val="20"/>
                <w:szCs w:val="20"/>
              </w:rPr>
            </w:pPr>
          </w:p>
        </w:tc>
      </w:tr>
      <w:tr w:rsidR="00000000" w14:paraId="53E046C8" w14:textId="77777777">
        <w:trPr>
          <w:divId w:val="156726764"/>
        </w:trPr>
        <w:tc>
          <w:tcPr>
            <w:tcW w:w="0" w:type="auto"/>
            <w:gridSpan w:val="3"/>
            <w:shd w:val="clear" w:color="auto" w:fill="FFFFFF"/>
            <w:tcMar>
              <w:top w:w="30" w:type="dxa"/>
              <w:left w:w="360" w:type="dxa"/>
              <w:bottom w:w="30" w:type="dxa"/>
              <w:right w:w="20" w:type="dxa"/>
            </w:tcMar>
            <w:vAlign w:val="bottom"/>
            <w:hideMark/>
          </w:tcPr>
          <w:p w14:paraId="340711D5" w14:textId="77777777" w:rsidR="00000000" w:rsidRDefault="000A3118">
            <w:pPr>
              <w:rPr>
                <w:rFonts w:eastAsia="Times New Roman"/>
              </w:rPr>
            </w:pPr>
            <w:r>
              <w:rPr>
                <w:rFonts w:eastAsia="Times New Roman"/>
                <w:color w:val="000000"/>
                <w:sz w:val="16"/>
                <w:szCs w:val="16"/>
              </w:rPr>
              <w:t xml:space="preserve">Accounts receivable, net </w:t>
            </w:r>
          </w:p>
        </w:tc>
        <w:tc>
          <w:tcPr>
            <w:tcW w:w="0" w:type="auto"/>
            <w:gridSpan w:val="3"/>
            <w:shd w:val="clear" w:color="auto" w:fill="FFFFFF"/>
            <w:tcMar>
              <w:top w:w="0" w:type="dxa"/>
              <w:left w:w="20" w:type="dxa"/>
              <w:bottom w:w="0" w:type="dxa"/>
              <w:right w:w="20" w:type="dxa"/>
            </w:tcMar>
            <w:vAlign w:val="center"/>
            <w:hideMark/>
          </w:tcPr>
          <w:p w14:paraId="0E43DE5E"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B66249" w14:textId="77777777" w:rsidR="00000000" w:rsidRDefault="000A3118">
            <w:pPr>
              <w:jc w:val="right"/>
              <w:rPr>
                <w:rFonts w:eastAsia="Times New Roman"/>
              </w:rPr>
            </w:pPr>
            <w:r>
              <w:rPr>
                <w:rFonts w:eastAsia="Times New Roman"/>
                <w:color w:val="000000"/>
                <w:sz w:val="16"/>
                <w:szCs w:val="16"/>
              </w:rPr>
              <w:t>1,283.6 </w:t>
            </w:r>
          </w:p>
        </w:tc>
        <w:tc>
          <w:tcPr>
            <w:tcW w:w="0" w:type="auto"/>
            <w:shd w:val="clear" w:color="auto" w:fill="FFFFFF"/>
            <w:tcMar>
              <w:top w:w="30" w:type="dxa"/>
              <w:left w:w="0" w:type="dxa"/>
              <w:bottom w:w="30" w:type="dxa"/>
              <w:right w:w="20" w:type="dxa"/>
            </w:tcMar>
            <w:vAlign w:val="bottom"/>
            <w:hideMark/>
          </w:tcPr>
          <w:p w14:paraId="5BE575D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5B0F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C2A5A2" w14:textId="77777777" w:rsidR="00000000" w:rsidRDefault="000A3118">
            <w:pPr>
              <w:jc w:val="right"/>
              <w:rPr>
                <w:rFonts w:eastAsia="Times New Roman"/>
              </w:rPr>
            </w:pPr>
            <w:r>
              <w:rPr>
                <w:rFonts w:eastAsia="Times New Roman"/>
                <w:color w:val="000000"/>
                <w:sz w:val="16"/>
                <w:szCs w:val="16"/>
              </w:rPr>
              <w:t>21.1 </w:t>
            </w:r>
          </w:p>
        </w:tc>
        <w:tc>
          <w:tcPr>
            <w:tcW w:w="0" w:type="auto"/>
            <w:shd w:val="clear" w:color="auto" w:fill="FFFFFF"/>
            <w:tcMar>
              <w:top w:w="30" w:type="dxa"/>
              <w:left w:w="0" w:type="dxa"/>
              <w:bottom w:w="30" w:type="dxa"/>
              <w:right w:w="20" w:type="dxa"/>
            </w:tcMar>
            <w:vAlign w:val="bottom"/>
            <w:hideMark/>
          </w:tcPr>
          <w:p w14:paraId="605910A4" w14:textId="77777777" w:rsidR="00000000" w:rsidRDefault="000A3118">
            <w:pPr>
              <w:jc w:val="right"/>
              <w:rPr>
                <w:rFonts w:eastAsia="Times New Roman"/>
              </w:rPr>
            </w:pPr>
          </w:p>
        </w:tc>
      </w:tr>
      <w:tr w:rsidR="00000000" w14:paraId="0F11B058" w14:textId="77777777">
        <w:trPr>
          <w:divId w:val="156726764"/>
        </w:trPr>
        <w:tc>
          <w:tcPr>
            <w:tcW w:w="0" w:type="auto"/>
            <w:gridSpan w:val="3"/>
            <w:shd w:val="clear" w:color="auto" w:fill="CCEEFF"/>
            <w:tcMar>
              <w:top w:w="30" w:type="dxa"/>
              <w:left w:w="360" w:type="dxa"/>
              <w:bottom w:w="30" w:type="dxa"/>
              <w:right w:w="20" w:type="dxa"/>
            </w:tcMar>
            <w:vAlign w:val="bottom"/>
            <w:hideMark/>
          </w:tcPr>
          <w:p w14:paraId="5E085360" w14:textId="77777777" w:rsidR="00000000" w:rsidRDefault="000A3118">
            <w:pPr>
              <w:rPr>
                <w:rFonts w:eastAsia="Times New Roman"/>
              </w:rPr>
            </w:pPr>
            <w:r>
              <w:rPr>
                <w:rFonts w:eastAsia="Times New Roman"/>
                <w:color w:val="000000"/>
                <w:sz w:val="16"/>
                <w:szCs w:val="16"/>
              </w:rPr>
              <w:t>Inventories</w:t>
            </w:r>
          </w:p>
        </w:tc>
        <w:tc>
          <w:tcPr>
            <w:tcW w:w="0" w:type="auto"/>
            <w:gridSpan w:val="3"/>
            <w:shd w:val="clear" w:color="auto" w:fill="CCEEFF"/>
            <w:tcMar>
              <w:top w:w="0" w:type="dxa"/>
              <w:left w:w="20" w:type="dxa"/>
              <w:bottom w:w="0" w:type="dxa"/>
              <w:right w:w="20" w:type="dxa"/>
            </w:tcMar>
            <w:vAlign w:val="center"/>
            <w:hideMark/>
          </w:tcPr>
          <w:p w14:paraId="00737939"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FE3009" w14:textId="77777777" w:rsidR="00000000" w:rsidRDefault="000A3118">
            <w:pPr>
              <w:jc w:val="right"/>
              <w:rPr>
                <w:rFonts w:eastAsia="Times New Roman"/>
              </w:rPr>
            </w:pPr>
            <w:r>
              <w:rPr>
                <w:rFonts w:eastAsia="Times New Roman"/>
                <w:color w:val="000000"/>
                <w:sz w:val="16"/>
                <w:szCs w:val="16"/>
              </w:rPr>
              <w:t>299.4 </w:t>
            </w:r>
          </w:p>
        </w:tc>
        <w:tc>
          <w:tcPr>
            <w:tcW w:w="0" w:type="auto"/>
            <w:shd w:val="clear" w:color="auto" w:fill="CCEEFF"/>
            <w:tcMar>
              <w:top w:w="30" w:type="dxa"/>
              <w:left w:w="0" w:type="dxa"/>
              <w:bottom w:w="30" w:type="dxa"/>
              <w:right w:w="20" w:type="dxa"/>
            </w:tcMar>
            <w:vAlign w:val="bottom"/>
            <w:hideMark/>
          </w:tcPr>
          <w:p w14:paraId="7A85A92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81BD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109737" w14:textId="77777777" w:rsidR="00000000" w:rsidRDefault="000A3118">
            <w:pPr>
              <w:jc w:val="right"/>
              <w:rPr>
                <w:rFonts w:eastAsia="Times New Roman"/>
              </w:rPr>
            </w:pPr>
            <w:r>
              <w:rPr>
                <w:rFonts w:eastAsia="Times New Roman"/>
                <w:color w:val="000000"/>
                <w:sz w:val="16"/>
                <w:szCs w:val="16"/>
              </w:rPr>
              <w:t>(53.4)</w:t>
            </w:r>
          </w:p>
        </w:tc>
        <w:tc>
          <w:tcPr>
            <w:tcW w:w="0" w:type="auto"/>
            <w:shd w:val="clear" w:color="auto" w:fill="CCEEFF"/>
            <w:tcMar>
              <w:top w:w="30" w:type="dxa"/>
              <w:left w:w="0" w:type="dxa"/>
              <w:bottom w:w="30" w:type="dxa"/>
              <w:right w:w="20" w:type="dxa"/>
            </w:tcMar>
            <w:vAlign w:val="bottom"/>
            <w:hideMark/>
          </w:tcPr>
          <w:p w14:paraId="5585F4EB" w14:textId="77777777" w:rsidR="00000000" w:rsidRDefault="000A3118">
            <w:pPr>
              <w:jc w:val="right"/>
              <w:rPr>
                <w:rFonts w:eastAsia="Times New Roman"/>
              </w:rPr>
            </w:pPr>
          </w:p>
        </w:tc>
      </w:tr>
      <w:tr w:rsidR="00000000" w14:paraId="39E3C9E5" w14:textId="77777777">
        <w:trPr>
          <w:divId w:val="156726764"/>
        </w:trPr>
        <w:tc>
          <w:tcPr>
            <w:tcW w:w="0" w:type="auto"/>
            <w:gridSpan w:val="3"/>
            <w:shd w:val="clear" w:color="auto" w:fill="FFFFFF"/>
            <w:tcMar>
              <w:top w:w="30" w:type="dxa"/>
              <w:left w:w="360" w:type="dxa"/>
              <w:bottom w:w="30" w:type="dxa"/>
              <w:right w:w="20" w:type="dxa"/>
            </w:tcMar>
            <w:vAlign w:val="bottom"/>
            <w:hideMark/>
          </w:tcPr>
          <w:p w14:paraId="34A6D2B2" w14:textId="77777777" w:rsidR="00000000" w:rsidRDefault="000A3118">
            <w:pPr>
              <w:rPr>
                <w:rFonts w:eastAsia="Times New Roman"/>
              </w:rPr>
            </w:pPr>
            <w:r>
              <w:rPr>
                <w:rFonts w:eastAsia="Times New Roman"/>
                <w:color w:val="000000"/>
                <w:sz w:val="16"/>
                <w:szCs w:val="16"/>
              </w:rPr>
              <w:t>Prepaid expenses</w:t>
            </w:r>
          </w:p>
        </w:tc>
        <w:tc>
          <w:tcPr>
            <w:tcW w:w="0" w:type="auto"/>
            <w:gridSpan w:val="3"/>
            <w:shd w:val="clear" w:color="auto" w:fill="FFFFFF"/>
            <w:tcMar>
              <w:top w:w="0" w:type="dxa"/>
              <w:left w:w="20" w:type="dxa"/>
              <w:bottom w:w="0" w:type="dxa"/>
              <w:right w:w="20" w:type="dxa"/>
            </w:tcMar>
            <w:vAlign w:val="center"/>
            <w:hideMark/>
          </w:tcPr>
          <w:p w14:paraId="7EEDCF60"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39987B" w14:textId="77777777" w:rsidR="00000000" w:rsidRDefault="000A3118">
            <w:pPr>
              <w:jc w:val="right"/>
              <w:rPr>
                <w:rFonts w:eastAsia="Times New Roman"/>
              </w:rPr>
            </w:pPr>
            <w:r>
              <w:rPr>
                <w:rFonts w:eastAsia="Times New Roman"/>
                <w:color w:val="000000"/>
                <w:sz w:val="16"/>
                <w:szCs w:val="16"/>
              </w:rPr>
              <w:t>22.5 </w:t>
            </w:r>
          </w:p>
        </w:tc>
        <w:tc>
          <w:tcPr>
            <w:tcW w:w="0" w:type="auto"/>
            <w:shd w:val="clear" w:color="auto" w:fill="FFFFFF"/>
            <w:tcMar>
              <w:top w:w="30" w:type="dxa"/>
              <w:left w:w="0" w:type="dxa"/>
              <w:bottom w:w="30" w:type="dxa"/>
              <w:right w:w="20" w:type="dxa"/>
            </w:tcMar>
            <w:vAlign w:val="bottom"/>
            <w:hideMark/>
          </w:tcPr>
          <w:p w14:paraId="309B4AE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9442F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93A5E" w14:textId="77777777" w:rsidR="00000000" w:rsidRDefault="000A3118">
            <w:pPr>
              <w:jc w:val="right"/>
              <w:rPr>
                <w:rFonts w:eastAsia="Times New Roman"/>
              </w:rPr>
            </w:pPr>
            <w:r>
              <w:rPr>
                <w:rFonts w:eastAsia="Times New Roman"/>
                <w:color w:val="000000"/>
                <w:sz w:val="16"/>
                <w:szCs w:val="16"/>
              </w:rPr>
              <w:t>(7.2)</w:t>
            </w:r>
          </w:p>
        </w:tc>
        <w:tc>
          <w:tcPr>
            <w:tcW w:w="0" w:type="auto"/>
            <w:shd w:val="clear" w:color="auto" w:fill="FFFFFF"/>
            <w:tcMar>
              <w:top w:w="30" w:type="dxa"/>
              <w:left w:w="0" w:type="dxa"/>
              <w:bottom w:w="30" w:type="dxa"/>
              <w:right w:w="20" w:type="dxa"/>
            </w:tcMar>
            <w:vAlign w:val="bottom"/>
            <w:hideMark/>
          </w:tcPr>
          <w:p w14:paraId="42A11D09" w14:textId="77777777" w:rsidR="00000000" w:rsidRDefault="000A3118">
            <w:pPr>
              <w:jc w:val="right"/>
              <w:rPr>
                <w:rFonts w:eastAsia="Times New Roman"/>
              </w:rPr>
            </w:pPr>
          </w:p>
        </w:tc>
      </w:tr>
      <w:tr w:rsidR="00000000" w14:paraId="002989A3" w14:textId="77777777">
        <w:trPr>
          <w:divId w:val="156726764"/>
        </w:trPr>
        <w:tc>
          <w:tcPr>
            <w:tcW w:w="0" w:type="auto"/>
            <w:gridSpan w:val="3"/>
            <w:shd w:val="clear" w:color="auto" w:fill="CCEEFF"/>
            <w:tcMar>
              <w:top w:w="30" w:type="dxa"/>
              <w:left w:w="360" w:type="dxa"/>
              <w:bottom w:w="30" w:type="dxa"/>
              <w:right w:w="20" w:type="dxa"/>
            </w:tcMar>
            <w:vAlign w:val="bottom"/>
            <w:hideMark/>
          </w:tcPr>
          <w:p w14:paraId="72C5380C" w14:textId="77777777" w:rsidR="00000000" w:rsidRDefault="000A3118">
            <w:pPr>
              <w:rPr>
                <w:rFonts w:eastAsia="Times New Roman"/>
              </w:rPr>
            </w:pPr>
            <w:r>
              <w:rPr>
                <w:rFonts w:eastAsia="Times New Roman"/>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14:paraId="130406BE"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836D89" w14:textId="77777777" w:rsidR="00000000" w:rsidRDefault="000A3118">
            <w:pPr>
              <w:jc w:val="right"/>
              <w:rPr>
                <w:rFonts w:eastAsia="Times New Roman"/>
              </w:rPr>
            </w:pPr>
            <w:r>
              <w:rPr>
                <w:rFonts w:eastAsia="Times New Roman"/>
                <w:color w:val="000000"/>
                <w:sz w:val="16"/>
                <w:szCs w:val="16"/>
              </w:rPr>
              <w:t>(68.3)</w:t>
            </w:r>
          </w:p>
        </w:tc>
        <w:tc>
          <w:tcPr>
            <w:tcW w:w="0" w:type="auto"/>
            <w:shd w:val="clear" w:color="auto" w:fill="CCEEFF"/>
            <w:tcMar>
              <w:top w:w="30" w:type="dxa"/>
              <w:left w:w="0" w:type="dxa"/>
              <w:bottom w:w="30" w:type="dxa"/>
              <w:right w:w="20" w:type="dxa"/>
            </w:tcMar>
            <w:vAlign w:val="bottom"/>
            <w:hideMark/>
          </w:tcPr>
          <w:p w14:paraId="790DD15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42B9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993AD" w14:textId="77777777" w:rsidR="00000000" w:rsidRDefault="000A3118">
            <w:pPr>
              <w:jc w:val="right"/>
              <w:rPr>
                <w:rFonts w:eastAsia="Times New Roman"/>
              </w:rPr>
            </w:pPr>
            <w:r>
              <w:rPr>
                <w:rFonts w:eastAsia="Times New Roman"/>
                <w:color w:val="000000"/>
                <w:sz w:val="16"/>
                <w:szCs w:val="16"/>
              </w:rPr>
              <w:t>127.2 </w:t>
            </w:r>
          </w:p>
        </w:tc>
        <w:tc>
          <w:tcPr>
            <w:tcW w:w="0" w:type="auto"/>
            <w:shd w:val="clear" w:color="auto" w:fill="CCEEFF"/>
            <w:tcMar>
              <w:top w:w="30" w:type="dxa"/>
              <w:left w:w="0" w:type="dxa"/>
              <w:bottom w:w="30" w:type="dxa"/>
              <w:right w:w="20" w:type="dxa"/>
            </w:tcMar>
            <w:vAlign w:val="bottom"/>
            <w:hideMark/>
          </w:tcPr>
          <w:p w14:paraId="649340CB" w14:textId="77777777" w:rsidR="00000000" w:rsidRDefault="000A3118">
            <w:pPr>
              <w:jc w:val="right"/>
              <w:rPr>
                <w:rFonts w:eastAsia="Times New Roman"/>
              </w:rPr>
            </w:pPr>
          </w:p>
        </w:tc>
      </w:tr>
      <w:tr w:rsidR="00000000" w14:paraId="061D8167" w14:textId="77777777">
        <w:trPr>
          <w:divId w:val="156726764"/>
        </w:trPr>
        <w:tc>
          <w:tcPr>
            <w:tcW w:w="0" w:type="auto"/>
            <w:gridSpan w:val="3"/>
            <w:shd w:val="clear" w:color="auto" w:fill="FFFFFF"/>
            <w:tcMar>
              <w:top w:w="30" w:type="dxa"/>
              <w:left w:w="360" w:type="dxa"/>
              <w:bottom w:w="30" w:type="dxa"/>
              <w:right w:w="20" w:type="dxa"/>
            </w:tcMar>
            <w:vAlign w:val="bottom"/>
            <w:hideMark/>
          </w:tcPr>
          <w:p w14:paraId="5491D62E" w14:textId="77777777" w:rsidR="00000000" w:rsidRDefault="000A3118">
            <w:pPr>
              <w:rPr>
                <w:rFonts w:eastAsia="Times New Roman"/>
              </w:rPr>
            </w:pPr>
            <w:r>
              <w:rPr>
                <w:rFonts w:eastAsia="Times New Roman"/>
                <w:color w:val="000000"/>
                <w:sz w:val="16"/>
                <w:szCs w:val="16"/>
              </w:rPr>
              <w:t>Other current assets</w:t>
            </w:r>
          </w:p>
        </w:tc>
        <w:tc>
          <w:tcPr>
            <w:tcW w:w="0" w:type="auto"/>
            <w:gridSpan w:val="3"/>
            <w:shd w:val="clear" w:color="auto" w:fill="FFFFFF"/>
            <w:tcMar>
              <w:top w:w="0" w:type="dxa"/>
              <w:left w:w="20" w:type="dxa"/>
              <w:bottom w:w="0" w:type="dxa"/>
              <w:right w:w="20" w:type="dxa"/>
            </w:tcMar>
            <w:vAlign w:val="center"/>
            <w:hideMark/>
          </w:tcPr>
          <w:p w14:paraId="79D283BE"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1500DE" w14:textId="77777777" w:rsidR="00000000" w:rsidRDefault="000A3118">
            <w:pPr>
              <w:jc w:val="right"/>
              <w:rPr>
                <w:rFonts w:eastAsia="Times New Roman"/>
              </w:rPr>
            </w:pPr>
            <w:r>
              <w:rPr>
                <w:rFonts w:eastAsia="Times New Roman"/>
                <w:color w:val="000000"/>
                <w:sz w:val="16"/>
                <w:szCs w:val="16"/>
              </w:rPr>
              <w:t>72.3 </w:t>
            </w:r>
          </w:p>
        </w:tc>
        <w:tc>
          <w:tcPr>
            <w:tcW w:w="0" w:type="auto"/>
            <w:shd w:val="clear" w:color="auto" w:fill="FFFFFF"/>
            <w:tcMar>
              <w:top w:w="30" w:type="dxa"/>
              <w:left w:w="0" w:type="dxa"/>
              <w:bottom w:w="30" w:type="dxa"/>
              <w:right w:w="20" w:type="dxa"/>
            </w:tcMar>
            <w:vAlign w:val="bottom"/>
            <w:hideMark/>
          </w:tcPr>
          <w:p w14:paraId="6CCF0D6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2109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827719" w14:textId="77777777" w:rsidR="00000000" w:rsidRDefault="000A3118">
            <w:pPr>
              <w:jc w:val="right"/>
              <w:rPr>
                <w:rFonts w:eastAsia="Times New Roman"/>
              </w:rPr>
            </w:pPr>
            <w:r>
              <w:rPr>
                <w:rFonts w:eastAsia="Times New Roman"/>
                <w:color w:val="000000"/>
                <w:sz w:val="16"/>
                <w:szCs w:val="16"/>
              </w:rPr>
              <w:t>(58.4)</w:t>
            </w:r>
          </w:p>
        </w:tc>
        <w:tc>
          <w:tcPr>
            <w:tcW w:w="0" w:type="auto"/>
            <w:shd w:val="clear" w:color="auto" w:fill="FFFFFF"/>
            <w:tcMar>
              <w:top w:w="30" w:type="dxa"/>
              <w:left w:w="0" w:type="dxa"/>
              <w:bottom w:w="30" w:type="dxa"/>
              <w:right w:w="20" w:type="dxa"/>
            </w:tcMar>
            <w:vAlign w:val="bottom"/>
            <w:hideMark/>
          </w:tcPr>
          <w:p w14:paraId="531FCD8D" w14:textId="77777777" w:rsidR="00000000" w:rsidRDefault="000A3118">
            <w:pPr>
              <w:jc w:val="right"/>
              <w:rPr>
                <w:rFonts w:eastAsia="Times New Roman"/>
              </w:rPr>
            </w:pPr>
          </w:p>
        </w:tc>
      </w:tr>
      <w:tr w:rsidR="00000000" w14:paraId="67EA991B" w14:textId="77777777">
        <w:trPr>
          <w:divId w:val="156726764"/>
        </w:trPr>
        <w:tc>
          <w:tcPr>
            <w:tcW w:w="0" w:type="auto"/>
            <w:gridSpan w:val="3"/>
            <w:shd w:val="clear" w:color="auto" w:fill="CCEEFF"/>
            <w:tcMar>
              <w:top w:w="30" w:type="dxa"/>
              <w:left w:w="360" w:type="dxa"/>
              <w:bottom w:w="30" w:type="dxa"/>
              <w:right w:w="20" w:type="dxa"/>
            </w:tcMar>
            <w:vAlign w:val="bottom"/>
            <w:hideMark/>
          </w:tcPr>
          <w:p w14:paraId="34FA0477" w14:textId="77777777" w:rsidR="00000000" w:rsidRDefault="000A3118">
            <w:pPr>
              <w:rPr>
                <w:rFonts w:eastAsia="Times New Roman"/>
              </w:rPr>
            </w:pPr>
            <w:r>
              <w:rPr>
                <w:rFonts w:eastAsia="Times New Roman"/>
                <w:color w:val="000000"/>
                <w:sz w:val="16"/>
                <w:szCs w:val="16"/>
              </w:rPr>
              <w:t>Cash collateral with counterparties</w:t>
            </w:r>
          </w:p>
        </w:tc>
        <w:tc>
          <w:tcPr>
            <w:tcW w:w="0" w:type="auto"/>
            <w:gridSpan w:val="3"/>
            <w:shd w:val="clear" w:color="auto" w:fill="CCEEFF"/>
            <w:tcMar>
              <w:top w:w="0" w:type="dxa"/>
              <w:left w:w="20" w:type="dxa"/>
              <w:bottom w:w="0" w:type="dxa"/>
              <w:right w:w="20" w:type="dxa"/>
            </w:tcMar>
            <w:vAlign w:val="center"/>
            <w:hideMark/>
          </w:tcPr>
          <w:p w14:paraId="768A1DF9"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ACC402" w14:textId="77777777" w:rsidR="00000000" w:rsidRDefault="000A3118">
            <w:pPr>
              <w:jc w:val="right"/>
              <w:rPr>
                <w:rFonts w:eastAsia="Times New Roman"/>
              </w:rPr>
            </w:pPr>
            <w:r>
              <w:rPr>
                <w:rFonts w:eastAsia="Times New Roman"/>
                <w:color w:val="000000"/>
                <w:sz w:val="16"/>
                <w:szCs w:val="16"/>
              </w:rPr>
              <w:t>45.8 </w:t>
            </w:r>
          </w:p>
        </w:tc>
        <w:tc>
          <w:tcPr>
            <w:tcW w:w="0" w:type="auto"/>
            <w:shd w:val="clear" w:color="auto" w:fill="CCEEFF"/>
            <w:tcMar>
              <w:top w:w="30" w:type="dxa"/>
              <w:left w:w="0" w:type="dxa"/>
              <w:bottom w:w="30" w:type="dxa"/>
              <w:right w:w="20" w:type="dxa"/>
            </w:tcMar>
            <w:vAlign w:val="bottom"/>
            <w:hideMark/>
          </w:tcPr>
          <w:p w14:paraId="1DE83F9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DC6CE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4ACD16" w14:textId="77777777" w:rsidR="00000000" w:rsidRDefault="000A3118">
            <w:pPr>
              <w:jc w:val="right"/>
              <w:rPr>
                <w:rFonts w:eastAsia="Times New Roman"/>
              </w:rPr>
            </w:pPr>
            <w:r>
              <w:rPr>
                <w:rFonts w:eastAsia="Times New Roman"/>
                <w:color w:val="000000"/>
                <w:sz w:val="16"/>
                <w:szCs w:val="16"/>
              </w:rPr>
              <w:t>(3.1)</w:t>
            </w:r>
          </w:p>
        </w:tc>
        <w:tc>
          <w:tcPr>
            <w:tcW w:w="0" w:type="auto"/>
            <w:shd w:val="clear" w:color="auto" w:fill="CCEEFF"/>
            <w:tcMar>
              <w:top w:w="30" w:type="dxa"/>
              <w:left w:w="0" w:type="dxa"/>
              <w:bottom w:w="30" w:type="dxa"/>
              <w:right w:w="20" w:type="dxa"/>
            </w:tcMar>
            <w:vAlign w:val="bottom"/>
            <w:hideMark/>
          </w:tcPr>
          <w:p w14:paraId="40AA7F83" w14:textId="77777777" w:rsidR="00000000" w:rsidRDefault="000A3118">
            <w:pPr>
              <w:jc w:val="right"/>
              <w:rPr>
                <w:rFonts w:eastAsia="Times New Roman"/>
              </w:rPr>
            </w:pPr>
          </w:p>
        </w:tc>
      </w:tr>
      <w:tr w:rsidR="00000000" w14:paraId="62BF7BF5" w14:textId="77777777">
        <w:trPr>
          <w:divId w:val="156726764"/>
        </w:trPr>
        <w:tc>
          <w:tcPr>
            <w:tcW w:w="0" w:type="auto"/>
            <w:gridSpan w:val="3"/>
            <w:shd w:val="clear" w:color="auto" w:fill="FFFFFF"/>
            <w:tcMar>
              <w:top w:w="30" w:type="dxa"/>
              <w:left w:w="360" w:type="dxa"/>
              <w:bottom w:w="30" w:type="dxa"/>
              <w:right w:w="20" w:type="dxa"/>
            </w:tcMar>
            <w:vAlign w:val="bottom"/>
            <w:hideMark/>
          </w:tcPr>
          <w:p w14:paraId="2E009CD1" w14:textId="77777777" w:rsidR="00000000" w:rsidRDefault="000A3118">
            <w:pPr>
              <w:rPr>
                <w:rFonts w:eastAsia="Times New Roman"/>
              </w:rPr>
            </w:pPr>
            <w:r>
              <w:rPr>
                <w:rFonts w:eastAsia="Times New Roman"/>
                <w:color w:val="000000"/>
                <w:sz w:val="16"/>
                <w:szCs w:val="16"/>
              </w:rPr>
              <w:t>Other non-current assets</w:t>
            </w:r>
          </w:p>
        </w:tc>
        <w:tc>
          <w:tcPr>
            <w:tcW w:w="0" w:type="auto"/>
            <w:gridSpan w:val="3"/>
            <w:shd w:val="clear" w:color="auto" w:fill="FFFFFF"/>
            <w:tcMar>
              <w:top w:w="0" w:type="dxa"/>
              <w:left w:w="20" w:type="dxa"/>
              <w:bottom w:w="0" w:type="dxa"/>
              <w:right w:w="20" w:type="dxa"/>
            </w:tcMar>
            <w:vAlign w:val="center"/>
            <w:hideMark/>
          </w:tcPr>
          <w:p w14:paraId="688CC900"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080559" w14:textId="77777777" w:rsidR="00000000" w:rsidRDefault="000A3118">
            <w:pPr>
              <w:jc w:val="right"/>
              <w:rPr>
                <w:rFonts w:eastAsia="Times New Roman"/>
              </w:rPr>
            </w:pPr>
            <w:r>
              <w:rPr>
                <w:rFonts w:eastAsia="Times New Roman"/>
                <w:color w:val="000000"/>
                <w:sz w:val="16"/>
                <w:szCs w:val="16"/>
              </w:rPr>
              <w:t>(7.6)</w:t>
            </w:r>
          </w:p>
        </w:tc>
        <w:tc>
          <w:tcPr>
            <w:tcW w:w="0" w:type="auto"/>
            <w:shd w:val="clear" w:color="auto" w:fill="FFFFFF"/>
            <w:tcMar>
              <w:top w:w="30" w:type="dxa"/>
              <w:left w:w="0" w:type="dxa"/>
              <w:bottom w:w="30" w:type="dxa"/>
              <w:right w:w="20" w:type="dxa"/>
            </w:tcMar>
            <w:vAlign w:val="bottom"/>
            <w:hideMark/>
          </w:tcPr>
          <w:p w14:paraId="5AC22D4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0DA7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DA9605" w14:textId="77777777" w:rsidR="00000000" w:rsidRDefault="000A3118">
            <w:pPr>
              <w:jc w:val="right"/>
              <w:rPr>
                <w:rFonts w:eastAsia="Times New Roman"/>
              </w:rPr>
            </w:pPr>
            <w:r>
              <w:rPr>
                <w:rFonts w:eastAsia="Times New Roman"/>
                <w:color w:val="000000"/>
                <w:sz w:val="16"/>
                <w:szCs w:val="16"/>
              </w:rPr>
              <w:t>28.1 </w:t>
            </w:r>
          </w:p>
        </w:tc>
        <w:tc>
          <w:tcPr>
            <w:tcW w:w="0" w:type="auto"/>
            <w:shd w:val="clear" w:color="auto" w:fill="FFFFFF"/>
            <w:tcMar>
              <w:top w:w="30" w:type="dxa"/>
              <w:left w:w="0" w:type="dxa"/>
              <w:bottom w:w="30" w:type="dxa"/>
              <w:right w:w="20" w:type="dxa"/>
            </w:tcMar>
            <w:vAlign w:val="bottom"/>
            <w:hideMark/>
          </w:tcPr>
          <w:p w14:paraId="4ABA28E3" w14:textId="77777777" w:rsidR="00000000" w:rsidRDefault="000A3118">
            <w:pPr>
              <w:jc w:val="right"/>
              <w:rPr>
                <w:rFonts w:eastAsia="Times New Roman"/>
              </w:rPr>
            </w:pPr>
          </w:p>
        </w:tc>
      </w:tr>
      <w:tr w:rsidR="00000000" w14:paraId="78FFC0F0" w14:textId="77777777">
        <w:trPr>
          <w:divId w:val="156726764"/>
        </w:trPr>
        <w:tc>
          <w:tcPr>
            <w:tcW w:w="0" w:type="auto"/>
            <w:gridSpan w:val="3"/>
            <w:shd w:val="clear" w:color="auto" w:fill="CCEEFF"/>
            <w:tcMar>
              <w:top w:w="30" w:type="dxa"/>
              <w:left w:w="360" w:type="dxa"/>
              <w:bottom w:w="30" w:type="dxa"/>
              <w:right w:w="20" w:type="dxa"/>
            </w:tcMar>
            <w:vAlign w:val="bottom"/>
            <w:hideMark/>
          </w:tcPr>
          <w:p w14:paraId="67034AA1" w14:textId="77777777" w:rsidR="00000000" w:rsidRDefault="000A3118">
            <w:pPr>
              <w:rPr>
                <w:rFonts w:eastAsia="Times New Roman"/>
              </w:rPr>
            </w:pPr>
            <w:r>
              <w:rPr>
                <w:rFonts w:eastAsia="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center"/>
            <w:hideMark/>
          </w:tcPr>
          <w:p w14:paraId="04530086"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47B5B8" w14:textId="77777777" w:rsidR="00000000" w:rsidRDefault="000A3118">
            <w:pPr>
              <w:jc w:val="right"/>
              <w:rPr>
                <w:rFonts w:eastAsia="Times New Roman"/>
              </w:rPr>
            </w:pPr>
            <w:r>
              <w:rPr>
                <w:rFonts w:eastAsia="Times New Roman"/>
                <w:color w:val="000000"/>
                <w:sz w:val="16"/>
                <w:szCs w:val="16"/>
              </w:rPr>
              <w:t>(1,321.6)</w:t>
            </w:r>
          </w:p>
        </w:tc>
        <w:tc>
          <w:tcPr>
            <w:tcW w:w="0" w:type="auto"/>
            <w:shd w:val="clear" w:color="auto" w:fill="CCEEFF"/>
            <w:tcMar>
              <w:top w:w="30" w:type="dxa"/>
              <w:left w:w="0" w:type="dxa"/>
              <w:bottom w:w="30" w:type="dxa"/>
              <w:right w:w="20" w:type="dxa"/>
            </w:tcMar>
            <w:vAlign w:val="bottom"/>
            <w:hideMark/>
          </w:tcPr>
          <w:p w14:paraId="7D13580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47B2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965294" w14:textId="77777777" w:rsidR="00000000" w:rsidRDefault="000A3118">
            <w:pPr>
              <w:jc w:val="right"/>
              <w:rPr>
                <w:rFonts w:eastAsia="Times New Roman"/>
              </w:rPr>
            </w:pPr>
            <w:r>
              <w:rPr>
                <w:rFonts w:eastAsia="Times New Roman"/>
                <w:color w:val="000000"/>
                <w:sz w:val="16"/>
                <w:szCs w:val="16"/>
              </w:rPr>
              <w:t>36.6 </w:t>
            </w:r>
          </w:p>
        </w:tc>
        <w:tc>
          <w:tcPr>
            <w:tcW w:w="0" w:type="auto"/>
            <w:shd w:val="clear" w:color="auto" w:fill="CCEEFF"/>
            <w:tcMar>
              <w:top w:w="30" w:type="dxa"/>
              <w:left w:w="0" w:type="dxa"/>
              <w:bottom w:w="30" w:type="dxa"/>
              <w:right w:w="20" w:type="dxa"/>
            </w:tcMar>
            <w:vAlign w:val="bottom"/>
            <w:hideMark/>
          </w:tcPr>
          <w:p w14:paraId="65EABA73" w14:textId="77777777" w:rsidR="00000000" w:rsidRDefault="000A3118">
            <w:pPr>
              <w:jc w:val="right"/>
              <w:rPr>
                <w:rFonts w:eastAsia="Times New Roman"/>
              </w:rPr>
            </w:pPr>
          </w:p>
        </w:tc>
      </w:tr>
      <w:tr w:rsidR="00000000" w14:paraId="4ED5E675" w14:textId="77777777">
        <w:trPr>
          <w:divId w:val="156726764"/>
        </w:trPr>
        <w:tc>
          <w:tcPr>
            <w:tcW w:w="0" w:type="auto"/>
            <w:gridSpan w:val="3"/>
            <w:shd w:val="clear" w:color="auto" w:fill="FFFFFF"/>
            <w:tcMar>
              <w:top w:w="30" w:type="dxa"/>
              <w:left w:w="360" w:type="dxa"/>
              <w:bottom w:w="30" w:type="dxa"/>
              <w:right w:w="20" w:type="dxa"/>
            </w:tcMar>
            <w:vAlign w:val="bottom"/>
            <w:hideMark/>
          </w:tcPr>
          <w:p w14:paraId="0699BE5D" w14:textId="77777777" w:rsidR="00000000" w:rsidRDefault="000A3118">
            <w:pPr>
              <w:rPr>
                <w:rFonts w:eastAsia="Times New Roman"/>
              </w:rPr>
            </w:pPr>
            <w:r>
              <w:rPr>
                <w:rFonts w:eastAsia="Times New Roman"/>
                <w:color w:val="000000"/>
                <w:sz w:val="16"/>
                <w:szCs w:val="16"/>
              </w:rPr>
              <w:t>Customer deposits</w:t>
            </w:r>
          </w:p>
        </w:tc>
        <w:tc>
          <w:tcPr>
            <w:tcW w:w="0" w:type="auto"/>
            <w:gridSpan w:val="3"/>
            <w:shd w:val="clear" w:color="auto" w:fill="FFFFFF"/>
            <w:tcMar>
              <w:top w:w="0" w:type="dxa"/>
              <w:left w:w="20" w:type="dxa"/>
              <w:bottom w:w="0" w:type="dxa"/>
              <w:right w:w="20" w:type="dxa"/>
            </w:tcMar>
            <w:vAlign w:val="center"/>
            <w:hideMark/>
          </w:tcPr>
          <w:p w14:paraId="53289CF9"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1AD638" w14:textId="77777777" w:rsidR="00000000" w:rsidRDefault="000A3118">
            <w:pPr>
              <w:jc w:val="right"/>
              <w:rPr>
                <w:rFonts w:eastAsia="Times New Roman"/>
              </w:rPr>
            </w:pPr>
            <w:r>
              <w:rPr>
                <w:rFonts w:eastAsia="Times New Roman"/>
                <w:color w:val="000000"/>
                <w:sz w:val="16"/>
                <w:szCs w:val="16"/>
              </w:rPr>
              <w:t>(10.6)</w:t>
            </w:r>
          </w:p>
        </w:tc>
        <w:tc>
          <w:tcPr>
            <w:tcW w:w="0" w:type="auto"/>
            <w:shd w:val="clear" w:color="auto" w:fill="FFFFFF"/>
            <w:tcMar>
              <w:top w:w="30" w:type="dxa"/>
              <w:left w:w="0" w:type="dxa"/>
              <w:bottom w:w="30" w:type="dxa"/>
              <w:right w:w="20" w:type="dxa"/>
            </w:tcMar>
            <w:vAlign w:val="bottom"/>
            <w:hideMark/>
          </w:tcPr>
          <w:p w14:paraId="1899136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A80A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767AE2" w14:textId="77777777" w:rsidR="00000000" w:rsidRDefault="000A3118">
            <w:pPr>
              <w:jc w:val="right"/>
              <w:rPr>
                <w:rFonts w:eastAsia="Times New Roman"/>
              </w:rPr>
            </w:pPr>
            <w:r>
              <w:rPr>
                <w:rFonts w:eastAsia="Times New Roman"/>
                <w:color w:val="000000"/>
                <w:sz w:val="16"/>
                <w:szCs w:val="16"/>
              </w:rPr>
              <w:t>(3.8)</w:t>
            </w:r>
          </w:p>
        </w:tc>
        <w:tc>
          <w:tcPr>
            <w:tcW w:w="0" w:type="auto"/>
            <w:shd w:val="clear" w:color="auto" w:fill="FFFFFF"/>
            <w:tcMar>
              <w:top w:w="30" w:type="dxa"/>
              <w:left w:w="0" w:type="dxa"/>
              <w:bottom w:w="30" w:type="dxa"/>
              <w:right w:w="20" w:type="dxa"/>
            </w:tcMar>
            <w:vAlign w:val="bottom"/>
            <w:hideMark/>
          </w:tcPr>
          <w:p w14:paraId="6354FF60" w14:textId="77777777" w:rsidR="00000000" w:rsidRDefault="000A3118">
            <w:pPr>
              <w:jc w:val="right"/>
              <w:rPr>
                <w:rFonts w:eastAsia="Times New Roman"/>
              </w:rPr>
            </w:pPr>
          </w:p>
        </w:tc>
      </w:tr>
      <w:tr w:rsidR="00000000" w14:paraId="3FFCEB4D" w14:textId="77777777">
        <w:trPr>
          <w:divId w:val="156726764"/>
        </w:trPr>
        <w:tc>
          <w:tcPr>
            <w:tcW w:w="0" w:type="auto"/>
            <w:gridSpan w:val="3"/>
            <w:shd w:val="clear" w:color="auto" w:fill="CCEEFF"/>
            <w:tcMar>
              <w:top w:w="30" w:type="dxa"/>
              <w:left w:w="360" w:type="dxa"/>
              <w:bottom w:w="30" w:type="dxa"/>
              <w:right w:w="20" w:type="dxa"/>
            </w:tcMar>
            <w:vAlign w:val="bottom"/>
            <w:hideMark/>
          </w:tcPr>
          <w:p w14:paraId="7EF6F582" w14:textId="77777777" w:rsidR="00000000" w:rsidRDefault="000A3118">
            <w:pPr>
              <w:rPr>
                <w:rFonts w:eastAsia="Times New Roman"/>
              </w:rPr>
            </w:pPr>
            <w:r>
              <w:rPr>
                <w:rFonts w:eastAsia="Times New Roman"/>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14:paraId="633588B7"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CAC480" w14:textId="77777777" w:rsidR="00000000" w:rsidRDefault="000A3118">
            <w:pPr>
              <w:jc w:val="right"/>
              <w:rPr>
                <w:rFonts w:eastAsia="Times New Roman"/>
              </w:rPr>
            </w:pPr>
            <w:r>
              <w:rPr>
                <w:rFonts w:eastAsia="Times New Roman"/>
                <w:color w:val="000000"/>
                <w:sz w:val="16"/>
                <w:szCs w:val="16"/>
              </w:rPr>
              <w:t>(31.5)</w:t>
            </w:r>
          </w:p>
        </w:tc>
        <w:tc>
          <w:tcPr>
            <w:tcW w:w="0" w:type="auto"/>
            <w:shd w:val="clear" w:color="auto" w:fill="CCEEFF"/>
            <w:tcMar>
              <w:top w:w="30" w:type="dxa"/>
              <w:left w:w="0" w:type="dxa"/>
              <w:bottom w:w="30" w:type="dxa"/>
              <w:right w:w="20" w:type="dxa"/>
            </w:tcMar>
            <w:vAlign w:val="bottom"/>
            <w:hideMark/>
          </w:tcPr>
          <w:p w14:paraId="58E12B2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264E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256F38" w14:textId="77777777" w:rsidR="00000000" w:rsidRDefault="000A3118">
            <w:pPr>
              <w:jc w:val="right"/>
              <w:rPr>
                <w:rFonts w:eastAsia="Times New Roman"/>
              </w:rPr>
            </w:pPr>
            <w:r>
              <w:rPr>
                <w:rFonts w:eastAsia="Times New Roman"/>
                <w:color w:val="000000"/>
                <w:sz w:val="16"/>
                <w:szCs w:val="16"/>
              </w:rPr>
              <w:t>(59.7)</w:t>
            </w:r>
          </w:p>
        </w:tc>
        <w:tc>
          <w:tcPr>
            <w:tcW w:w="0" w:type="auto"/>
            <w:shd w:val="clear" w:color="auto" w:fill="CCEEFF"/>
            <w:tcMar>
              <w:top w:w="30" w:type="dxa"/>
              <w:left w:w="0" w:type="dxa"/>
              <w:bottom w:w="30" w:type="dxa"/>
              <w:right w:w="20" w:type="dxa"/>
            </w:tcMar>
            <w:vAlign w:val="bottom"/>
            <w:hideMark/>
          </w:tcPr>
          <w:p w14:paraId="6628A2DD" w14:textId="77777777" w:rsidR="00000000" w:rsidRDefault="000A3118">
            <w:pPr>
              <w:jc w:val="right"/>
              <w:rPr>
                <w:rFonts w:eastAsia="Times New Roman"/>
              </w:rPr>
            </w:pPr>
          </w:p>
        </w:tc>
      </w:tr>
      <w:tr w:rsidR="00000000" w14:paraId="6463869E" w14:textId="77777777">
        <w:trPr>
          <w:divId w:val="156726764"/>
        </w:trPr>
        <w:tc>
          <w:tcPr>
            <w:tcW w:w="0" w:type="auto"/>
            <w:gridSpan w:val="3"/>
            <w:shd w:val="clear" w:color="auto" w:fill="FFFFFF"/>
            <w:tcMar>
              <w:top w:w="30" w:type="dxa"/>
              <w:left w:w="360" w:type="dxa"/>
              <w:bottom w:w="30" w:type="dxa"/>
              <w:right w:w="20" w:type="dxa"/>
            </w:tcMar>
            <w:vAlign w:val="bottom"/>
            <w:hideMark/>
          </w:tcPr>
          <w:p w14:paraId="64DBBBD7" w14:textId="77777777" w:rsidR="00000000" w:rsidRDefault="000A3118">
            <w:pPr>
              <w:rPr>
                <w:rFonts w:eastAsia="Times New Roman"/>
              </w:rPr>
            </w:pPr>
            <w:r>
              <w:rPr>
                <w:rFonts w:eastAsia="Times New Roman"/>
                <w:color w:val="000000"/>
                <w:sz w:val="16"/>
                <w:szCs w:val="16"/>
              </w:rPr>
              <w:t>Non-current income tax, net and other long-term liabilities</w:t>
            </w:r>
          </w:p>
        </w:tc>
        <w:tc>
          <w:tcPr>
            <w:tcW w:w="0" w:type="auto"/>
            <w:gridSpan w:val="3"/>
            <w:shd w:val="clear" w:color="auto" w:fill="FFFFFF"/>
            <w:tcMar>
              <w:top w:w="0" w:type="dxa"/>
              <w:left w:w="20" w:type="dxa"/>
              <w:bottom w:w="0" w:type="dxa"/>
              <w:right w:w="20" w:type="dxa"/>
            </w:tcMar>
            <w:vAlign w:val="center"/>
            <w:hideMark/>
          </w:tcPr>
          <w:p w14:paraId="5CC22343"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CF9A5B" w14:textId="77777777" w:rsidR="00000000" w:rsidRDefault="000A3118">
            <w:pPr>
              <w:jc w:val="right"/>
              <w:rPr>
                <w:rFonts w:eastAsia="Times New Roman"/>
              </w:rPr>
            </w:pPr>
            <w:r>
              <w:rPr>
                <w:rFonts w:eastAsia="Times New Roman"/>
                <w:color w:val="000000"/>
                <w:sz w:val="16"/>
                <w:szCs w:val="16"/>
              </w:rPr>
              <w:t>41.8 </w:t>
            </w:r>
          </w:p>
        </w:tc>
        <w:tc>
          <w:tcPr>
            <w:tcW w:w="0" w:type="auto"/>
            <w:shd w:val="clear" w:color="auto" w:fill="FFFFFF"/>
            <w:tcMar>
              <w:top w:w="30" w:type="dxa"/>
              <w:left w:w="0" w:type="dxa"/>
              <w:bottom w:w="30" w:type="dxa"/>
              <w:right w:w="20" w:type="dxa"/>
            </w:tcMar>
            <w:vAlign w:val="bottom"/>
            <w:hideMark/>
          </w:tcPr>
          <w:p w14:paraId="1D6166C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1CD3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19C146" w14:textId="77777777" w:rsidR="00000000" w:rsidRDefault="000A3118">
            <w:pPr>
              <w:jc w:val="right"/>
              <w:rPr>
                <w:rFonts w:eastAsia="Times New Roman"/>
              </w:rPr>
            </w:pPr>
            <w:r>
              <w:rPr>
                <w:rFonts w:eastAsia="Times New Roman"/>
                <w:color w:val="000000"/>
                <w:sz w:val="16"/>
                <w:szCs w:val="16"/>
              </w:rPr>
              <w:t>(80.2)</w:t>
            </w:r>
          </w:p>
        </w:tc>
        <w:tc>
          <w:tcPr>
            <w:tcW w:w="0" w:type="auto"/>
            <w:shd w:val="clear" w:color="auto" w:fill="FFFFFF"/>
            <w:tcMar>
              <w:top w:w="30" w:type="dxa"/>
              <w:left w:w="0" w:type="dxa"/>
              <w:bottom w:w="30" w:type="dxa"/>
              <w:right w:w="20" w:type="dxa"/>
            </w:tcMar>
            <w:vAlign w:val="bottom"/>
            <w:hideMark/>
          </w:tcPr>
          <w:p w14:paraId="53184031" w14:textId="77777777" w:rsidR="00000000" w:rsidRDefault="000A3118">
            <w:pPr>
              <w:jc w:val="right"/>
              <w:rPr>
                <w:rFonts w:eastAsia="Times New Roman"/>
              </w:rPr>
            </w:pPr>
          </w:p>
        </w:tc>
      </w:tr>
      <w:tr w:rsidR="00000000" w14:paraId="7F634428" w14:textId="77777777">
        <w:trPr>
          <w:divId w:val="156726764"/>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14:paraId="59304E0A" w14:textId="77777777" w:rsidR="00000000" w:rsidRDefault="000A3118">
            <w:pPr>
              <w:rPr>
                <w:rFonts w:eastAsia="Times New Roman"/>
              </w:rPr>
            </w:pPr>
            <w:r>
              <w:rPr>
                <w:rFonts w:eastAsia="Times New Roman"/>
                <w:color w:val="000000"/>
                <w:sz w:val="16"/>
                <w:szCs w:val="16"/>
              </w:rPr>
              <w:t>Total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2EAC07"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8A4C93" w14:textId="77777777" w:rsidR="00000000" w:rsidRDefault="000A3118">
            <w:pPr>
              <w:jc w:val="right"/>
              <w:rPr>
                <w:rFonts w:eastAsia="Times New Roman"/>
              </w:rPr>
            </w:pPr>
            <w:r>
              <w:rPr>
                <w:rFonts w:eastAsia="Times New Roman"/>
                <w:color w:val="000000"/>
                <w:sz w:val="16"/>
                <w:szCs w:val="16"/>
              </w:rPr>
              <w:t>377.2 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A8A0E8"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31C7B6"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C76C62" w14:textId="77777777" w:rsidR="00000000" w:rsidRDefault="000A3118">
            <w:pPr>
              <w:jc w:val="right"/>
              <w:rPr>
                <w:rFonts w:eastAsia="Times New Roman"/>
              </w:rPr>
            </w:pPr>
            <w:r>
              <w:rPr>
                <w:rFonts w:eastAsia="Times New Roman"/>
                <w:color w:val="000000"/>
                <w:sz w:val="16"/>
                <w:szCs w:val="16"/>
              </w:rPr>
              <w:t>44.4 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95A837" w14:textId="77777777" w:rsidR="00000000" w:rsidRDefault="000A3118">
            <w:pPr>
              <w:jc w:val="right"/>
              <w:rPr>
                <w:rFonts w:eastAsia="Times New Roman"/>
              </w:rPr>
            </w:pPr>
          </w:p>
        </w:tc>
      </w:tr>
      <w:tr w:rsidR="00000000" w14:paraId="4F511398" w14:textId="77777777">
        <w:trPr>
          <w:divId w:val="156726764"/>
        </w:trPr>
        <w:tc>
          <w:tcPr>
            <w:tcW w:w="0" w:type="auto"/>
            <w:gridSpan w:val="3"/>
            <w:tcBorders>
              <w:top w:val="single" w:sz="8" w:space="0" w:color="000000"/>
            </w:tcBorders>
            <w:shd w:val="clear" w:color="auto" w:fill="FFFFFF"/>
            <w:tcMar>
              <w:top w:w="30" w:type="dxa"/>
              <w:left w:w="135" w:type="dxa"/>
              <w:bottom w:w="30" w:type="dxa"/>
              <w:right w:w="20" w:type="dxa"/>
            </w:tcMar>
            <w:vAlign w:val="bottom"/>
            <w:hideMark/>
          </w:tcPr>
          <w:p w14:paraId="1E3AAE3E" w14:textId="77777777" w:rsidR="00000000" w:rsidRDefault="000A3118">
            <w:pPr>
              <w:rPr>
                <w:rFonts w:eastAsia="Times New Roman"/>
              </w:rPr>
            </w:pPr>
            <w:r>
              <w:rPr>
                <w:rFonts w:eastAsia="Times New Roman"/>
                <w:b/>
                <w:bCs/>
                <w:color w:val="000000"/>
                <w:sz w:val="16"/>
                <w:szCs w:val="16"/>
              </w:rPr>
              <w:t>Net cash provided by (used in) operating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3B2FCE"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A5BCEB" w14:textId="77777777" w:rsidR="00000000" w:rsidRDefault="000A3118">
            <w:pPr>
              <w:jc w:val="right"/>
              <w:rPr>
                <w:rFonts w:eastAsia="Times New Roman"/>
              </w:rPr>
            </w:pPr>
            <w:r>
              <w:rPr>
                <w:rFonts w:eastAsia="Times New Roman"/>
                <w:color w:val="000000"/>
                <w:sz w:val="16"/>
                <w:szCs w:val="16"/>
              </w:rPr>
              <w:t>490.6 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4D3700"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43B43F"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66A609" w14:textId="77777777" w:rsidR="00000000" w:rsidRDefault="000A3118">
            <w:pPr>
              <w:jc w:val="right"/>
              <w:rPr>
                <w:rFonts w:eastAsia="Times New Roman"/>
              </w:rPr>
            </w:pPr>
            <w:r>
              <w:rPr>
                <w:rFonts w:eastAsia="Times New Roman"/>
                <w:color w:val="000000"/>
                <w:sz w:val="16"/>
                <w:szCs w:val="16"/>
              </w:rPr>
              <w:t>168.7 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FC763E" w14:textId="77777777" w:rsidR="00000000" w:rsidRDefault="000A3118">
            <w:pPr>
              <w:jc w:val="right"/>
              <w:rPr>
                <w:rFonts w:eastAsia="Times New Roman"/>
              </w:rPr>
            </w:pPr>
          </w:p>
        </w:tc>
      </w:tr>
      <w:tr w:rsidR="00000000" w14:paraId="7003B9C2" w14:textId="77777777">
        <w:trPr>
          <w:divId w:val="15672676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699DC9" w14:textId="77777777" w:rsidR="00000000" w:rsidRDefault="000A3118">
            <w:pPr>
              <w:rPr>
                <w:rFonts w:eastAsia="Times New Roman"/>
              </w:rPr>
            </w:pPr>
            <w:r>
              <w:rPr>
                <w:rFonts w:eastAsia="Times New Roman"/>
                <w:color w:val="000000"/>
                <w:sz w:val="16"/>
                <w:szCs w:val="16"/>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D7139F" w14:textId="77777777" w:rsidR="00000000" w:rsidRDefault="000A3118">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01867F1" w14:textId="77777777" w:rsidR="00000000" w:rsidRDefault="000A3118">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5876B3"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CE64F5" w14:textId="77777777" w:rsidR="00000000" w:rsidRDefault="000A3118">
            <w:pPr>
              <w:rPr>
                <w:rFonts w:eastAsia="Times New Roman"/>
                <w:sz w:val="20"/>
                <w:szCs w:val="20"/>
              </w:rPr>
            </w:pPr>
          </w:p>
        </w:tc>
      </w:tr>
      <w:tr w:rsidR="00000000" w14:paraId="0CE70D32" w14:textId="77777777">
        <w:trPr>
          <w:divId w:val="156726764"/>
        </w:trPr>
        <w:tc>
          <w:tcPr>
            <w:tcW w:w="0" w:type="auto"/>
            <w:gridSpan w:val="3"/>
            <w:shd w:val="clear" w:color="auto" w:fill="FFFFFF"/>
            <w:tcMar>
              <w:top w:w="30" w:type="dxa"/>
              <w:left w:w="135" w:type="dxa"/>
              <w:bottom w:w="30" w:type="dxa"/>
              <w:right w:w="20" w:type="dxa"/>
            </w:tcMar>
            <w:vAlign w:val="bottom"/>
            <w:hideMark/>
          </w:tcPr>
          <w:p w14:paraId="59FA2E80" w14:textId="77777777" w:rsidR="00000000" w:rsidRDefault="000A3118">
            <w:pPr>
              <w:rPr>
                <w:rFonts w:eastAsia="Times New Roman"/>
              </w:rPr>
            </w:pPr>
            <w:r>
              <w:rPr>
                <w:rFonts w:eastAsia="Times New Roman"/>
                <w:color w:val="000000"/>
                <w:sz w:val="16"/>
                <w:szCs w:val="16"/>
              </w:rPr>
              <w:t>Acquisition of business, net of cash acquired</w:t>
            </w:r>
          </w:p>
        </w:tc>
        <w:tc>
          <w:tcPr>
            <w:tcW w:w="0" w:type="auto"/>
            <w:gridSpan w:val="3"/>
            <w:shd w:val="clear" w:color="auto" w:fill="FFFFFF"/>
            <w:tcMar>
              <w:top w:w="0" w:type="dxa"/>
              <w:left w:w="20" w:type="dxa"/>
              <w:bottom w:w="0" w:type="dxa"/>
              <w:right w:w="20" w:type="dxa"/>
            </w:tcMar>
            <w:vAlign w:val="center"/>
            <w:hideMark/>
          </w:tcPr>
          <w:p w14:paraId="6DD6DB69"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AC2F19" w14:textId="77777777" w:rsidR="00000000" w:rsidRDefault="000A3118">
            <w:pPr>
              <w:jc w:val="right"/>
              <w:rPr>
                <w:rFonts w:eastAsia="Times New Roman"/>
              </w:rPr>
            </w:pPr>
            <w:r>
              <w:rPr>
                <w:rFonts w:eastAsia="Times New Roman"/>
                <w:color w:val="000000"/>
                <w:sz w:val="16"/>
                <w:szCs w:val="16"/>
              </w:rPr>
              <w:t>(128.6)</w:t>
            </w:r>
          </w:p>
        </w:tc>
        <w:tc>
          <w:tcPr>
            <w:tcW w:w="0" w:type="auto"/>
            <w:shd w:val="clear" w:color="auto" w:fill="FFFFFF"/>
            <w:tcMar>
              <w:top w:w="30" w:type="dxa"/>
              <w:left w:w="0" w:type="dxa"/>
              <w:bottom w:w="30" w:type="dxa"/>
              <w:right w:w="20" w:type="dxa"/>
            </w:tcMar>
            <w:vAlign w:val="bottom"/>
            <w:hideMark/>
          </w:tcPr>
          <w:p w14:paraId="7697B7E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739B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EDF3D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8AFD764" w14:textId="77777777" w:rsidR="00000000" w:rsidRDefault="000A3118">
            <w:pPr>
              <w:jc w:val="right"/>
              <w:rPr>
                <w:rFonts w:eastAsia="Times New Roman"/>
              </w:rPr>
            </w:pPr>
          </w:p>
        </w:tc>
      </w:tr>
      <w:tr w:rsidR="00000000" w14:paraId="567F1DC7" w14:textId="77777777">
        <w:trPr>
          <w:divId w:val="156726764"/>
        </w:trPr>
        <w:tc>
          <w:tcPr>
            <w:tcW w:w="0" w:type="auto"/>
            <w:gridSpan w:val="3"/>
            <w:shd w:val="clear" w:color="auto" w:fill="CCEEFF"/>
            <w:tcMar>
              <w:top w:w="30" w:type="dxa"/>
              <w:left w:w="135" w:type="dxa"/>
              <w:bottom w:w="30" w:type="dxa"/>
              <w:right w:w="20" w:type="dxa"/>
            </w:tcMar>
            <w:vAlign w:val="bottom"/>
            <w:hideMark/>
          </w:tcPr>
          <w:p w14:paraId="16F1E001" w14:textId="77777777" w:rsidR="00000000" w:rsidRDefault="000A3118">
            <w:pPr>
              <w:rPr>
                <w:rFonts w:eastAsia="Times New Roman"/>
              </w:rPr>
            </w:pPr>
            <w:r>
              <w:rPr>
                <w:rFonts w:eastAsia="Times New Roman"/>
                <w:color w:val="000000"/>
                <w:sz w:val="16"/>
                <w:szCs w:val="16"/>
              </w:rPr>
              <w:t>Proceeds from sale of business, net of divested cash</w:t>
            </w:r>
          </w:p>
        </w:tc>
        <w:tc>
          <w:tcPr>
            <w:tcW w:w="0" w:type="auto"/>
            <w:gridSpan w:val="3"/>
            <w:shd w:val="clear" w:color="auto" w:fill="CCEEFF"/>
            <w:tcMar>
              <w:top w:w="0" w:type="dxa"/>
              <w:left w:w="20" w:type="dxa"/>
              <w:bottom w:w="0" w:type="dxa"/>
              <w:right w:w="20" w:type="dxa"/>
            </w:tcMar>
            <w:vAlign w:val="center"/>
            <w:hideMark/>
          </w:tcPr>
          <w:p w14:paraId="582B399D"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4E1F2B" w14:textId="77777777" w:rsidR="00000000" w:rsidRDefault="000A3118">
            <w:pPr>
              <w:jc w:val="right"/>
              <w:rPr>
                <w:rFonts w:eastAsia="Times New Roman"/>
              </w:rPr>
            </w:pPr>
            <w:r>
              <w:rPr>
                <w:rFonts w:eastAsia="Times New Roman"/>
                <w:color w:val="000000"/>
                <w:sz w:val="16"/>
                <w:szCs w:val="16"/>
              </w:rPr>
              <w:t>268.4 </w:t>
            </w:r>
          </w:p>
        </w:tc>
        <w:tc>
          <w:tcPr>
            <w:tcW w:w="0" w:type="auto"/>
            <w:shd w:val="clear" w:color="auto" w:fill="CCEEFF"/>
            <w:tcMar>
              <w:top w:w="30" w:type="dxa"/>
              <w:left w:w="0" w:type="dxa"/>
              <w:bottom w:w="30" w:type="dxa"/>
              <w:right w:w="20" w:type="dxa"/>
            </w:tcMar>
            <w:vAlign w:val="bottom"/>
            <w:hideMark/>
          </w:tcPr>
          <w:p w14:paraId="090E740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5643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61821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9C99C54" w14:textId="77777777" w:rsidR="00000000" w:rsidRDefault="000A3118">
            <w:pPr>
              <w:jc w:val="right"/>
              <w:rPr>
                <w:rFonts w:eastAsia="Times New Roman"/>
              </w:rPr>
            </w:pPr>
          </w:p>
        </w:tc>
      </w:tr>
      <w:tr w:rsidR="00000000" w14:paraId="43706FD0" w14:textId="77777777">
        <w:trPr>
          <w:divId w:val="156726764"/>
        </w:trPr>
        <w:tc>
          <w:tcPr>
            <w:tcW w:w="0" w:type="auto"/>
            <w:gridSpan w:val="3"/>
            <w:shd w:val="clear" w:color="auto" w:fill="FFFFFF"/>
            <w:tcMar>
              <w:top w:w="30" w:type="dxa"/>
              <w:left w:w="135" w:type="dxa"/>
              <w:bottom w:w="30" w:type="dxa"/>
              <w:right w:w="20" w:type="dxa"/>
            </w:tcMar>
            <w:vAlign w:val="bottom"/>
            <w:hideMark/>
          </w:tcPr>
          <w:p w14:paraId="65A63E45" w14:textId="77777777" w:rsidR="00000000" w:rsidRDefault="000A3118">
            <w:pPr>
              <w:rPr>
                <w:rFonts w:eastAsia="Times New Roman"/>
              </w:rPr>
            </w:pPr>
            <w:r>
              <w:rPr>
                <w:rFonts w:eastAsia="Times New Roman"/>
                <w:color w:val="000000"/>
                <w:sz w:val="16"/>
                <w:szCs w:val="16"/>
              </w:rPr>
              <w:t>Capital expenditures</w:t>
            </w:r>
          </w:p>
        </w:tc>
        <w:tc>
          <w:tcPr>
            <w:tcW w:w="0" w:type="auto"/>
            <w:gridSpan w:val="3"/>
            <w:shd w:val="clear" w:color="auto" w:fill="FFFFFF"/>
            <w:tcMar>
              <w:top w:w="0" w:type="dxa"/>
              <w:left w:w="20" w:type="dxa"/>
              <w:bottom w:w="0" w:type="dxa"/>
              <w:right w:w="20" w:type="dxa"/>
            </w:tcMar>
            <w:vAlign w:val="center"/>
            <w:hideMark/>
          </w:tcPr>
          <w:p w14:paraId="35AFDB3F"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7AD53B" w14:textId="77777777" w:rsidR="00000000" w:rsidRDefault="000A3118">
            <w:pPr>
              <w:jc w:val="right"/>
              <w:rPr>
                <w:rFonts w:eastAsia="Times New Roman"/>
              </w:rPr>
            </w:pPr>
            <w:r>
              <w:rPr>
                <w:rFonts w:eastAsia="Times New Roman"/>
                <w:color w:val="000000"/>
                <w:sz w:val="16"/>
                <w:szCs w:val="16"/>
              </w:rPr>
              <w:t>(45.5)</w:t>
            </w:r>
          </w:p>
        </w:tc>
        <w:tc>
          <w:tcPr>
            <w:tcW w:w="0" w:type="auto"/>
            <w:shd w:val="clear" w:color="auto" w:fill="FFFFFF"/>
            <w:tcMar>
              <w:top w:w="30" w:type="dxa"/>
              <w:left w:w="0" w:type="dxa"/>
              <w:bottom w:w="30" w:type="dxa"/>
              <w:right w:w="20" w:type="dxa"/>
            </w:tcMar>
            <w:vAlign w:val="bottom"/>
            <w:hideMark/>
          </w:tcPr>
          <w:p w14:paraId="21530E0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D007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180011" w14:textId="77777777" w:rsidR="00000000" w:rsidRDefault="000A3118">
            <w:pPr>
              <w:jc w:val="right"/>
              <w:rPr>
                <w:rFonts w:eastAsia="Times New Roman"/>
              </w:rPr>
            </w:pPr>
            <w:r>
              <w:rPr>
                <w:rFonts w:eastAsia="Times New Roman"/>
                <w:color w:val="000000"/>
                <w:sz w:val="16"/>
                <w:szCs w:val="16"/>
              </w:rPr>
              <w:t>(59.5)</w:t>
            </w:r>
          </w:p>
        </w:tc>
        <w:tc>
          <w:tcPr>
            <w:tcW w:w="0" w:type="auto"/>
            <w:shd w:val="clear" w:color="auto" w:fill="FFFFFF"/>
            <w:tcMar>
              <w:top w:w="30" w:type="dxa"/>
              <w:left w:w="0" w:type="dxa"/>
              <w:bottom w:w="30" w:type="dxa"/>
              <w:right w:w="20" w:type="dxa"/>
            </w:tcMar>
            <w:vAlign w:val="bottom"/>
            <w:hideMark/>
          </w:tcPr>
          <w:p w14:paraId="7EC76B68" w14:textId="77777777" w:rsidR="00000000" w:rsidRDefault="000A3118">
            <w:pPr>
              <w:jc w:val="right"/>
              <w:rPr>
                <w:rFonts w:eastAsia="Times New Roman"/>
              </w:rPr>
            </w:pPr>
          </w:p>
        </w:tc>
      </w:tr>
      <w:tr w:rsidR="00000000" w14:paraId="6F302072" w14:textId="77777777">
        <w:trPr>
          <w:divId w:val="156726764"/>
        </w:trPr>
        <w:tc>
          <w:tcPr>
            <w:tcW w:w="0" w:type="auto"/>
            <w:gridSpan w:val="3"/>
            <w:shd w:val="clear" w:color="auto" w:fill="CCEEFF"/>
            <w:tcMar>
              <w:top w:w="30" w:type="dxa"/>
              <w:left w:w="135" w:type="dxa"/>
              <w:bottom w:w="30" w:type="dxa"/>
              <w:right w:w="20" w:type="dxa"/>
            </w:tcMar>
            <w:vAlign w:val="bottom"/>
            <w:hideMark/>
          </w:tcPr>
          <w:p w14:paraId="4B7E624B" w14:textId="77777777" w:rsidR="00000000" w:rsidRDefault="000A3118">
            <w:pPr>
              <w:rPr>
                <w:rFonts w:eastAsia="Times New Roman"/>
              </w:rPr>
            </w:pPr>
            <w:r>
              <w:rPr>
                <w:rFonts w:eastAsia="Times New Roman"/>
                <w:color w:val="000000"/>
                <w:sz w:val="16"/>
                <w:szCs w:val="16"/>
              </w:rPr>
              <w:t>Other investing activities, net</w:t>
            </w:r>
          </w:p>
        </w:tc>
        <w:tc>
          <w:tcPr>
            <w:tcW w:w="0" w:type="auto"/>
            <w:gridSpan w:val="3"/>
            <w:shd w:val="clear" w:color="auto" w:fill="CCEEFF"/>
            <w:tcMar>
              <w:top w:w="0" w:type="dxa"/>
              <w:left w:w="20" w:type="dxa"/>
              <w:bottom w:w="0" w:type="dxa"/>
              <w:right w:w="20" w:type="dxa"/>
            </w:tcMar>
            <w:vAlign w:val="center"/>
            <w:hideMark/>
          </w:tcPr>
          <w:p w14:paraId="4A8DA805"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739A50" w14:textId="77777777" w:rsidR="00000000" w:rsidRDefault="000A3118">
            <w:pPr>
              <w:jc w:val="right"/>
              <w:rPr>
                <w:rFonts w:eastAsia="Times New Roman"/>
              </w:rPr>
            </w:pPr>
            <w:r>
              <w:rPr>
                <w:rFonts w:eastAsia="Times New Roman"/>
                <w:color w:val="000000"/>
                <w:sz w:val="16"/>
                <w:szCs w:val="16"/>
              </w:rPr>
              <w:t>(7.5)</w:t>
            </w:r>
          </w:p>
        </w:tc>
        <w:tc>
          <w:tcPr>
            <w:tcW w:w="0" w:type="auto"/>
            <w:shd w:val="clear" w:color="auto" w:fill="CCEEFF"/>
            <w:tcMar>
              <w:top w:w="30" w:type="dxa"/>
              <w:left w:w="0" w:type="dxa"/>
              <w:bottom w:w="30" w:type="dxa"/>
              <w:right w:w="20" w:type="dxa"/>
            </w:tcMar>
            <w:vAlign w:val="bottom"/>
            <w:hideMark/>
          </w:tcPr>
          <w:p w14:paraId="68F3C86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AF87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FBF003" w14:textId="77777777" w:rsidR="00000000" w:rsidRDefault="000A3118">
            <w:pPr>
              <w:jc w:val="right"/>
              <w:rPr>
                <w:rFonts w:eastAsia="Times New Roman"/>
              </w:rPr>
            </w:pPr>
            <w:r>
              <w:rPr>
                <w:rFonts w:eastAsia="Times New Roman"/>
                <w:color w:val="000000"/>
                <w:sz w:val="16"/>
                <w:szCs w:val="16"/>
              </w:rPr>
              <w:t>4.5 </w:t>
            </w:r>
          </w:p>
        </w:tc>
        <w:tc>
          <w:tcPr>
            <w:tcW w:w="0" w:type="auto"/>
            <w:shd w:val="clear" w:color="auto" w:fill="CCEEFF"/>
            <w:tcMar>
              <w:top w:w="30" w:type="dxa"/>
              <w:left w:w="0" w:type="dxa"/>
              <w:bottom w:w="30" w:type="dxa"/>
              <w:right w:w="20" w:type="dxa"/>
            </w:tcMar>
            <w:vAlign w:val="bottom"/>
            <w:hideMark/>
          </w:tcPr>
          <w:p w14:paraId="2B336ED8" w14:textId="77777777" w:rsidR="00000000" w:rsidRDefault="000A3118">
            <w:pPr>
              <w:jc w:val="right"/>
              <w:rPr>
                <w:rFonts w:eastAsia="Times New Roman"/>
              </w:rPr>
            </w:pPr>
          </w:p>
        </w:tc>
      </w:tr>
      <w:tr w:rsidR="00000000" w14:paraId="0CD43BAB" w14:textId="77777777">
        <w:trPr>
          <w:divId w:val="156726764"/>
        </w:trPr>
        <w:tc>
          <w:tcPr>
            <w:tcW w:w="0" w:type="auto"/>
            <w:gridSpan w:val="3"/>
            <w:tcBorders>
              <w:top w:val="single" w:sz="8" w:space="0" w:color="000000"/>
            </w:tcBorders>
            <w:shd w:val="clear" w:color="auto" w:fill="FFFFFF"/>
            <w:tcMar>
              <w:top w:w="30" w:type="dxa"/>
              <w:left w:w="135" w:type="dxa"/>
              <w:bottom w:w="30" w:type="dxa"/>
              <w:right w:w="20" w:type="dxa"/>
            </w:tcMar>
            <w:vAlign w:val="bottom"/>
            <w:hideMark/>
          </w:tcPr>
          <w:p w14:paraId="2459964C" w14:textId="77777777" w:rsidR="00000000" w:rsidRDefault="000A3118">
            <w:pPr>
              <w:rPr>
                <w:rFonts w:eastAsia="Times New Roman"/>
              </w:rPr>
            </w:pPr>
            <w:r>
              <w:rPr>
                <w:rFonts w:eastAsia="Times New Roman"/>
                <w:b/>
                <w:bCs/>
                <w:color w:val="000000"/>
                <w:sz w:val="16"/>
                <w:szCs w:val="16"/>
              </w:rPr>
              <w:t>Net cash provided by (used in)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E7B635"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45C581" w14:textId="77777777" w:rsidR="00000000" w:rsidRDefault="000A3118">
            <w:pPr>
              <w:jc w:val="right"/>
              <w:rPr>
                <w:rFonts w:eastAsia="Times New Roman"/>
              </w:rPr>
            </w:pPr>
            <w:r>
              <w:rPr>
                <w:rFonts w:eastAsia="Times New Roman"/>
                <w:color w:val="000000"/>
                <w:sz w:val="16"/>
                <w:szCs w:val="16"/>
              </w:rPr>
              <w:t>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B6ACD2"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10CEA7"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D4B8C1" w14:textId="77777777" w:rsidR="00000000" w:rsidRDefault="000A3118">
            <w:pPr>
              <w:jc w:val="right"/>
              <w:rPr>
                <w:rFonts w:eastAsia="Times New Roman"/>
              </w:rPr>
            </w:pPr>
            <w:r>
              <w:rPr>
                <w:rFonts w:eastAsia="Times New Roman"/>
                <w:color w:val="000000"/>
                <w:sz w:val="16"/>
                <w:szCs w:val="16"/>
              </w:rPr>
              <w:t>(55.1)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C0A705" w14:textId="77777777" w:rsidR="00000000" w:rsidRDefault="000A3118">
            <w:pPr>
              <w:jc w:val="right"/>
              <w:rPr>
                <w:rFonts w:eastAsia="Times New Roman"/>
              </w:rPr>
            </w:pPr>
          </w:p>
        </w:tc>
      </w:tr>
      <w:tr w:rsidR="00000000" w14:paraId="3DE42A1E" w14:textId="77777777">
        <w:trPr>
          <w:divId w:val="15672676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01C239" w14:textId="77777777" w:rsidR="00000000" w:rsidRDefault="000A3118">
            <w:pPr>
              <w:rPr>
                <w:rFonts w:eastAsia="Times New Roman"/>
              </w:rPr>
            </w:pPr>
            <w:r>
              <w:rPr>
                <w:rFonts w:eastAsia="Times New Roman"/>
                <w:color w:val="000000"/>
                <w:sz w:val="16"/>
                <w:szCs w:val="16"/>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84D9E6" w14:textId="77777777" w:rsidR="00000000" w:rsidRDefault="000A3118">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A83A8C" w14:textId="77777777" w:rsidR="00000000" w:rsidRDefault="000A3118">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DAFF94"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8B87C4" w14:textId="77777777" w:rsidR="00000000" w:rsidRDefault="000A3118">
            <w:pPr>
              <w:rPr>
                <w:rFonts w:eastAsia="Times New Roman"/>
                <w:sz w:val="20"/>
                <w:szCs w:val="20"/>
              </w:rPr>
            </w:pPr>
          </w:p>
        </w:tc>
      </w:tr>
      <w:tr w:rsidR="00000000" w14:paraId="2DF6369A" w14:textId="77777777">
        <w:trPr>
          <w:divId w:val="156726764"/>
        </w:trPr>
        <w:tc>
          <w:tcPr>
            <w:tcW w:w="0" w:type="auto"/>
            <w:gridSpan w:val="3"/>
            <w:shd w:val="clear" w:color="auto" w:fill="FFFFFF"/>
            <w:tcMar>
              <w:top w:w="30" w:type="dxa"/>
              <w:left w:w="135" w:type="dxa"/>
              <w:bottom w:w="30" w:type="dxa"/>
              <w:right w:w="20" w:type="dxa"/>
            </w:tcMar>
            <w:vAlign w:val="bottom"/>
            <w:hideMark/>
          </w:tcPr>
          <w:p w14:paraId="7530986A" w14:textId="77777777" w:rsidR="00000000" w:rsidRDefault="000A3118">
            <w:pPr>
              <w:rPr>
                <w:rFonts w:eastAsia="Times New Roman"/>
              </w:rPr>
            </w:pPr>
            <w:r>
              <w:rPr>
                <w:rFonts w:eastAsia="Times New Roman"/>
                <w:color w:val="000000"/>
                <w:sz w:val="16"/>
                <w:szCs w:val="16"/>
              </w:rPr>
              <w:t>Borrowings of debt</w:t>
            </w:r>
          </w:p>
        </w:tc>
        <w:tc>
          <w:tcPr>
            <w:tcW w:w="0" w:type="auto"/>
            <w:gridSpan w:val="3"/>
            <w:shd w:val="clear" w:color="auto" w:fill="FFFFFF"/>
            <w:tcMar>
              <w:top w:w="0" w:type="dxa"/>
              <w:left w:w="20" w:type="dxa"/>
              <w:bottom w:w="0" w:type="dxa"/>
              <w:right w:w="20" w:type="dxa"/>
            </w:tcMar>
            <w:vAlign w:val="center"/>
            <w:hideMark/>
          </w:tcPr>
          <w:p w14:paraId="64541158"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2A3A1C" w14:textId="77777777" w:rsidR="00000000" w:rsidRDefault="000A3118">
            <w:pPr>
              <w:jc w:val="right"/>
              <w:rPr>
                <w:rFonts w:eastAsia="Times New Roman"/>
              </w:rPr>
            </w:pPr>
            <w:r>
              <w:rPr>
                <w:rFonts w:eastAsia="Times New Roman"/>
                <w:color w:val="000000"/>
                <w:sz w:val="16"/>
                <w:szCs w:val="16"/>
              </w:rPr>
              <w:t>2,095.0 </w:t>
            </w:r>
          </w:p>
        </w:tc>
        <w:tc>
          <w:tcPr>
            <w:tcW w:w="0" w:type="auto"/>
            <w:shd w:val="clear" w:color="auto" w:fill="FFFFFF"/>
            <w:tcMar>
              <w:top w:w="30" w:type="dxa"/>
              <w:left w:w="0" w:type="dxa"/>
              <w:bottom w:w="30" w:type="dxa"/>
              <w:right w:w="20" w:type="dxa"/>
            </w:tcMar>
            <w:vAlign w:val="bottom"/>
            <w:hideMark/>
          </w:tcPr>
          <w:p w14:paraId="5703EF2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B9B9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CCE90" w14:textId="77777777" w:rsidR="00000000" w:rsidRDefault="000A3118">
            <w:pPr>
              <w:jc w:val="right"/>
              <w:rPr>
                <w:rFonts w:eastAsia="Times New Roman"/>
              </w:rPr>
            </w:pPr>
            <w:r>
              <w:rPr>
                <w:rFonts w:eastAsia="Times New Roman"/>
                <w:color w:val="000000"/>
                <w:sz w:val="16"/>
                <w:szCs w:val="16"/>
              </w:rPr>
              <w:t>4,452.4 </w:t>
            </w:r>
          </w:p>
        </w:tc>
        <w:tc>
          <w:tcPr>
            <w:tcW w:w="0" w:type="auto"/>
            <w:shd w:val="clear" w:color="auto" w:fill="FFFFFF"/>
            <w:tcMar>
              <w:top w:w="30" w:type="dxa"/>
              <w:left w:w="0" w:type="dxa"/>
              <w:bottom w:w="30" w:type="dxa"/>
              <w:right w:w="20" w:type="dxa"/>
            </w:tcMar>
            <w:vAlign w:val="bottom"/>
            <w:hideMark/>
          </w:tcPr>
          <w:p w14:paraId="13DD5AEF" w14:textId="77777777" w:rsidR="00000000" w:rsidRDefault="000A3118">
            <w:pPr>
              <w:jc w:val="right"/>
              <w:rPr>
                <w:rFonts w:eastAsia="Times New Roman"/>
              </w:rPr>
            </w:pPr>
          </w:p>
        </w:tc>
      </w:tr>
      <w:tr w:rsidR="00000000" w14:paraId="7F482D33" w14:textId="77777777">
        <w:trPr>
          <w:divId w:val="156726764"/>
        </w:trPr>
        <w:tc>
          <w:tcPr>
            <w:tcW w:w="0" w:type="auto"/>
            <w:gridSpan w:val="3"/>
            <w:shd w:val="clear" w:color="auto" w:fill="CCEEFF"/>
            <w:tcMar>
              <w:top w:w="30" w:type="dxa"/>
              <w:left w:w="135" w:type="dxa"/>
              <w:bottom w:w="30" w:type="dxa"/>
              <w:right w:w="20" w:type="dxa"/>
            </w:tcMar>
            <w:vAlign w:val="bottom"/>
            <w:hideMark/>
          </w:tcPr>
          <w:p w14:paraId="59997920" w14:textId="77777777" w:rsidR="00000000" w:rsidRDefault="000A3118">
            <w:pPr>
              <w:rPr>
                <w:rFonts w:eastAsia="Times New Roman"/>
              </w:rPr>
            </w:pPr>
            <w:r>
              <w:rPr>
                <w:rFonts w:eastAsia="Times New Roman"/>
                <w:color w:val="000000"/>
                <w:sz w:val="16"/>
                <w:szCs w:val="16"/>
              </w:rPr>
              <w:t>Repayments of debt</w:t>
            </w:r>
          </w:p>
        </w:tc>
        <w:tc>
          <w:tcPr>
            <w:tcW w:w="0" w:type="auto"/>
            <w:gridSpan w:val="3"/>
            <w:shd w:val="clear" w:color="auto" w:fill="CCEEFF"/>
            <w:tcMar>
              <w:top w:w="0" w:type="dxa"/>
              <w:left w:w="20" w:type="dxa"/>
              <w:bottom w:w="0" w:type="dxa"/>
              <w:right w:w="20" w:type="dxa"/>
            </w:tcMar>
            <w:vAlign w:val="center"/>
            <w:hideMark/>
          </w:tcPr>
          <w:p w14:paraId="6FC8AFE4"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10B3EB" w14:textId="77777777" w:rsidR="00000000" w:rsidRDefault="000A3118">
            <w:pPr>
              <w:jc w:val="right"/>
              <w:rPr>
                <w:rFonts w:eastAsia="Times New Roman"/>
              </w:rPr>
            </w:pPr>
            <w:r>
              <w:rPr>
                <w:rFonts w:eastAsia="Times New Roman"/>
                <w:color w:val="000000"/>
                <w:sz w:val="16"/>
                <w:szCs w:val="16"/>
              </w:rPr>
              <w:t>(2,202.8)</w:t>
            </w:r>
          </w:p>
        </w:tc>
        <w:tc>
          <w:tcPr>
            <w:tcW w:w="0" w:type="auto"/>
            <w:shd w:val="clear" w:color="auto" w:fill="CCEEFF"/>
            <w:tcMar>
              <w:top w:w="30" w:type="dxa"/>
              <w:left w:w="0" w:type="dxa"/>
              <w:bottom w:w="30" w:type="dxa"/>
              <w:right w:w="20" w:type="dxa"/>
            </w:tcMar>
            <w:vAlign w:val="bottom"/>
            <w:hideMark/>
          </w:tcPr>
          <w:p w14:paraId="78D2FC0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BD1E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50F1EC" w14:textId="77777777" w:rsidR="00000000" w:rsidRDefault="000A3118">
            <w:pPr>
              <w:jc w:val="right"/>
              <w:rPr>
                <w:rFonts w:eastAsia="Times New Roman"/>
              </w:rPr>
            </w:pPr>
            <w:r>
              <w:rPr>
                <w:rFonts w:eastAsia="Times New Roman"/>
                <w:color w:val="000000"/>
                <w:sz w:val="16"/>
                <w:szCs w:val="16"/>
              </w:rPr>
              <w:t>(4,468.4)</w:t>
            </w:r>
          </w:p>
        </w:tc>
        <w:tc>
          <w:tcPr>
            <w:tcW w:w="0" w:type="auto"/>
            <w:shd w:val="clear" w:color="auto" w:fill="CCEEFF"/>
            <w:tcMar>
              <w:top w:w="30" w:type="dxa"/>
              <w:left w:w="0" w:type="dxa"/>
              <w:bottom w:w="30" w:type="dxa"/>
              <w:right w:w="20" w:type="dxa"/>
            </w:tcMar>
            <w:vAlign w:val="bottom"/>
            <w:hideMark/>
          </w:tcPr>
          <w:p w14:paraId="435DC480" w14:textId="77777777" w:rsidR="00000000" w:rsidRDefault="000A3118">
            <w:pPr>
              <w:jc w:val="right"/>
              <w:rPr>
                <w:rFonts w:eastAsia="Times New Roman"/>
              </w:rPr>
            </w:pPr>
          </w:p>
        </w:tc>
      </w:tr>
      <w:tr w:rsidR="00000000" w14:paraId="3AA01C2E" w14:textId="77777777">
        <w:trPr>
          <w:divId w:val="156726764"/>
        </w:trPr>
        <w:tc>
          <w:tcPr>
            <w:tcW w:w="0" w:type="auto"/>
            <w:gridSpan w:val="3"/>
            <w:shd w:val="clear" w:color="auto" w:fill="FFFFFF"/>
            <w:tcMar>
              <w:top w:w="30" w:type="dxa"/>
              <w:left w:w="135" w:type="dxa"/>
              <w:bottom w:w="30" w:type="dxa"/>
              <w:right w:w="20" w:type="dxa"/>
            </w:tcMar>
            <w:vAlign w:val="bottom"/>
            <w:hideMark/>
          </w:tcPr>
          <w:p w14:paraId="0EFB0168" w14:textId="77777777" w:rsidR="00000000" w:rsidRDefault="000A3118">
            <w:pPr>
              <w:rPr>
                <w:rFonts w:eastAsia="Times New Roman"/>
              </w:rPr>
            </w:pPr>
            <w:r>
              <w:rPr>
                <w:rFonts w:eastAsia="Times New Roman"/>
                <w:color w:val="000000"/>
                <w:sz w:val="16"/>
                <w:szCs w:val="16"/>
              </w:rPr>
              <w:t>Dividends paid on common stock</w:t>
            </w:r>
          </w:p>
        </w:tc>
        <w:tc>
          <w:tcPr>
            <w:tcW w:w="0" w:type="auto"/>
            <w:gridSpan w:val="3"/>
            <w:shd w:val="clear" w:color="auto" w:fill="FFFFFF"/>
            <w:tcMar>
              <w:top w:w="0" w:type="dxa"/>
              <w:left w:w="20" w:type="dxa"/>
              <w:bottom w:w="0" w:type="dxa"/>
              <w:right w:w="20" w:type="dxa"/>
            </w:tcMar>
            <w:vAlign w:val="center"/>
            <w:hideMark/>
          </w:tcPr>
          <w:p w14:paraId="4E719A45"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381856" w14:textId="77777777" w:rsidR="00000000" w:rsidRDefault="000A3118">
            <w:pPr>
              <w:jc w:val="right"/>
              <w:rPr>
                <w:rFonts w:eastAsia="Times New Roman"/>
              </w:rPr>
            </w:pPr>
            <w:r>
              <w:rPr>
                <w:rFonts w:eastAsia="Times New Roman"/>
                <w:color w:val="000000"/>
                <w:sz w:val="16"/>
                <w:szCs w:val="16"/>
              </w:rPr>
              <w:t>(19.3)</w:t>
            </w:r>
          </w:p>
        </w:tc>
        <w:tc>
          <w:tcPr>
            <w:tcW w:w="0" w:type="auto"/>
            <w:shd w:val="clear" w:color="auto" w:fill="FFFFFF"/>
            <w:tcMar>
              <w:top w:w="30" w:type="dxa"/>
              <w:left w:w="0" w:type="dxa"/>
              <w:bottom w:w="30" w:type="dxa"/>
              <w:right w:w="20" w:type="dxa"/>
            </w:tcMar>
            <w:vAlign w:val="bottom"/>
            <w:hideMark/>
          </w:tcPr>
          <w:p w14:paraId="3E0AA23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CEA8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BDDD69" w14:textId="77777777" w:rsidR="00000000" w:rsidRDefault="000A3118">
            <w:pPr>
              <w:jc w:val="right"/>
              <w:rPr>
                <w:rFonts w:eastAsia="Times New Roman"/>
              </w:rPr>
            </w:pPr>
            <w:r>
              <w:rPr>
                <w:rFonts w:eastAsia="Times New Roman"/>
                <w:color w:val="000000"/>
                <w:sz w:val="16"/>
                <w:szCs w:val="16"/>
              </w:rPr>
              <w:t>(14.6)</w:t>
            </w:r>
          </w:p>
        </w:tc>
        <w:tc>
          <w:tcPr>
            <w:tcW w:w="0" w:type="auto"/>
            <w:shd w:val="clear" w:color="auto" w:fill="FFFFFF"/>
            <w:tcMar>
              <w:top w:w="30" w:type="dxa"/>
              <w:left w:w="0" w:type="dxa"/>
              <w:bottom w:w="30" w:type="dxa"/>
              <w:right w:w="20" w:type="dxa"/>
            </w:tcMar>
            <w:vAlign w:val="bottom"/>
            <w:hideMark/>
          </w:tcPr>
          <w:p w14:paraId="63E3F0F7" w14:textId="77777777" w:rsidR="00000000" w:rsidRDefault="000A3118">
            <w:pPr>
              <w:jc w:val="right"/>
              <w:rPr>
                <w:rFonts w:eastAsia="Times New Roman"/>
              </w:rPr>
            </w:pPr>
          </w:p>
        </w:tc>
      </w:tr>
      <w:tr w:rsidR="00000000" w14:paraId="06ED9EF3" w14:textId="77777777">
        <w:trPr>
          <w:divId w:val="156726764"/>
        </w:trPr>
        <w:tc>
          <w:tcPr>
            <w:tcW w:w="0" w:type="auto"/>
            <w:gridSpan w:val="3"/>
            <w:shd w:val="clear" w:color="auto" w:fill="CCEEFF"/>
            <w:tcMar>
              <w:top w:w="30" w:type="dxa"/>
              <w:left w:w="135" w:type="dxa"/>
              <w:bottom w:w="30" w:type="dxa"/>
              <w:right w:w="20" w:type="dxa"/>
            </w:tcMar>
            <w:vAlign w:val="bottom"/>
            <w:hideMark/>
          </w:tcPr>
          <w:p w14:paraId="2B65F27E" w14:textId="77777777" w:rsidR="00000000" w:rsidRDefault="000A3118">
            <w:pPr>
              <w:rPr>
                <w:rFonts w:eastAsia="Times New Roman"/>
              </w:rPr>
            </w:pPr>
            <w:r>
              <w:rPr>
                <w:rFonts w:eastAsia="Times New Roman"/>
                <w:color w:val="000000"/>
                <w:sz w:val="16"/>
                <w:szCs w:val="16"/>
              </w:rPr>
              <w:t>Repurchases of common stock</w:t>
            </w:r>
          </w:p>
        </w:tc>
        <w:tc>
          <w:tcPr>
            <w:tcW w:w="0" w:type="auto"/>
            <w:gridSpan w:val="3"/>
            <w:shd w:val="clear" w:color="auto" w:fill="CCEEFF"/>
            <w:tcMar>
              <w:top w:w="0" w:type="dxa"/>
              <w:left w:w="20" w:type="dxa"/>
              <w:bottom w:w="0" w:type="dxa"/>
              <w:right w:w="20" w:type="dxa"/>
            </w:tcMar>
            <w:vAlign w:val="center"/>
            <w:hideMark/>
          </w:tcPr>
          <w:p w14:paraId="0114A731"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5EA6FF" w14:textId="77777777" w:rsidR="00000000" w:rsidRDefault="000A3118">
            <w:pPr>
              <w:jc w:val="right"/>
              <w:rPr>
                <w:rFonts w:eastAsia="Times New Roman"/>
              </w:rPr>
            </w:pPr>
            <w:r>
              <w:rPr>
                <w:rFonts w:eastAsia="Times New Roman"/>
                <w:color w:val="000000"/>
                <w:sz w:val="16"/>
                <w:szCs w:val="16"/>
              </w:rPr>
              <w:t>(55.6)</w:t>
            </w:r>
          </w:p>
        </w:tc>
        <w:tc>
          <w:tcPr>
            <w:tcW w:w="0" w:type="auto"/>
            <w:shd w:val="clear" w:color="auto" w:fill="CCEEFF"/>
            <w:tcMar>
              <w:top w:w="30" w:type="dxa"/>
              <w:left w:w="0" w:type="dxa"/>
              <w:bottom w:w="30" w:type="dxa"/>
              <w:right w:w="20" w:type="dxa"/>
            </w:tcMar>
            <w:vAlign w:val="bottom"/>
            <w:hideMark/>
          </w:tcPr>
          <w:p w14:paraId="1A392DD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0BF6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DC95C6" w14:textId="77777777" w:rsidR="00000000" w:rsidRDefault="000A3118">
            <w:pPr>
              <w:jc w:val="right"/>
              <w:rPr>
                <w:rFonts w:eastAsia="Times New Roman"/>
              </w:rPr>
            </w:pPr>
            <w:r>
              <w:rPr>
                <w:rFonts w:eastAsia="Times New Roman"/>
                <w:color w:val="000000"/>
                <w:sz w:val="16"/>
                <w:szCs w:val="16"/>
              </w:rPr>
              <w:t>(65.4)</w:t>
            </w:r>
          </w:p>
        </w:tc>
        <w:tc>
          <w:tcPr>
            <w:tcW w:w="0" w:type="auto"/>
            <w:shd w:val="clear" w:color="auto" w:fill="CCEEFF"/>
            <w:tcMar>
              <w:top w:w="30" w:type="dxa"/>
              <w:left w:w="0" w:type="dxa"/>
              <w:bottom w:w="30" w:type="dxa"/>
              <w:right w:w="20" w:type="dxa"/>
            </w:tcMar>
            <w:vAlign w:val="bottom"/>
            <w:hideMark/>
          </w:tcPr>
          <w:p w14:paraId="046A8E9C" w14:textId="77777777" w:rsidR="00000000" w:rsidRDefault="000A3118">
            <w:pPr>
              <w:jc w:val="right"/>
              <w:rPr>
                <w:rFonts w:eastAsia="Times New Roman"/>
              </w:rPr>
            </w:pPr>
          </w:p>
        </w:tc>
      </w:tr>
      <w:tr w:rsidR="00000000" w14:paraId="25683C57" w14:textId="77777777">
        <w:trPr>
          <w:divId w:val="156726764"/>
        </w:trPr>
        <w:tc>
          <w:tcPr>
            <w:tcW w:w="0" w:type="auto"/>
            <w:gridSpan w:val="3"/>
            <w:shd w:val="clear" w:color="auto" w:fill="FFFFFF"/>
            <w:tcMar>
              <w:top w:w="30" w:type="dxa"/>
              <w:left w:w="135" w:type="dxa"/>
              <w:bottom w:w="30" w:type="dxa"/>
              <w:right w:w="20" w:type="dxa"/>
            </w:tcMar>
            <w:vAlign w:val="bottom"/>
            <w:hideMark/>
          </w:tcPr>
          <w:p w14:paraId="64F788CF" w14:textId="77777777" w:rsidR="00000000" w:rsidRDefault="000A3118">
            <w:pPr>
              <w:rPr>
                <w:rFonts w:eastAsia="Times New Roman"/>
              </w:rPr>
            </w:pPr>
            <w:r>
              <w:rPr>
                <w:rFonts w:eastAsia="Times New Roman"/>
                <w:color w:val="000000"/>
                <w:sz w:val="16"/>
                <w:szCs w:val="16"/>
              </w:rPr>
              <w:t>Other financing activities, net</w:t>
            </w:r>
          </w:p>
        </w:tc>
        <w:tc>
          <w:tcPr>
            <w:tcW w:w="0" w:type="auto"/>
            <w:gridSpan w:val="3"/>
            <w:shd w:val="clear" w:color="auto" w:fill="FFFFFF"/>
            <w:tcMar>
              <w:top w:w="0" w:type="dxa"/>
              <w:left w:w="20" w:type="dxa"/>
              <w:bottom w:w="0" w:type="dxa"/>
              <w:right w:w="20" w:type="dxa"/>
            </w:tcMar>
            <w:vAlign w:val="center"/>
            <w:hideMark/>
          </w:tcPr>
          <w:p w14:paraId="07485C0F"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0067FD" w14:textId="77777777" w:rsidR="00000000" w:rsidRDefault="000A3118">
            <w:pPr>
              <w:jc w:val="right"/>
              <w:rPr>
                <w:rFonts w:eastAsia="Times New Roman"/>
              </w:rPr>
            </w:pPr>
            <w:r>
              <w:rPr>
                <w:rFonts w:eastAsia="Times New Roman"/>
                <w:color w:val="000000"/>
                <w:sz w:val="16"/>
                <w:szCs w:val="16"/>
              </w:rPr>
              <w:t>(6.0)</w:t>
            </w:r>
          </w:p>
        </w:tc>
        <w:tc>
          <w:tcPr>
            <w:tcW w:w="0" w:type="auto"/>
            <w:shd w:val="clear" w:color="auto" w:fill="FFFFFF"/>
            <w:tcMar>
              <w:top w:w="30" w:type="dxa"/>
              <w:left w:w="0" w:type="dxa"/>
              <w:bottom w:w="30" w:type="dxa"/>
              <w:right w:w="20" w:type="dxa"/>
            </w:tcMar>
            <w:vAlign w:val="bottom"/>
            <w:hideMark/>
          </w:tcPr>
          <w:p w14:paraId="70A24C1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4F1AC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C406B5" w14:textId="77777777" w:rsidR="00000000" w:rsidRDefault="000A3118">
            <w:pPr>
              <w:jc w:val="right"/>
              <w:rPr>
                <w:rFonts w:eastAsia="Times New Roman"/>
              </w:rPr>
            </w:pPr>
            <w:r>
              <w:rPr>
                <w:rFonts w:eastAsia="Times New Roman"/>
                <w:color w:val="000000"/>
                <w:sz w:val="16"/>
                <w:szCs w:val="16"/>
              </w:rPr>
              <w:t>(7.1)</w:t>
            </w:r>
          </w:p>
        </w:tc>
        <w:tc>
          <w:tcPr>
            <w:tcW w:w="0" w:type="auto"/>
            <w:shd w:val="clear" w:color="auto" w:fill="FFFFFF"/>
            <w:tcMar>
              <w:top w:w="30" w:type="dxa"/>
              <w:left w:w="0" w:type="dxa"/>
              <w:bottom w:w="30" w:type="dxa"/>
              <w:right w:w="20" w:type="dxa"/>
            </w:tcMar>
            <w:vAlign w:val="bottom"/>
            <w:hideMark/>
          </w:tcPr>
          <w:p w14:paraId="41423E99" w14:textId="77777777" w:rsidR="00000000" w:rsidRDefault="000A3118">
            <w:pPr>
              <w:jc w:val="right"/>
              <w:rPr>
                <w:rFonts w:eastAsia="Times New Roman"/>
              </w:rPr>
            </w:pPr>
          </w:p>
        </w:tc>
      </w:tr>
      <w:tr w:rsidR="00000000" w14:paraId="45123BA5" w14:textId="77777777">
        <w:trPr>
          <w:divId w:val="156726764"/>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14:paraId="2ADF9765" w14:textId="77777777" w:rsidR="00000000" w:rsidRDefault="000A3118">
            <w:pPr>
              <w:rPr>
                <w:rFonts w:eastAsia="Times New Roman"/>
              </w:rPr>
            </w:pPr>
            <w:r>
              <w:rPr>
                <w:rFonts w:eastAsia="Times New Roman"/>
                <w:b/>
                <w:bCs/>
                <w:color w:val="000000"/>
                <w:sz w:val="16"/>
                <w:szCs w:val="16"/>
              </w:rPr>
              <w:t>Net cash provided by (used in)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BFC399"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BFB07A" w14:textId="77777777" w:rsidR="00000000" w:rsidRDefault="000A3118">
            <w:pPr>
              <w:jc w:val="right"/>
              <w:rPr>
                <w:rFonts w:eastAsia="Times New Roman"/>
              </w:rPr>
            </w:pPr>
            <w:r>
              <w:rPr>
                <w:rFonts w:eastAsia="Times New Roman"/>
                <w:color w:val="000000"/>
                <w:sz w:val="16"/>
                <w:szCs w:val="16"/>
              </w:rPr>
              <w:t>(188.8)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E227BD"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1B5B66"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8E1473" w14:textId="77777777" w:rsidR="00000000" w:rsidRDefault="000A3118">
            <w:pPr>
              <w:jc w:val="right"/>
              <w:rPr>
                <w:rFonts w:eastAsia="Times New Roman"/>
              </w:rPr>
            </w:pPr>
            <w:r>
              <w:rPr>
                <w:rFonts w:eastAsia="Times New Roman"/>
                <w:color w:val="000000"/>
                <w:sz w:val="16"/>
                <w:szCs w:val="16"/>
              </w:rPr>
              <w:t>(103.1)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B342B1" w14:textId="77777777" w:rsidR="00000000" w:rsidRDefault="000A3118">
            <w:pPr>
              <w:jc w:val="right"/>
              <w:rPr>
                <w:rFonts w:eastAsia="Times New Roman"/>
              </w:rPr>
            </w:pPr>
          </w:p>
        </w:tc>
      </w:tr>
      <w:tr w:rsidR="00000000" w14:paraId="51767D59" w14:textId="77777777">
        <w:trPr>
          <w:divId w:val="15672676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786FD62" w14:textId="77777777" w:rsidR="00000000" w:rsidRDefault="000A3118">
            <w:pPr>
              <w:rPr>
                <w:rFonts w:eastAsia="Times New Roman"/>
              </w:rPr>
            </w:pPr>
            <w:r>
              <w:rPr>
                <w:rFonts w:eastAsia="Times New Roman"/>
                <w:color w:val="000000"/>
                <w:sz w:val="16"/>
                <w:szCs w:val="16"/>
              </w:rPr>
              <w:t>Effect of exchange rate changes on cash and cash equivalents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B38DA4"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4D9BC7" w14:textId="77777777" w:rsidR="00000000" w:rsidRDefault="000A3118">
            <w:pPr>
              <w:jc w:val="right"/>
              <w:rPr>
                <w:rFonts w:eastAsia="Times New Roman"/>
              </w:rPr>
            </w:pPr>
            <w:r>
              <w:rPr>
                <w:rFonts w:eastAsia="Times New Roman"/>
                <w:color w:val="000000"/>
                <w:sz w:val="16"/>
                <w:szCs w:val="16"/>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5DFAE9"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76F796A"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9196E6" w14:textId="77777777" w:rsidR="00000000" w:rsidRDefault="000A3118">
            <w:pPr>
              <w:jc w:val="right"/>
              <w:rPr>
                <w:rFonts w:eastAsia="Times New Roman"/>
              </w:rPr>
            </w:pPr>
            <w:r>
              <w:rPr>
                <w:rFonts w:eastAsia="Times New Roman"/>
                <w:color w:val="000000"/>
                <w:sz w:val="16"/>
                <w:szCs w:val="16"/>
              </w:rPr>
              <w:t>(3.7)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56C2A8" w14:textId="77777777" w:rsidR="00000000" w:rsidRDefault="000A3118">
            <w:pPr>
              <w:jc w:val="right"/>
              <w:rPr>
                <w:rFonts w:eastAsia="Times New Roman"/>
              </w:rPr>
            </w:pPr>
          </w:p>
        </w:tc>
      </w:tr>
      <w:tr w:rsidR="00000000" w14:paraId="7BC6C83E" w14:textId="77777777">
        <w:trPr>
          <w:divId w:val="15672676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B3A2C3" w14:textId="77777777" w:rsidR="00000000" w:rsidRDefault="000A3118">
            <w:pPr>
              <w:rPr>
                <w:rFonts w:eastAsia="Times New Roman"/>
              </w:rPr>
            </w:pPr>
            <w:r>
              <w:rPr>
                <w:rFonts w:eastAsia="Times New Roman"/>
                <w:b/>
                <w:bCs/>
                <w:color w:val="000000"/>
                <w:sz w:val="16"/>
                <w:szCs w:val="16"/>
              </w:rPr>
              <w:t>Net increase (decrease) in cash and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77EE1B"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F63E6E" w14:textId="77777777" w:rsidR="00000000" w:rsidRDefault="000A3118">
            <w:pPr>
              <w:jc w:val="right"/>
              <w:rPr>
                <w:rFonts w:eastAsia="Times New Roman"/>
              </w:rPr>
            </w:pPr>
            <w:r>
              <w:rPr>
                <w:rFonts w:eastAsia="Times New Roman"/>
                <w:color w:val="000000"/>
                <w:sz w:val="16"/>
                <w:szCs w:val="16"/>
              </w:rPr>
              <w:t>386.7 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C5B36B"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80BEDA"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2686C3" w14:textId="77777777" w:rsidR="00000000" w:rsidRDefault="000A3118">
            <w:pPr>
              <w:jc w:val="right"/>
              <w:rPr>
                <w:rFonts w:eastAsia="Times New Roman"/>
              </w:rPr>
            </w:pPr>
            <w:r>
              <w:rPr>
                <w:rFonts w:eastAsia="Times New Roman"/>
                <w:color w:val="000000"/>
                <w:sz w:val="16"/>
                <w:szCs w:val="16"/>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0CD14F" w14:textId="77777777" w:rsidR="00000000" w:rsidRDefault="000A3118">
            <w:pPr>
              <w:jc w:val="right"/>
              <w:rPr>
                <w:rFonts w:eastAsia="Times New Roman"/>
              </w:rPr>
            </w:pPr>
          </w:p>
        </w:tc>
      </w:tr>
      <w:tr w:rsidR="00000000" w14:paraId="19475A7D" w14:textId="77777777">
        <w:trPr>
          <w:divId w:val="156726764"/>
        </w:trPr>
        <w:tc>
          <w:tcPr>
            <w:tcW w:w="0" w:type="auto"/>
            <w:gridSpan w:val="3"/>
            <w:shd w:val="clear" w:color="auto" w:fill="FFFFFF"/>
            <w:tcMar>
              <w:top w:w="30" w:type="dxa"/>
              <w:left w:w="20" w:type="dxa"/>
              <w:bottom w:w="30" w:type="dxa"/>
              <w:right w:w="20" w:type="dxa"/>
            </w:tcMar>
            <w:vAlign w:val="bottom"/>
            <w:hideMark/>
          </w:tcPr>
          <w:p w14:paraId="13FCFF2B" w14:textId="77777777" w:rsidR="00000000" w:rsidRDefault="000A3118">
            <w:pPr>
              <w:rPr>
                <w:rFonts w:eastAsia="Times New Roman"/>
              </w:rPr>
            </w:pPr>
            <w:r>
              <w:rPr>
                <w:rFonts w:eastAsia="Times New Roman"/>
                <w:color w:val="000000"/>
                <w:sz w:val="16"/>
                <w:szCs w:val="16"/>
              </w:rPr>
              <w:t>Cash and cash equivalents, as of the beginning of the period</w:t>
            </w:r>
          </w:p>
        </w:tc>
        <w:tc>
          <w:tcPr>
            <w:tcW w:w="0" w:type="auto"/>
            <w:gridSpan w:val="3"/>
            <w:shd w:val="clear" w:color="auto" w:fill="FFFFFF"/>
            <w:tcMar>
              <w:top w:w="0" w:type="dxa"/>
              <w:left w:w="20" w:type="dxa"/>
              <w:bottom w:w="0" w:type="dxa"/>
              <w:right w:w="20" w:type="dxa"/>
            </w:tcMar>
            <w:vAlign w:val="center"/>
            <w:hideMark/>
          </w:tcPr>
          <w:p w14:paraId="6BD5C5D9"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13FCA3" w14:textId="77777777" w:rsidR="00000000" w:rsidRDefault="000A3118">
            <w:pPr>
              <w:jc w:val="right"/>
              <w:rPr>
                <w:rFonts w:eastAsia="Times New Roman"/>
              </w:rPr>
            </w:pPr>
            <w:r>
              <w:rPr>
                <w:rFonts w:eastAsia="Times New Roman"/>
                <w:color w:val="000000"/>
                <w:sz w:val="16"/>
                <w:szCs w:val="16"/>
              </w:rPr>
              <w:t>186.1 </w:t>
            </w:r>
          </w:p>
        </w:tc>
        <w:tc>
          <w:tcPr>
            <w:tcW w:w="0" w:type="auto"/>
            <w:shd w:val="clear" w:color="auto" w:fill="FFFFFF"/>
            <w:tcMar>
              <w:top w:w="30" w:type="dxa"/>
              <w:left w:w="0" w:type="dxa"/>
              <w:bottom w:w="30" w:type="dxa"/>
              <w:right w:w="20" w:type="dxa"/>
            </w:tcMar>
            <w:vAlign w:val="bottom"/>
            <w:hideMark/>
          </w:tcPr>
          <w:p w14:paraId="30CFB4C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7460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5940A" w14:textId="77777777" w:rsidR="00000000" w:rsidRDefault="000A3118">
            <w:pPr>
              <w:jc w:val="right"/>
              <w:rPr>
                <w:rFonts w:eastAsia="Times New Roman"/>
              </w:rPr>
            </w:pPr>
            <w:r>
              <w:rPr>
                <w:rFonts w:eastAsia="Times New Roman"/>
                <w:color w:val="000000"/>
                <w:sz w:val="16"/>
                <w:szCs w:val="16"/>
              </w:rPr>
              <w:t>211.7 </w:t>
            </w:r>
          </w:p>
        </w:tc>
        <w:tc>
          <w:tcPr>
            <w:tcW w:w="0" w:type="auto"/>
            <w:shd w:val="clear" w:color="auto" w:fill="FFFFFF"/>
            <w:tcMar>
              <w:top w:w="30" w:type="dxa"/>
              <w:left w:w="0" w:type="dxa"/>
              <w:bottom w:w="30" w:type="dxa"/>
              <w:right w:w="20" w:type="dxa"/>
            </w:tcMar>
            <w:vAlign w:val="bottom"/>
            <w:hideMark/>
          </w:tcPr>
          <w:p w14:paraId="12AD3142" w14:textId="77777777" w:rsidR="00000000" w:rsidRDefault="000A3118">
            <w:pPr>
              <w:jc w:val="right"/>
              <w:rPr>
                <w:rFonts w:eastAsia="Times New Roman"/>
              </w:rPr>
            </w:pPr>
          </w:p>
        </w:tc>
      </w:tr>
      <w:tr w:rsidR="00000000" w14:paraId="32785C99" w14:textId="77777777">
        <w:trPr>
          <w:divId w:val="156726764"/>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61673903" w14:textId="77777777" w:rsidR="00000000" w:rsidRDefault="000A3118">
            <w:pPr>
              <w:rPr>
                <w:rFonts w:eastAsia="Times New Roman"/>
              </w:rPr>
            </w:pPr>
            <w:r>
              <w:rPr>
                <w:rFonts w:eastAsia="Times New Roman"/>
                <w:b/>
                <w:bCs/>
                <w:color w:val="000000"/>
                <w:sz w:val="16"/>
                <w:szCs w:val="16"/>
              </w:rPr>
              <w:t>Cash and cash equivalents, as of the end of the period</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0030C7E" w14:textId="77777777" w:rsidR="00000000" w:rsidRDefault="000A3118">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0326E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F81953" w14:textId="77777777" w:rsidR="00000000" w:rsidRDefault="000A3118">
            <w:pPr>
              <w:jc w:val="right"/>
              <w:rPr>
                <w:rFonts w:eastAsia="Times New Roman"/>
              </w:rPr>
            </w:pPr>
            <w:r>
              <w:rPr>
                <w:rFonts w:eastAsia="Times New Roman"/>
                <w:color w:val="000000"/>
                <w:sz w:val="16"/>
                <w:szCs w:val="16"/>
              </w:rPr>
              <w:t>572.7 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F061D7"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3E64308"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A6602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C36E44" w14:textId="77777777" w:rsidR="00000000" w:rsidRDefault="000A3118">
            <w:pPr>
              <w:jc w:val="right"/>
              <w:rPr>
                <w:rFonts w:eastAsia="Times New Roman"/>
              </w:rPr>
            </w:pPr>
            <w:r>
              <w:rPr>
                <w:rFonts w:eastAsia="Times New Roman"/>
                <w:color w:val="000000"/>
                <w:sz w:val="16"/>
                <w:szCs w:val="16"/>
              </w:rPr>
              <w:t>218.5 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6A0616" w14:textId="77777777" w:rsidR="00000000" w:rsidRDefault="000A3118">
            <w:pPr>
              <w:jc w:val="right"/>
              <w:rPr>
                <w:rFonts w:eastAsia="Times New Roman"/>
              </w:rPr>
            </w:pPr>
          </w:p>
        </w:tc>
      </w:tr>
    </w:tbl>
    <w:p w14:paraId="4E8534EB" w14:textId="77777777" w:rsidR="00000000" w:rsidRDefault="000A3118">
      <w:pPr>
        <w:ind w:firstLine="720"/>
        <w:jc w:val="center"/>
        <w:rPr>
          <w:rFonts w:eastAsia="Times New Roman"/>
        </w:rPr>
      </w:pPr>
      <w:r>
        <w:rPr>
          <w:rFonts w:eastAsia="Times New Roman"/>
          <w:color w:val="000000"/>
          <w:sz w:val="20"/>
          <w:szCs w:val="20"/>
        </w:rPr>
        <w:t> </w:t>
      </w:r>
    </w:p>
    <w:p w14:paraId="674C0551" w14:textId="77777777" w:rsidR="00000000" w:rsidRDefault="000A3118">
      <w:pPr>
        <w:jc w:val="center"/>
        <w:rPr>
          <w:rFonts w:eastAsia="Times New Roman"/>
        </w:rPr>
      </w:pPr>
      <w:r>
        <w:rPr>
          <w:rFonts w:eastAsia="Times New Roman"/>
          <w:color w:val="000000"/>
          <w:sz w:val="20"/>
          <w:szCs w:val="20"/>
        </w:rPr>
        <w:t>The accompanying notes are an integral part of these unaudited Consolidated Financial Statements.</w:t>
      </w:r>
    </w:p>
    <w:p w14:paraId="6A74EE7B" w14:textId="77777777" w:rsidR="00000000" w:rsidRDefault="000A3118">
      <w:pPr>
        <w:ind w:firstLine="720"/>
        <w:jc w:val="both"/>
        <w:rPr>
          <w:rFonts w:eastAsia="Times New Roman"/>
        </w:rPr>
      </w:pPr>
    </w:p>
    <w:p w14:paraId="22EDE0C4" w14:textId="77777777" w:rsidR="00000000" w:rsidRDefault="000A3118">
      <w:pPr>
        <w:ind w:firstLine="720"/>
        <w:jc w:val="both"/>
        <w:rPr>
          <w:rFonts w:eastAsia="Times New Roman"/>
        </w:rPr>
      </w:pPr>
    </w:p>
    <w:p w14:paraId="1AD49141" w14:textId="77777777" w:rsidR="00000000" w:rsidRDefault="000A3118">
      <w:pPr>
        <w:jc w:val="center"/>
        <w:divId w:val="421923622"/>
        <w:rPr>
          <w:rFonts w:eastAsia="Times New Roman"/>
        </w:rPr>
      </w:pPr>
      <w:r>
        <w:rPr>
          <w:rFonts w:eastAsia="Times New Roman"/>
          <w:color w:val="000000"/>
          <w:sz w:val="20"/>
          <w:szCs w:val="20"/>
        </w:rPr>
        <w:t>5</w:t>
      </w:r>
    </w:p>
    <w:p w14:paraId="67D51A1E" w14:textId="77777777" w:rsidR="00000000" w:rsidRDefault="000A3118">
      <w:pPr>
        <w:rPr>
          <w:rFonts w:eastAsia="Times New Roman"/>
        </w:rPr>
      </w:pPr>
      <w:r>
        <w:rPr>
          <w:rFonts w:eastAsia="Times New Roman"/>
        </w:rPr>
        <w:pict w14:anchorId="3CD8569D">
          <v:rect id="_x0000_i1033" style="width:0;height:1.5pt" o:hralign="center" o:hrstd="t" o:hr="t" fillcolor="#a0a0a0" stroked="f"/>
        </w:pict>
      </w:r>
    </w:p>
    <w:p w14:paraId="7557D0E1" w14:textId="77777777" w:rsidR="00000000" w:rsidRDefault="000A3118">
      <w:pPr>
        <w:divId w:val="1721899521"/>
        <w:rPr>
          <w:rFonts w:eastAsia="Times New Roman"/>
        </w:rPr>
      </w:pPr>
    </w:p>
    <w:p w14:paraId="44F53BBA" w14:textId="77777777" w:rsidR="00000000" w:rsidRDefault="000A3118">
      <w:pPr>
        <w:jc w:val="both"/>
        <w:rPr>
          <w:rFonts w:eastAsia="Times New Roman"/>
        </w:rPr>
      </w:pPr>
      <w:r>
        <w:rPr>
          <w:rFonts w:eastAsia="Times New Roman"/>
          <w:b/>
          <w:bCs/>
          <w:color w:val="000000"/>
          <w:sz w:val="20"/>
          <w:szCs w:val="20"/>
        </w:rPr>
        <w:t>Supplemental Schedule of Noncash Investing and Financing Activities:</w:t>
      </w:r>
    </w:p>
    <w:p w14:paraId="0F012F4E" w14:textId="77777777" w:rsidR="00000000" w:rsidRDefault="000A3118">
      <w:pPr>
        <w:ind w:firstLine="720"/>
        <w:jc w:val="both"/>
        <w:rPr>
          <w:rFonts w:eastAsia="Times New Roman"/>
        </w:rPr>
      </w:pPr>
      <w:r>
        <w:rPr>
          <w:rFonts w:eastAsia="Times New Roman"/>
          <w:color w:val="000000"/>
          <w:sz w:val="20"/>
          <w:szCs w:val="20"/>
        </w:rPr>
        <w:t> </w:t>
      </w:r>
    </w:p>
    <w:p w14:paraId="3B8089EB" w14:textId="77777777" w:rsidR="00000000" w:rsidRDefault="000A3118">
      <w:pPr>
        <w:jc w:val="both"/>
        <w:rPr>
          <w:rFonts w:eastAsia="Times New Roman"/>
        </w:rPr>
      </w:pPr>
      <w:r>
        <w:rPr>
          <w:rFonts w:eastAsia="Times New Roman"/>
          <w:color w:val="000000"/>
          <w:sz w:val="20"/>
          <w:szCs w:val="20"/>
        </w:rPr>
        <w:t>1. Cash dividends</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declared, but not ye</w:t>
      </w:r>
      <w:r>
        <w:rPr>
          <w:rFonts w:eastAsia="Times New Roman"/>
          <w:color w:val="000000"/>
          <w:sz w:val="20"/>
          <w:szCs w:val="20"/>
        </w:rPr>
        <w:t>t paid, were $6.3 million and $6.5 million for the nine months ended September 30, 2020 and 2019, respectively.</w:t>
      </w:r>
    </w:p>
    <w:p w14:paraId="4D37DA41" w14:textId="77777777" w:rsidR="00000000" w:rsidRDefault="000A3118">
      <w:pPr>
        <w:jc w:val="both"/>
        <w:rPr>
          <w:rFonts w:eastAsia="Times New Roman"/>
        </w:rPr>
      </w:pPr>
    </w:p>
    <w:p w14:paraId="72BCE04D" w14:textId="77777777" w:rsidR="00000000" w:rsidRDefault="000A3118">
      <w:pPr>
        <w:jc w:val="both"/>
        <w:rPr>
          <w:rFonts w:eastAsia="Times New Roman"/>
        </w:rPr>
      </w:pPr>
      <w:r>
        <w:rPr>
          <w:rFonts w:eastAsia="Times New Roman"/>
          <w:color w:val="000000"/>
          <w:sz w:val="20"/>
          <w:szCs w:val="20"/>
          <w:shd w:val="clear" w:color="auto" w:fill="FFFFFF"/>
        </w:rPr>
        <w:t xml:space="preserve">2. Net noncash consideration for the acquisition and sale of businesses was $2.6 million as of </w:t>
      </w:r>
      <w:r>
        <w:rPr>
          <w:rFonts w:eastAsia="Times New Roman"/>
          <w:color w:val="000000"/>
          <w:sz w:val="20"/>
          <w:szCs w:val="20"/>
        </w:rPr>
        <w:t>September 30, 2020.</w:t>
      </w:r>
    </w:p>
    <w:p w14:paraId="52F5F15E" w14:textId="77777777" w:rsidR="00000000" w:rsidRDefault="000A3118">
      <w:pPr>
        <w:jc w:val="both"/>
        <w:rPr>
          <w:rFonts w:eastAsia="Times New Roman"/>
        </w:rPr>
      </w:pPr>
    </w:p>
    <w:p w14:paraId="403985AE" w14:textId="77777777" w:rsidR="00000000" w:rsidRDefault="000A3118">
      <w:pPr>
        <w:jc w:val="both"/>
        <w:rPr>
          <w:rFonts w:eastAsia="Times New Roman"/>
        </w:rPr>
      </w:pPr>
    </w:p>
    <w:p w14:paraId="79CA3894" w14:textId="77777777" w:rsidR="00000000" w:rsidRDefault="000A3118">
      <w:pPr>
        <w:jc w:val="center"/>
        <w:rPr>
          <w:rFonts w:eastAsia="Times New Roman"/>
        </w:rPr>
      </w:pPr>
      <w:r>
        <w:rPr>
          <w:rFonts w:eastAsia="Times New Roman"/>
          <w:color w:val="000000"/>
          <w:sz w:val="20"/>
          <w:szCs w:val="20"/>
        </w:rPr>
        <w:t>The</w:t>
      </w:r>
      <w:r>
        <w:rPr>
          <w:rFonts w:eastAsia="Times New Roman"/>
          <w:color w:val="000000"/>
          <w:sz w:val="20"/>
          <w:szCs w:val="20"/>
        </w:rPr>
        <w:t xml:space="preserve"> accompanying notes are an integral part of these unaudited Consolidated Financial Statements.</w:t>
      </w:r>
    </w:p>
    <w:p w14:paraId="5DE973D5" w14:textId="77777777" w:rsidR="00000000" w:rsidRDefault="000A3118">
      <w:pPr>
        <w:jc w:val="center"/>
        <w:divId w:val="1222793202"/>
        <w:rPr>
          <w:rFonts w:eastAsia="Times New Roman"/>
        </w:rPr>
      </w:pPr>
    </w:p>
    <w:p w14:paraId="600DAC23" w14:textId="77777777" w:rsidR="00000000" w:rsidRDefault="000A3118">
      <w:pPr>
        <w:jc w:val="center"/>
        <w:divId w:val="2039693676"/>
        <w:rPr>
          <w:rFonts w:eastAsia="Times New Roman"/>
        </w:rPr>
      </w:pPr>
      <w:r>
        <w:rPr>
          <w:rFonts w:eastAsia="Times New Roman"/>
          <w:color w:val="000000"/>
          <w:sz w:val="20"/>
          <w:szCs w:val="20"/>
        </w:rPr>
        <w:t>6</w:t>
      </w:r>
    </w:p>
    <w:p w14:paraId="07919AED" w14:textId="77777777" w:rsidR="00000000" w:rsidRDefault="000A3118">
      <w:pPr>
        <w:rPr>
          <w:rFonts w:eastAsia="Times New Roman"/>
        </w:rPr>
      </w:pPr>
      <w:r>
        <w:rPr>
          <w:rFonts w:eastAsia="Times New Roman"/>
        </w:rPr>
        <w:pict w14:anchorId="527FA1B8">
          <v:rect id="_x0000_i1034" style="width:0;height:1.5pt" o:hralign="center" o:hrstd="t" o:hr="t" fillcolor="#a0a0a0" stroked="f"/>
        </w:pict>
      </w:r>
    </w:p>
    <w:p w14:paraId="77F13243" w14:textId="77777777" w:rsidR="00000000" w:rsidRDefault="000A3118">
      <w:pPr>
        <w:divId w:val="187912918"/>
        <w:rPr>
          <w:rFonts w:eastAsia="Times New Roman"/>
        </w:rPr>
      </w:pPr>
    </w:p>
    <w:p w14:paraId="7B222F12" w14:textId="77777777" w:rsidR="00000000" w:rsidRDefault="000A3118">
      <w:pPr>
        <w:jc w:val="center"/>
        <w:rPr>
          <w:rFonts w:eastAsia="Times New Roman"/>
        </w:rPr>
      </w:pPr>
      <w:r>
        <w:rPr>
          <w:rFonts w:eastAsia="Times New Roman"/>
          <w:b/>
          <w:bCs/>
          <w:color w:val="000000"/>
          <w:sz w:val="20"/>
          <w:szCs w:val="20"/>
        </w:rPr>
        <w:t>World Fuel Services Corporation</w:t>
      </w:r>
    </w:p>
    <w:p w14:paraId="6974B3C2" w14:textId="77777777" w:rsidR="00000000" w:rsidRDefault="000A3118">
      <w:pPr>
        <w:jc w:val="center"/>
        <w:rPr>
          <w:rFonts w:eastAsia="Times New Roman"/>
        </w:rPr>
      </w:pPr>
      <w:r>
        <w:rPr>
          <w:rFonts w:eastAsia="Times New Roman"/>
          <w:b/>
          <w:bCs/>
          <w:color w:val="000000"/>
          <w:sz w:val="20"/>
          <w:szCs w:val="20"/>
        </w:rPr>
        <w:t>Notes to the Consolidated Financial Statements</w:t>
      </w:r>
    </w:p>
    <w:p w14:paraId="3D20FACF" w14:textId="77777777" w:rsidR="00000000" w:rsidRDefault="000A3118">
      <w:pPr>
        <w:jc w:val="center"/>
        <w:rPr>
          <w:rFonts w:eastAsia="Times New Roman"/>
        </w:rPr>
      </w:pPr>
      <w:r>
        <w:rPr>
          <w:rFonts w:eastAsia="Times New Roman"/>
          <w:color w:val="000000"/>
          <w:sz w:val="20"/>
          <w:szCs w:val="20"/>
        </w:rPr>
        <w:t>(Unaudited) </w:t>
      </w:r>
    </w:p>
    <w:p w14:paraId="3542AF2A" w14:textId="77777777" w:rsidR="00000000" w:rsidRDefault="000A3118">
      <w:pPr>
        <w:jc w:val="both"/>
        <w:rPr>
          <w:rFonts w:eastAsia="Times New Roman"/>
        </w:rPr>
      </w:pPr>
    </w:p>
    <w:p w14:paraId="5A46C189" w14:textId="77777777" w:rsidR="00000000" w:rsidRDefault="000A3118">
      <w:pPr>
        <w:jc w:val="both"/>
        <w:rPr>
          <w:rFonts w:eastAsia="Times New Roman"/>
        </w:rPr>
      </w:pPr>
      <w:r>
        <w:rPr>
          <w:rFonts w:eastAsia="Times New Roman"/>
          <w:b/>
          <w:bCs/>
          <w:color w:val="000000"/>
          <w:sz w:val="20"/>
          <w:szCs w:val="20"/>
        </w:rPr>
        <w:t>1. Basis of Presentation</w:t>
      </w:r>
      <w:r>
        <w:rPr>
          <w:rFonts w:eastAsia="Times New Roman"/>
          <w:b/>
          <w:bCs/>
          <w:color w:val="000000"/>
          <w:sz w:val="20"/>
          <w:szCs w:val="20"/>
        </w:rPr>
        <w:t xml:space="preserve"> and Significant Accounting Policies</w:t>
      </w:r>
    </w:p>
    <w:p w14:paraId="677B9875" w14:textId="77777777" w:rsidR="00000000" w:rsidRDefault="000A3118">
      <w:pPr>
        <w:ind w:firstLine="1080"/>
        <w:jc w:val="both"/>
        <w:rPr>
          <w:rFonts w:eastAsia="Times New Roman"/>
        </w:rPr>
      </w:pPr>
      <w:r>
        <w:rPr>
          <w:rFonts w:eastAsia="Times New Roman"/>
          <w:color w:val="000000"/>
          <w:sz w:val="20"/>
          <w:szCs w:val="20"/>
        </w:rPr>
        <w:t> </w:t>
      </w:r>
    </w:p>
    <w:p w14:paraId="0B94ABBB" w14:textId="77777777" w:rsidR="00000000" w:rsidRDefault="000A3118">
      <w:pPr>
        <w:jc w:val="both"/>
        <w:rPr>
          <w:rFonts w:eastAsia="Times New Roman"/>
        </w:rPr>
      </w:pPr>
      <w:r>
        <w:rPr>
          <w:rFonts w:eastAsia="Times New Roman"/>
          <w:b/>
          <w:bCs/>
          <w:color w:val="000000"/>
          <w:sz w:val="20"/>
          <w:szCs w:val="20"/>
        </w:rPr>
        <w:t>    General</w:t>
      </w:r>
    </w:p>
    <w:p w14:paraId="618CD5A3" w14:textId="77777777" w:rsidR="00000000" w:rsidRDefault="000A3118">
      <w:pPr>
        <w:jc w:val="both"/>
        <w:rPr>
          <w:rFonts w:eastAsia="Times New Roman"/>
        </w:rPr>
      </w:pPr>
    </w:p>
    <w:p w14:paraId="72ECAA99" w14:textId="77777777" w:rsidR="00000000" w:rsidRDefault="000A3118">
      <w:pPr>
        <w:jc w:val="both"/>
        <w:rPr>
          <w:rFonts w:eastAsia="Times New Roman"/>
        </w:rPr>
      </w:pPr>
      <w:r>
        <w:rPr>
          <w:rFonts w:eastAsia="Times New Roman"/>
          <w:color w:val="000000"/>
          <w:sz w:val="20"/>
          <w:szCs w:val="20"/>
        </w:rPr>
        <w:t>    World Fuel Services Corporation (the “Company”</w:t>
      </w:r>
      <w:r>
        <w:rPr>
          <w:rFonts w:eastAsia="Times New Roman"/>
          <w:color w:val="000000"/>
          <w:sz w:val="20"/>
          <w:szCs w:val="20"/>
        </w:rPr>
        <w:t xml:space="preserve">) was incorporated in Florida in July 1984 and along with its consolidated subsidiaries is referred to collectively in this Quarterly Report on Form 10-Q (“10-Q Report”) as “World Fuel,” “we,” “our” and “us.” </w:t>
      </w:r>
    </w:p>
    <w:p w14:paraId="7C59AE5B" w14:textId="77777777" w:rsidR="00000000" w:rsidRDefault="000A3118">
      <w:pPr>
        <w:jc w:val="both"/>
        <w:rPr>
          <w:rFonts w:eastAsia="Times New Roman"/>
        </w:rPr>
      </w:pPr>
    </w:p>
    <w:p w14:paraId="1782E627" w14:textId="77777777" w:rsidR="00000000" w:rsidRDefault="000A3118">
      <w:pPr>
        <w:ind w:firstLine="360"/>
        <w:jc w:val="both"/>
        <w:rPr>
          <w:rFonts w:eastAsia="Times New Roman"/>
        </w:rPr>
      </w:pPr>
      <w:r>
        <w:rPr>
          <w:rFonts w:eastAsia="Times New Roman"/>
          <w:color w:val="000000"/>
          <w:sz w:val="20"/>
          <w:szCs w:val="20"/>
        </w:rPr>
        <w:t>We are a leading global fuel services compan</w:t>
      </w:r>
      <w:r>
        <w:rPr>
          <w:rFonts w:eastAsia="Times New Roman"/>
          <w:color w:val="000000"/>
          <w:sz w:val="20"/>
          <w:szCs w:val="20"/>
        </w:rPr>
        <w:t>y, principally engaged in the distribution of fuel and related products and services in the aviation, land and marine transportation industries. In recent years, we have expanded our land product and service offerings to include energy advisory services an</w:t>
      </w:r>
      <w:r>
        <w:rPr>
          <w:rFonts w:eastAsia="Times New Roman"/>
          <w:color w:val="000000"/>
          <w:sz w:val="20"/>
          <w:szCs w:val="20"/>
        </w:rPr>
        <w:t>d supply fulfillment for natural gas and power to commercial, industrial and government customers. Our intention is to become a leading global energy management company offering a full suite of energy advisory, management and fulfillment services, technolo</w:t>
      </w:r>
      <w:r>
        <w:rPr>
          <w:rFonts w:eastAsia="Times New Roman"/>
          <w:color w:val="000000"/>
          <w:sz w:val="20"/>
          <w:szCs w:val="20"/>
        </w:rPr>
        <w:t>gy solutions, as well as sustainability products and services across the energy product spectrum. We also offer payment management solutions, principally in the aviation industry. We will continue to focus on enhancing the portfolio of products and service</w:t>
      </w:r>
      <w:r>
        <w:rPr>
          <w:rFonts w:eastAsia="Times New Roman"/>
          <w:color w:val="000000"/>
          <w:sz w:val="20"/>
          <w:szCs w:val="20"/>
        </w:rPr>
        <w:t>s we provide based on changes in customer demand, including sustainability offerings and renewable energy solutions.</w:t>
      </w:r>
    </w:p>
    <w:p w14:paraId="13C41AD8" w14:textId="77777777" w:rsidR="00000000" w:rsidRDefault="000A3118">
      <w:pPr>
        <w:jc w:val="both"/>
        <w:rPr>
          <w:rFonts w:eastAsia="Times New Roman"/>
        </w:rPr>
      </w:pPr>
    </w:p>
    <w:p w14:paraId="65469E8B" w14:textId="77777777" w:rsidR="00000000" w:rsidRDefault="000A3118">
      <w:pPr>
        <w:ind w:firstLine="360"/>
        <w:jc w:val="both"/>
        <w:rPr>
          <w:rFonts w:eastAsia="Times New Roman"/>
        </w:rPr>
      </w:pPr>
      <w:r>
        <w:rPr>
          <w:rFonts w:eastAsia="Times New Roman"/>
          <w:color w:val="000000"/>
          <w:sz w:val="20"/>
          <w:szCs w:val="20"/>
        </w:rPr>
        <w:t>We prepared our Consolidated Financial Statements following the requirements of the United States (“U.S.”) Securities and Exchange Commis</w:t>
      </w:r>
      <w:r>
        <w:rPr>
          <w:rFonts w:eastAsia="Times New Roman"/>
          <w:color w:val="000000"/>
          <w:sz w:val="20"/>
          <w:szCs w:val="20"/>
        </w:rPr>
        <w:t xml:space="preserve">sion (“SEC”) for interim reporting. As permitted under those rules, certain footnotes or other financial information that are normally required by accounting principles generally accepted in the U.S. (“U.S. GAAP”) can be condensed or omitted. </w:t>
      </w:r>
    </w:p>
    <w:p w14:paraId="613D1EAC" w14:textId="77777777" w:rsidR="00000000" w:rsidRDefault="000A3118">
      <w:pPr>
        <w:ind w:firstLine="1080"/>
        <w:jc w:val="both"/>
        <w:rPr>
          <w:rFonts w:eastAsia="Times New Roman"/>
        </w:rPr>
      </w:pPr>
    </w:p>
    <w:p w14:paraId="00CEA712" w14:textId="77777777" w:rsidR="00000000" w:rsidRDefault="000A3118">
      <w:pPr>
        <w:ind w:firstLine="360"/>
        <w:jc w:val="both"/>
        <w:rPr>
          <w:rFonts w:eastAsia="Times New Roman"/>
        </w:rPr>
      </w:pPr>
      <w:r>
        <w:rPr>
          <w:rFonts w:eastAsia="Times New Roman"/>
          <w:color w:val="000000"/>
          <w:sz w:val="20"/>
          <w:szCs w:val="20"/>
        </w:rPr>
        <w:t xml:space="preserve">Revenues, </w:t>
      </w:r>
      <w:r>
        <w:rPr>
          <w:rFonts w:eastAsia="Times New Roman"/>
          <w:color w:val="000000"/>
          <w:sz w:val="20"/>
          <w:szCs w:val="20"/>
        </w:rPr>
        <w:t>expenses, assets and liabilities can vary during each quarter of the year. Therefore, the results and trends in these interim financial statements may not be representative of those for the full year. In our opinion, all adjustments necessary for a fair st</w:t>
      </w:r>
      <w:r>
        <w:rPr>
          <w:rFonts w:eastAsia="Times New Roman"/>
          <w:color w:val="000000"/>
          <w:sz w:val="20"/>
          <w:szCs w:val="20"/>
        </w:rPr>
        <w:t>atement of the financial statements, which are of a normal and recurring nature, have been made for the interim periods reported. The information included in this 10-Q Report should be read in conjunction with the Consolidated Financial Statements and acco</w:t>
      </w:r>
      <w:r>
        <w:rPr>
          <w:rFonts w:eastAsia="Times New Roman"/>
          <w:color w:val="000000"/>
          <w:sz w:val="20"/>
          <w:szCs w:val="20"/>
        </w:rPr>
        <w:t>mpanying notes included in our 2019 Annual Report on Form 10-K (“2019 10-K Report”). Certain amounts in the Consolidated Financial Statements and accompanying notes may not add due to rounding. All percentages have been calculated using unrounded amounts.</w:t>
      </w:r>
    </w:p>
    <w:p w14:paraId="12EC1750" w14:textId="77777777" w:rsidR="00000000" w:rsidRDefault="000A3118">
      <w:pPr>
        <w:ind w:firstLine="360"/>
        <w:jc w:val="both"/>
        <w:rPr>
          <w:rFonts w:eastAsia="Times New Roman"/>
        </w:rPr>
      </w:pPr>
    </w:p>
    <w:p w14:paraId="06470D44" w14:textId="77777777" w:rsidR="00000000" w:rsidRDefault="000A3118">
      <w:pPr>
        <w:ind w:firstLine="360"/>
        <w:jc w:val="both"/>
        <w:rPr>
          <w:rFonts w:eastAsia="Times New Roman"/>
        </w:rPr>
      </w:pPr>
      <w:r>
        <w:rPr>
          <w:rFonts w:eastAsia="Times New Roman"/>
          <w:b/>
          <w:bCs/>
          <w:color w:val="000000"/>
          <w:sz w:val="20"/>
          <w:szCs w:val="20"/>
        </w:rPr>
        <w:t>COVID-19</w:t>
      </w:r>
    </w:p>
    <w:p w14:paraId="6ED4A754" w14:textId="77777777" w:rsidR="00000000" w:rsidRDefault="000A3118">
      <w:pPr>
        <w:ind w:firstLine="360"/>
        <w:jc w:val="both"/>
        <w:rPr>
          <w:rFonts w:eastAsia="Times New Roman"/>
        </w:rPr>
      </w:pPr>
    </w:p>
    <w:p w14:paraId="6F243DDB" w14:textId="77777777" w:rsidR="00000000" w:rsidRDefault="000A3118">
      <w:pPr>
        <w:ind w:firstLine="360"/>
        <w:jc w:val="both"/>
        <w:rPr>
          <w:rFonts w:eastAsia="Times New Roman"/>
        </w:rPr>
      </w:pPr>
      <w:r>
        <w:rPr>
          <w:rFonts w:eastAsia="Times New Roman"/>
          <w:color w:val="000000"/>
          <w:sz w:val="20"/>
          <w:szCs w:val="20"/>
        </w:rPr>
        <w:t>The outbreak of COVID-19, which was declared a pandemic by the World Health Organization in March 2020, has created significant volatility, uncertainty and disruption in the global economy. The rapid spread of the virus caused governments arou</w:t>
      </w:r>
      <w:r>
        <w:rPr>
          <w:rFonts w:eastAsia="Times New Roman"/>
          <w:color w:val="000000"/>
          <w:sz w:val="20"/>
          <w:szCs w:val="20"/>
        </w:rPr>
        <w:t>nd the world to implement stringent measures to help control its spread, including, without limitation, quarantines, “stay-at-home” or “shelter-in-place” orders, social-distancing mandates, travel restrictions, and closures or reduced operations for busine</w:t>
      </w:r>
      <w:r>
        <w:rPr>
          <w:rFonts w:eastAsia="Times New Roman"/>
          <w:color w:val="000000"/>
          <w:sz w:val="20"/>
          <w:szCs w:val="20"/>
        </w:rPr>
        <w:t xml:space="preserve">sses, governmental agencies, schools and other institutions, among others. </w:t>
      </w:r>
    </w:p>
    <w:p w14:paraId="5C65F836" w14:textId="77777777" w:rsidR="00000000" w:rsidRDefault="000A3118">
      <w:pPr>
        <w:ind w:firstLine="360"/>
        <w:jc w:val="both"/>
        <w:rPr>
          <w:rFonts w:eastAsia="Times New Roman"/>
        </w:rPr>
      </w:pPr>
    </w:p>
    <w:p w14:paraId="4EF020FC" w14:textId="77777777" w:rsidR="00000000" w:rsidRDefault="000A3118">
      <w:pPr>
        <w:ind w:firstLine="360"/>
        <w:jc w:val="both"/>
        <w:rPr>
          <w:rFonts w:eastAsia="Times New Roman"/>
        </w:rPr>
      </w:pPr>
      <w:r>
        <w:rPr>
          <w:rFonts w:eastAsia="Times New Roman"/>
          <w:color w:val="000000"/>
          <w:sz w:val="20"/>
          <w:szCs w:val="20"/>
        </w:rPr>
        <w:t>Beginning in the first quarter of 2020 and through the date of this filing, the aviation, marine and land transportation industries, along with global economic conditions general</w:t>
      </w:r>
      <w:r>
        <w:rPr>
          <w:rFonts w:eastAsia="Times New Roman"/>
          <w:color w:val="000000"/>
          <w:sz w:val="20"/>
          <w:szCs w:val="20"/>
        </w:rPr>
        <w:t>ly, have been significantly impacted by the pandemic. A large number of our customers in these industries have experienced substantial decline in business activity, especially commercial airlines and cruise lines, which have been particularly impacted by o</w:t>
      </w:r>
      <w:r>
        <w:rPr>
          <w:rFonts w:eastAsia="Times New Roman"/>
          <w:color w:val="000000"/>
          <w:sz w:val="20"/>
          <w:szCs w:val="20"/>
        </w:rPr>
        <w:t>ngoing travel restrictions. Customers in our marine and land segments have also been adversely affected by these restrictions and the reduction in operations of various businesses in affected regions. Furthermore, government measures and other supply-relat</w:t>
      </w:r>
      <w:r>
        <w:rPr>
          <w:rFonts w:eastAsia="Times New Roman"/>
          <w:color w:val="000000"/>
          <w:sz w:val="20"/>
          <w:szCs w:val="20"/>
        </w:rPr>
        <w:t>ed factors have also led to a precipitous decline and historic volatility in fuel prices in response to concerns about demand for fuel. In response to these developments, we took swift action to ensure the safety of our employees and other stakeholders and</w:t>
      </w:r>
      <w:r>
        <w:rPr>
          <w:rFonts w:eastAsia="Times New Roman"/>
          <w:color w:val="000000"/>
          <w:sz w:val="20"/>
          <w:szCs w:val="20"/>
        </w:rPr>
        <w:t xml:space="preserve"> initiated a number of initiatives relating to cost reduction, liquidity and operating efficiencies.</w:t>
      </w:r>
    </w:p>
    <w:p w14:paraId="6D2E3691" w14:textId="77777777" w:rsidR="00000000" w:rsidRDefault="000A3118">
      <w:pPr>
        <w:ind w:firstLine="360"/>
        <w:jc w:val="both"/>
        <w:rPr>
          <w:rFonts w:eastAsia="Times New Roman"/>
        </w:rPr>
      </w:pPr>
    </w:p>
    <w:p w14:paraId="20F03C68" w14:textId="77777777" w:rsidR="00000000" w:rsidRDefault="000A3118">
      <w:pPr>
        <w:ind w:firstLine="360"/>
        <w:jc w:val="both"/>
        <w:rPr>
          <w:rFonts w:eastAsia="Times New Roman"/>
        </w:rPr>
      </w:pPr>
      <w:r>
        <w:rPr>
          <w:rFonts w:eastAsia="Times New Roman"/>
          <w:color w:val="000000"/>
          <w:sz w:val="20"/>
          <w:szCs w:val="20"/>
        </w:rPr>
        <w:t>While the pandemic and associated impacts on economic activity had a limited adverse effect on our results of operations and financial condition in the b</w:t>
      </w:r>
      <w:r>
        <w:rPr>
          <w:rFonts w:eastAsia="Times New Roman"/>
          <w:color w:val="000000"/>
          <w:sz w:val="20"/>
          <w:szCs w:val="20"/>
        </w:rPr>
        <w:t>eginning of 2020, we experienced a sharp decline in demand and related sales during the second quarter, as large sectors of the global economy were adversely impacted by the crisis. Accordingly, during the first quarter of 2020, we commenced a restructurin</w:t>
      </w:r>
      <w:r>
        <w:rPr>
          <w:rFonts w:eastAsia="Times New Roman"/>
          <w:color w:val="000000"/>
          <w:sz w:val="20"/>
          <w:szCs w:val="20"/>
        </w:rPr>
        <w:t>g initiative focused on further streamlining our operations and sharpening our deployment of resources, not only in our land segment but also in our other segments due to the adverse impacts of the pandemic. During the second quarter of 2020, we expanded t</w:t>
      </w:r>
      <w:r>
        <w:rPr>
          <w:rFonts w:eastAsia="Times New Roman"/>
          <w:color w:val="000000"/>
          <w:sz w:val="20"/>
          <w:szCs w:val="20"/>
        </w:rPr>
        <w:t xml:space="preserve">his restructuring to include the rationalization of our global office footprint and approved the abandonment of certain office leases, including the transition of select offices to smaller or more cost-effective </w:t>
      </w:r>
    </w:p>
    <w:p w14:paraId="3B4A32A1" w14:textId="77777777" w:rsidR="00000000" w:rsidRDefault="000A3118">
      <w:pPr>
        <w:jc w:val="center"/>
        <w:divId w:val="1761632901"/>
        <w:rPr>
          <w:rFonts w:eastAsia="Times New Roman"/>
        </w:rPr>
      </w:pPr>
      <w:r>
        <w:rPr>
          <w:rFonts w:eastAsia="Times New Roman"/>
          <w:color w:val="000000"/>
          <w:sz w:val="20"/>
          <w:szCs w:val="20"/>
        </w:rPr>
        <w:t>7</w:t>
      </w:r>
    </w:p>
    <w:p w14:paraId="288523F4" w14:textId="77777777" w:rsidR="00000000" w:rsidRDefault="000A3118">
      <w:pPr>
        <w:rPr>
          <w:rFonts w:eastAsia="Times New Roman"/>
        </w:rPr>
      </w:pPr>
      <w:r>
        <w:rPr>
          <w:rFonts w:eastAsia="Times New Roman"/>
        </w:rPr>
        <w:pict w14:anchorId="056C0423">
          <v:rect id="_x0000_i1035" style="width:0;height:1.5pt" o:hralign="center" o:hrstd="t" o:hr="t" fillcolor="#a0a0a0" stroked="f"/>
        </w:pict>
      </w:r>
    </w:p>
    <w:p w14:paraId="16C11CD6" w14:textId="77777777" w:rsidR="00000000" w:rsidRDefault="000A3118">
      <w:pPr>
        <w:divId w:val="552622657"/>
        <w:rPr>
          <w:rFonts w:eastAsia="Times New Roman"/>
        </w:rPr>
      </w:pPr>
    </w:p>
    <w:p w14:paraId="097C0561" w14:textId="77777777" w:rsidR="00000000" w:rsidRDefault="000A3118">
      <w:pPr>
        <w:jc w:val="both"/>
        <w:rPr>
          <w:rFonts w:eastAsia="Times New Roman"/>
        </w:rPr>
      </w:pPr>
      <w:r>
        <w:rPr>
          <w:rFonts w:eastAsia="Times New Roman"/>
          <w:color w:val="000000"/>
          <w:sz w:val="20"/>
          <w:szCs w:val="20"/>
        </w:rPr>
        <w:t>lo</w:t>
      </w:r>
      <w:r>
        <w:rPr>
          <w:rFonts w:eastAsia="Times New Roman"/>
          <w:color w:val="000000"/>
          <w:sz w:val="20"/>
          <w:szCs w:val="20"/>
        </w:rPr>
        <w:t>cations. While demand showed some moderate improvement during the third quarter of 2020, our results remained well below pre-pandemic levels.</w:t>
      </w:r>
    </w:p>
    <w:p w14:paraId="75E70039" w14:textId="77777777" w:rsidR="00000000" w:rsidRDefault="000A3118">
      <w:pPr>
        <w:ind w:firstLine="360"/>
        <w:jc w:val="both"/>
        <w:rPr>
          <w:rFonts w:eastAsia="Times New Roman"/>
        </w:rPr>
      </w:pPr>
    </w:p>
    <w:p w14:paraId="3A008E6F" w14:textId="77777777" w:rsidR="00000000" w:rsidRDefault="000A3118">
      <w:pPr>
        <w:ind w:firstLine="360"/>
        <w:jc w:val="both"/>
        <w:rPr>
          <w:rFonts w:eastAsia="Times New Roman"/>
        </w:rPr>
      </w:pPr>
      <w:r>
        <w:rPr>
          <w:rFonts w:eastAsia="Times New Roman"/>
          <w:color w:val="000000"/>
          <w:sz w:val="20"/>
          <w:szCs w:val="20"/>
        </w:rPr>
        <w:t xml:space="preserve">We make estimates and assumptions that affect the reported amounts on our financial statements and accompanying </w:t>
      </w:r>
      <w:r>
        <w:rPr>
          <w:rFonts w:eastAsia="Times New Roman"/>
          <w:color w:val="000000"/>
          <w:sz w:val="20"/>
          <w:szCs w:val="20"/>
        </w:rPr>
        <w:t>notes as of the date of the financial statements. We assessed accounting estimates that require consideration of forecasted financial information, including, but not limited to, our allowance for credit losses, the recoverability of the carrying value of o</w:t>
      </w:r>
      <w:r>
        <w:rPr>
          <w:rFonts w:eastAsia="Times New Roman"/>
          <w:color w:val="000000"/>
          <w:sz w:val="20"/>
          <w:szCs w:val="20"/>
        </w:rPr>
        <w:t>ur goodwill, intangible assets, and other long-lived assets. These assessments were conducted in the context of information reasonably available to us, as well as our consideration of the future potential impacts of COVID-19 on our business as of September</w:t>
      </w:r>
      <w:r>
        <w:rPr>
          <w:rFonts w:eastAsia="Times New Roman"/>
          <w:color w:val="000000"/>
          <w:sz w:val="20"/>
          <w:szCs w:val="20"/>
        </w:rPr>
        <w:t xml:space="preserve"> 30, 2020. Based on the available information, as of September 30, 2020, we concluded that no impairment of long-lived assets, intangibles or goodwill was recognized. However, at this time, we are unable to predict with specificity the ultimate impact of t</w:t>
      </w:r>
      <w:r>
        <w:rPr>
          <w:rFonts w:eastAsia="Times New Roman"/>
          <w:color w:val="000000"/>
          <w:sz w:val="20"/>
          <w:szCs w:val="20"/>
        </w:rPr>
        <w:t xml:space="preserve">he crisis, as it will depend on the magnitude, severity and duration of the pandemic, as well as how quickly, and to what extent, normal economic and operating conditions resume on a sustainable basis globally. Accordingly, if the impact is more severe or </w:t>
      </w:r>
      <w:r>
        <w:rPr>
          <w:rFonts w:eastAsia="Times New Roman"/>
          <w:color w:val="000000"/>
          <w:sz w:val="20"/>
          <w:szCs w:val="20"/>
        </w:rPr>
        <w:t>longer in duration than we have assumed, such impact could potentially result in impairments or increases in credit allowances.</w:t>
      </w:r>
    </w:p>
    <w:p w14:paraId="4264F863" w14:textId="77777777" w:rsidR="00000000" w:rsidRDefault="000A3118">
      <w:pPr>
        <w:ind w:firstLine="360"/>
        <w:jc w:val="both"/>
        <w:rPr>
          <w:rFonts w:eastAsia="Times New Roman"/>
        </w:rPr>
      </w:pPr>
    </w:p>
    <w:p w14:paraId="3699D36B" w14:textId="77777777" w:rsidR="00000000" w:rsidRDefault="000A3118">
      <w:pPr>
        <w:ind w:firstLine="360"/>
        <w:jc w:val="both"/>
        <w:rPr>
          <w:rFonts w:eastAsia="Times New Roman"/>
        </w:rPr>
      </w:pPr>
      <w:r>
        <w:rPr>
          <w:rFonts w:eastAsia="Times New Roman"/>
          <w:b/>
          <w:bCs/>
          <w:color w:val="000000"/>
          <w:sz w:val="20"/>
          <w:szCs w:val="20"/>
        </w:rPr>
        <w:t>Significant Accounting Policies</w:t>
      </w:r>
    </w:p>
    <w:p w14:paraId="46508776" w14:textId="77777777" w:rsidR="00000000" w:rsidRDefault="000A3118">
      <w:pPr>
        <w:ind w:firstLine="360"/>
        <w:jc w:val="both"/>
        <w:rPr>
          <w:rFonts w:eastAsia="Times New Roman"/>
        </w:rPr>
      </w:pPr>
    </w:p>
    <w:p w14:paraId="1A69A0AC" w14:textId="77777777" w:rsidR="00000000" w:rsidRDefault="000A3118">
      <w:pPr>
        <w:jc w:val="both"/>
        <w:rPr>
          <w:rFonts w:eastAsia="Times New Roman"/>
        </w:rPr>
      </w:pPr>
      <w:r>
        <w:rPr>
          <w:rFonts w:eastAsia="Times New Roman"/>
          <w:color w:val="000000"/>
          <w:sz w:val="20"/>
          <w:szCs w:val="20"/>
        </w:rPr>
        <w:t>    There have been no significant changes, other than those related to the adopted new acco</w:t>
      </w:r>
      <w:r>
        <w:rPr>
          <w:rFonts w:eastAsia="Times New Roman"/>
          <w:color w:val="000000"/>
          <w:sz w:val="20"/>
          <w:szCs w:val="20"/>
        </w:rPr>
        <w:t>unting standards below, in the Company's accounting policies from those disclosed in our 2019 10-K Report. The significant accounting policies we use for quarterly financial reporting are disclosed in Note 1. Basis of Presentation, New Accounting Standards</w:t>
      </w:r>
      <w:r>
        <w:rPr>
          <w:rFonts w:eastAsia="Times New Roman"/>
          <w:color w:val="000000"/>
          <w:sz w:val="20"/>
          <w:szCs w:val="20"/>
        </w:rPr>
        <w:t xml:space="preserve"> and Significant Accounting Policies of the accompanying notes to the Consolidated Financial Statements included in our 2019 10-K Report, and in the section below Adoption of New Accounting Standards.</w:t>
      </w:r>
    </w:p>
    <w:p w14:paraId="6145A20D" w14:textId="77777777" w:rsidR="00000000" w:rsidRDefault="000A3118">
      <w:pPr>
        <w:ind w:firstLine="360"/>
        <w:jc w:val="both"/>
        <w:rPr>
          <w:rFonts w:eastAsia="Times New Roman"/>
        </w:rPr>
      </w:pPr>
    </w:p>
    <w:p w14:paraId="4766B612" w14:textId="77777777" w:rsidR="00000000" w:rsidRDefault="000A3118">
      <w:pPr>
        <w:ind w:firstLine="360"/>
        <w:jc w:val="both"/>
        <w:divId w:val="517424801"/>
        <w:rPr>
          <w:rFonts w:eastAsia="Times New Roman"/>
        </w:rPr>
      </w:pPr>
      <w:r>
        <w:rPr>
          <w:rFonts w:eastAsia="Times New Roman"/>
          <w:b/>
          <w:bCs/>
          <w:color w:val="000000"/>
          <w:sz w:val="20"/>
          <w:szCs w:val="20"/>
        </w:rPr>
        <w:t>Adoption of New Accounting Standards</w:t>
      </w:r>
    </w:p>
    <w:p w14:paraId="4A63B937" w14:textId="77777777" w:rsidR="00000000" w:rsidRDefault="000A3118">
      <w:pPr>
        <w:ind w:firstLine="360"/>
        <w:jc w:val="both"/>
        <w:rPr>
          <w:rFonts w:eastAsia="Times New Roman"/>
        </w:rPr>
      </w:pPr>
      <w:r>
        <w:rPr>
          <w:rFonts w:eastAsia="Times New Roman"/>
          <w:color w:val="000000"/>
          <w:sz w:val="20"/>
          <w:szCs w:val="20"/>
        </w:rPr>
        <w:t xml:space="preserve">We included below a description of recent new accounting standards or accounting standards updates that had an impact on the Company’s Consolidated Financial Statements. New accounting standards or accounting standards </w:t>
      </w:r>
      <w:r>
        <w:rPr>
          <w:rFonts w:eastAsia="Times New Roman"/>
          <w:color w:val="000000"/>
          <w:sz w:val="20"/>
          <w:szCs w:val="20"/>
        </w:rPr>
        <w:t>updates not listed below were assessed and determined to be either not applicable or did not have a material impact on the Company’s Consolidated Financial Statements or processes.</w:t>
      </w:r>
    </w:p>
    <w:p w14:paraId="6EC5434D" w14:textId="77777777" w:rsidR="00000000" w:rsidRDefault="000A3118">
      <w:pPr>
        <w:ind w:firstLine="360"/>
        <w:jc w:val="both"/>
        <w:rPr>
          <w:rFonts w:eastAsia="Times New Roman"/>
        </w:rPr>
      </w:pPr>
    </w:p>
    <w:p w14:paraId="20B3D663" w14:textId="77777777" w:rsidR="00000000" w:rsidRDefault="000A3118">
      <w:pPr>
        <w:ind w:firstLine="360"/>
        <w:jc w:val="both"/>
        <w:divId w:val="647902366"/>
        <w:rPr>
          <w:rFonts w:eastAsia="Times New Roman"/>
        </w:rPr>
      </w:pPr>
      <w:r>
        <w:rPr>
          <w:rFonts w:eastAsia="Times New Roman"/>
          <w:i/>
          <w:iCs/>
          <w:color w:val="000000"/>
          <w:sz w:val="20"/>
          <w:szCs w:val="20"/>
        </w:rPr>
        <w:t>Financial Instruments-Credit Losses (Topic 326): Measurement of Credit Lo</w:t>
      </w:r>
      <w:r>
        <w:rPr>
          <w:rFonts w:eastAsia="Times New Roman"/>
          <w:i/>
          <w:iCs/>
          <w:color w:val="000000"/>
          <w:sz w:val="20"/>
          <w:szCs w:val="20"/>
        </w:rPr>
        <w:t>sses on Financial Instruments.</w:t>
      </w:r>
      <w:r>
        <w:rPr>
          <w:rFonts w:eastAsia="Times New Roman"/>
          <w:color w:val="000000"/>
          <w:sz w:val="20"/>
          <w:szCs w:val="20"/>
        </w:rPr>
        <w:t xml:space="preserve"> In June 2016, Accounting Standards Update ("ASU") 2016-13 was issued, which replaced the incurred loss impairment model with a model that reflects expected credit losses over the lifetime of the asset and requires considerati</w:t>
      </w:r>
      <w:r>
        <w:rPr>
          <w:rFonts w:eastAsia="Times New Roman"/>
          <w:color w:val="000000"/>
          <w:sz w:val="20"/>
          <w:szCs w:val="20"/>
        </w:rPr>
        <w:t>on of a broader range of reasonable and supportable information to determine credit loss estimates. The guidance in this update, including the subsequent related codification amendments, changed how entities account for credit impairment from trade and oth</w:t>
      </w:r>
      <w:r>
        <w:rPr>
          <w:rFonts w:eastAsia="Times New Roman"/>
          <w:color w:val="000000"/>
          <w:sz w:val="20"/>
          <w:szCs w:val="20"/>
        </w:rPr>
        <w:t>er receivables, net investments arising from sales-type and direct financing leases, debt securities, purchased-credit impaired financial assets and other instruments in addition to loans. For receivables and certain other instruments that are not measured</w:t>
      </w:r>
      <w:r>
        <w:rPr>
          <w:rFonts w:eastAsia="Times New Roman"/>
          <w:color w:val="000000"/>
          <w:sz w:val="20"/>
          <w:szCs w:val="20"/>
        </w:rPr>
        <w:t xml:space="preserve"> at fair value, entities are required to estimate expected credit losses. Under the expected loss model, an entity recognizes a loss upon initial recognition of the asset that reflects all future events that could lead to a loss being realized, regardless </w:t>
      </w:r>
      <w:r>
        <w:rPr>
          <w:rFonts w:eastAsia="Times New Roman"/>
          <w:color w:val="000000"/>
          <w:sz w:val="20"/>
          <w:szCs w:val="20"/>
        </w:rPr>
        <w:t>of whether it is probable that the future event will occur.</w:t>
      </w:r>
    </w:p>
    <w:p w14:paraId="2E345FB8" w14:textId="77777777" w:rsidR="00000000" w:rsidRDefault="000A3118">
      <w:pPr>
        <w:ind w:firstLine="360"/>
        <w:jc w:val="both"/>
        <w:divId w:val="697507746"/>
        <w:rPr>
          <w:rFonts w:eastAsia="Times New Roman"/>
        </w:rPr>
      </w:pPr>
      <w:r>
        <w:rPr>
          <w:rFonts w:eastAsia="Times New Roman"/>
          <w:color w:val="000000"/>
          <w:sz w:val="20"/>
          <w:szCs w:val="20"/>
        </w:rPr>
        <w:t>The Company adopted</w:t>
      </w:r>
      <w:r>
        <w:rPr>
          <w:rFonts w:eastAsia="Times New Roman"/>
          <w:color w:val="000000"/>
          <w:sz w:val="20"/>
          <w:szCs w:val="20"/>
        </w:rPr>
        <w:t xml:space="preserve"> </w:t>
      </w:r>
      <w:r>
        <w:rPr>
          <w:rFonts w:eastAsia="Times New Roman"/>
          <w:color w:val="000000"/>
          <w:sz w:val="20"/>
          <w:szCs w:val="20"/>
        </w:rPr>
        <w:t>ASU 2016-1</w:t>
      </w:r>
      <w:r>
        <w:rPr>
          <w:rFonts w:eastAsia="Times New Roman"/>
          <w:color w:val="000000"/>
          <w:sz w:val="20"/>
          <w:szCs w:val="20"/>
        </w:rPr>
        <w:t>3</w:t>
      </w:r>
      <w:r>
        <w:rPr>
          <w:rFonts w:eastAsia="Times New Roman"/>
          <w:color w:val="000000"/>
          <w:sz w:val="20"/>
          <w:szCs w:val="20"/>
        </w:rPr>
        <w:t>, including the related codification amendments, in the first quarter of 2020 utilizing the modified retrospective transition method and applying the transition prov</w:t>
      </w:r>
      <w:r>
        <w:rPr>
          <w:rFonts w:eastAsia="Times New Roman"/>
          <w:color w:val="000000"/>
          <w:sz w:val="20"/>
          <w:szCs w:val="20"/>
        </w:rPr>
        <w:t xml:space="preserve">isions at the effective date. </w:t>
      </w:r>
    </w:p>
    <w:p w14:paraId="2A48E1D3" w14:textId="77777777" w:rsidR="00000000" w:rsidRDefault="000A3118">
      <w:pPr>
        <w:ind w:firstLine="360"/>
        <w:jc w:val="both"/>
        <w:divId w:val="768740109"/>
        <w:rPr>
          <w:rFonts w:eastAsia="Times New Roman"/>
        </w:rPr>
      </w:pPr>
      <w:r>
        <w:rPr>
          <w:rFonts w:eastAsia="Times New Roman"/>
          <w:color w:val="000000"/>
          <w:sz w:val="20"/>
          <w:szCs w:val="20"/>
        </w:rPr>
        <w:t>The Company implemented changes to business processes and internal controls that support the new standard. As of the date of implementation on January 1, 2020, the Company recognized $11.1 million as a reduction to the openin</w:t>
      </w:r>
      <w:r>
        <w:rPr>
          <w:rFonts w:eastAsia="Times New Roman"/>
          <w:color w:val="000000"/>
          <w:sz w:val="20"/>
          <w:szCs w:val="20"/>
        </w:rPr>
        <w:t>g retained earnings balance. The main drivers of the consolidated impact at transition are related to the inclusion of future economic conditions, the exclusion of freestanding credit enhancements when estimating the expected credit loss and estimating the</w:t>
      </w:r>
      <w:r>
        <w:rPr>
          <w:rFonts w:eastAsia="Times New Roman"/>
          <w:color w:val="000000"/>
          <w:sz w:val="20"/>
          <w:szCs w:val="20"/>
        </w:rPr>
        <w:t xml:space="preserve"> lifetime credit losses of notes receivable.</w:t>
      </w:r>
    </w:p>
    <w:p w14:paraId="490C162C" w14:textId="77777777" w:rsidR="00000000" w:rsidRDefault="000A3118">
      <w:pPr>
        <w:ind w:firstLine="360"/>
        <w:jc w:val="both"/>
        <w:rPr>
          <w:rFonts w:eastAsia="Times New Roman"/>
        </w:rPr>
      </w:pPr>
      <w:r>
        <w:rPr>
          <w:rFonts w:eastAsia="Times New Roman"/>
          <w:b/>
          <w:bCs/>
          <w:color w:val="000000"/>
          <w:sz w:val="20"/>
          <w:szCs w:val="20"/>
        </w:rPr>
        <w:t>Accounting Standards Issued but Not Yet Adopted</w:t>
      </w:r>
    </w:p>
    <w:p w14:paraId="6FBB6A80" w14:textId="77777777" w:rsidR="00000000" w:rsidRDefault="000A3118">
      <w:pPr>
        <w:ind w:firstLine="360"/>
        <w:jc w:val="both"/>
        <w:rPr>
          <w:rFonts w:eastAsia="Times New Roman"/>
        </w:rPr>
      </w:pPr>
    </w:p>
    <w:p w14:paraId="03F1AC83" w14:textId="77777777" w:rsidR="00000000" w:rsidRDefault="000A3118">
      <w:pPr>
        <w:ind w:firstLine="360"/>
        <w:jc w:val="both"/>
        <w:rPr>
          <w:rFonts w:eastAsia="Times New Roman"/>
        </w:rPr>
      </w:pPr>
      <w:r>
        <w:rPr>
          <w:rFonts w:eastAsia="Times New Roman"/>
          <w:color w:val="000000"/>
          <w:sz w:val="20"/>
          <w:szCs w:val="20"/>
        </w:rPr>
        <w:t>There have been no recently issued accounting standards not yet adopted by us which are expected, upon adoption, to have a material impact on the Company’s Conso</w:t>
      </w:r>
      <w:r>
        <w:rPr>
          <w:rFonts w:eastAsia="Times New Roman"/>
          <w:color w:val="000000"/>
          <w:sz w:val="20"/>
          <w:szCs w:val="20"/>
        </w:rPr>
        <w:t>lidated Financial Statements or processes.</w:t>
      </w:r>
    </w:p>
    <w:p w14:paraId="6973C261" w14:textId="77777777" w:rsidR="00000000" w:rsidRDefault="000A3118">
      <w:pPr>
        <w:jc w:val="center"/>
        <w:divId w:val="155651390"/>
        <w:rPr>
          <w:rFonts w:eastAsia="Times New Roman"/>
        </w:rPr>
      </w:pPr>
      <w:r>
        <w:rPr>
          <w:rFonts w:eastAsia="Times New Roman"/>
          <w:color w:val="000000"/>
          <w:sz w:val="20"/>
          <w:szCs w:val="20"/>
        </w:rPr>
        <w:t>8</w:t>
      </w:r>
    </w:p>
    <w:p w14:paraId="18F4E433" w14:textId="77777777" w:rsidR="00000000" w:rsidRDefault="000A3118">
      <w:pPr>
        <w:rPr>
          <w:rFonts w:eastAsia="Times New Roman"/>
        </w:rPr>
      </w:pPr>
      <w:r>
        <w:rPr>
          <w:rFonts w:eastAsia="Times New Roman"/>
        </w:rPr>
        <w:pict w14:anchorId="1BE76299">
          <v:rect id="_x0000_i1036" style="width:0;height:1.5pt" o:hralign="center" o:hrstd="t" o:hr="t" fillcolor="#a0a0a0" stroked="f"/>
        </w:pict>
      </w:r>
    </w:p>
    <w:p w14:paraId="05E32DA8" w14:textId="77777777" w:rsidR="00000000" w:rsidRDefault="000A3118">
      <w:pPr>
        <w:divId w:val="284890780"/>
        <w:rPr>
          <w:rFonts w:eastAsia="Times New Roman"/>
        </w:rPr>
      </w:pPr>
    </w:p>
    <w:p w14:paraId="775B3130" w14:textId="77777777" w:rsidR="00000000" w:rsidRDefault="000A3118">
      <w:pPr>
        <w:ind w:firstLine="360"/>
        <w:jc w:val="both"/>
        <w:rPr>
          <w:rFonts w:eastAsia="Times New Roman"/>
        </w:rPr>
      </w:pPr>
    </w:p>
    <w:p w14:paraId="007AF042" w14:textId="77777777" w:rsidR="00000000" w:rsidRDefault="000A3118">
      <w:pPr>
        <w:ind w:firstLine="360"/>
        <w:jc w:val="both"/>
        <w:rPr>
          <w:rFonts w:eastAsia="Times New Roman"/>
        </w:rPr>
      </w:pPr>
    </w:p>
    <w:p w14:paraId="075FC429" w14:textId="77777777" w:rsidR="00000000" w:rsidRDefault="000A3118">
      <w:pPr>
        <w:jc w:val="both"/>
        <w:rPr>
          <w:rFonts w:eastAsia="Times New Roman"/>
        </w:rPr>
      </w:pPr>
    </w:p>
    <w:p w14:paraId="7FF50480" w14:textId="77777777" w:rsidR="00000000" w:rsidRDefault="000A3118">
      <w:pPr>
        <w:jc w:val="both"/>
        <w:rPr>
          <w:rFonts w:eastAsia="Times New Roman"/>
        </w:rPr>
      </w:pPr>
      <w:r>
        <w:rPr>
          <w:rFonts w:eastAsia="Times New Roman"/>
          <w:b/>
          <w:bCs/>
          <w:color w:val="000000"/>
          <w:sz w:val="20"/>
          <w:szCs w:val="20"/>
        </w:rPr>
        <w:t>2. Accounts Receivable</w:t>
      </w:r>
    </w:p>
    <w:p w14:paraId="75BAA343" w14:textId="77777777" w:rsidR="00000000" w:rsidRDefault="000A3118">
      <w:pPr>
        <w:jc w:val="both"/>
        <w:rPr>
          <w:rFonts w:eastAsia="Times New Roman"/>
        </w:rPr>
      </w:pPr>
    </w:p>
    <w:p w14:paraId="14163435" w14:textId="77777777" w:rsidR="00000000" w:rsidRDefault="000A3118">
      <w:pPr>
        <w:jc w:val="both"/>
        <w:rPr>
          <w:rFonts w:eastAsia="Times New Roman"/>
        </w:rPr>
      </w:pPr>
      <w:r>
        <w:rPr>
          <w:rFonts w:eastAsia="Times New Roman"/>
          <w:b/>
          <w:bCs/>
          <w:color w:val="000000"/>
          <w:sz w:val="20"/>
          <w:szCs w:val="20"/>
        </w:rPr>
        <w:t>    Accounts receivable and allowance for credit losses</w:t>
      </w:r>
    </w:p>
    <w:p w14:paraId="32DD9A44" w14:textId="77777777" w:rsidR="00000000" w:rsidRDefault="000A3118">
      <w:pPr>
        <w:jc w:val="both"/>
        <w:rPr>
          <w:rFonts w:eastAsia="Times New Roman"/>
        </w:rPr>
      </w:pPr>
    </w:p>
    <w:p w14:paraId="7A73E157" w14:textId="77777777" w:rsidR="00000000" w:rsidRDefault="000A3118">
      <w:pPr>
        <w:jc w:val="both"/>
        <w:rPr>
          <w:rFonts w:eastAsia="Times New Roman"/>
        </w:rPr>
      </w:pPr>
      <w:r>
        <w:rPr>
          <w:rFonts w:eastAsia="Times New Roman"/>
          <w:color w:val="000000"/>
          <w:sz w:val="20"/>
          <w:szCs w:val="20"/>
        </w:rPr>
        <w:t>    We extend credit on an unsecured basis to most of our customers. Our exposure to expected credit losses depends on the financ</w:t>
      </w:r>
      <w:r>
        <w:rPr>
          <w:rFonts w:eastAsia="Times New Roman"/>
          <w:color w:val="000000"/>
          <w:sz w:val="20"/>
          <w:szCs w:val="20"/>
        </w:rPr>
        <w:t>ial condition of our customers and other macroeconomic factors beyond our control, such as deteriorating conditions in the world economy or in the industries we serve, changes in oil prices and political instability. While we actively manage our credit exp</w:t>
      </w:r>
      <w:r>
        <w:rPr>
          <w:rFonts w:eastAsia="Times New Roman"/>
          <w:color w:val="000000"/>
          <w:sz w:val="20"/>
          <w:szCs w:val="20"/>
        </w:rPr>
        <w:t>osure and work to respond to both changes in our customers’ financial conditions or macroeconomic events, there can be no guarantee we will be able to mitigate all of these risks successfully.</w:t>
      </w:r>
    </w:p>
    <w:p w14:paraId="4A98C11D" w14:textId="77777777" w:rsidR="00000000" w:rsidRDefault="000A3118">
      <w:pPr>
        <w:jc w:val="both"/>
        <w:rPr>
          <w:rFonts w:eastAsia="Times New Roman"/>
        </w:rPr>
      </w:pPr>
    </w:p>
    <w:p w14:paraId="61354EC6" w14:textId="77777777" w:rsidR="00000000" w:rsidRDefault="000A3118">
      <w:pPr>
        <w:jc w:val="both"/>
        <w:rPr>
          <w:rFonts w:eastAsia="Times New Roman"/>
        </w:rPr>
      </w:pPr>
      <w:r>
        <w:rPr>
          <w:rFonts w:eastAsia="Times New Roman"/>
          <w:color w:val="000000"/>
          <w:sz w:val="20"/>
          <w:szCs w:val="20"/>
        </w:rPr>
        <w:t>    We perform ongoing credit evaluations of our customers an</w:t>
      </w:r>
      <w:r>
        <w:rPr>
          <w:rFonts w:eastAsia="Times New Roman"/>
          <w:color w:val="000000"/>
          <w:sz w:val="20"/>
          <w:szCs w:val="20"/>
        </w:rPr>
        <w:t xml:space="preserve">d adjust credit limits based upon payment history and the customer’s current creditworthiness based on expected exposure. Our payment terms with customers are based on each customers' creditworthiness and are generally 30-60 days, although certain markets </w:t>
      </w:r>
      <w:r>
        <w:rPr>
          <w:rFonts w:eastAsia="Times New Roman"/>
          <w:color w:val="000000"/>
          <w:sz w:val="20"/>
          <w:szCs w:val="20"/>
        </w:rPr>
        <w:t>and other customer-specific factors may warrant longer payment terms. Accounts receivable balances that are not paid within the terms of the sales agreement may be subject to finance fees based on the outstanding balance. Although we analyze customers’ pay</w:t>
      </w:r>
      <w:r>
        <w:rPr>
          <w:rFonts w:eastAsia="Times New Roman"/>
          <w:color w:val="000000"/>
          <w:sz w:val="20"/>
          <w:szCs w:val="20"/>
        </w:rPr>
        <w:t>ment history and expected creditworthiness, since we extend credit on an unsecured basis to most of our customers, there is a possibility that any accounts receivable not collected may ultimately need to be written off.</w:t>
      </w:r>
    </w:p>
    <w:p w14:paraId="551BE895" w14:textId="77777777" w:rsidR="00000000" w:rsidRDefault="000A3118">
      <w:pPr>
        <w:jc w:val="both"/>
        <w:rPr>
          <w:rFonts w:eastAsia="Times New Roman"/>
        </w:rPr>
      </w:pPr>
    </w:p>
    <w:p w14:paraId="2AB67020" w14:textId="77777777" w:rsidR="00000000" w:rsidRDefault="000A3118">
      <w:pPr>
        <w:ind w:firstLine="360"/>
        <w:jc w:val="both"/>
        <w:rPr>
          <w:rFonts w:eastAsia="Times New Roman"/>
        </w:rPr>
      </w:pPr>
      <w:r>
        <w:rPr>
          <w:rFonts w:eastAsia="Times New Roman"/>
          <w:color w:val="000000"/>
          <w:sz w:val="20"/>
          <w:szCs w:val="20"/>
        </w:rPr>
        <w:t>Accounts receivable are measured a</w:t>
      </w:r>
      <w:r>
        <w:rPr>
          <w:rFonts w:eastAsia="Times New Roman"/>
          <w:color w:val="000000"/>
          <w:sz w:val="20"/>
          <w:szCs w:val="20"/>
        </w:rPr>
        <w:t>t amortized cost. The health of our receivables is continuously monitored using a risk-based model, taking into consideration both the timeliness and predictability of collections from our customers. We maintain a provision for expected credit losses based</w:t>
      </w:r>
      <w:r>
        <w:rPr>
          <w:rFonts w:eastAsia="Times New Roman"/>
          <w:color w:val="000000"/>
          <w:sz w:val="20"/>
          <w:szCs w:val="20"/>
        </w:rPr>
        <w:t xml:space="preserve"> upon our historical experience with our customers, along with any specific customer collection issues that we have identified from current financial information and business prospects, as well as any political or economic conditions or other market factor</w:t>
      </w:r>
      <w:r>
        <w:rPr>
          <w:rFonts w:eastAsia="Times New Roman"/>
          <w:color w:val="000000"/>
          <w:sz w:val="20"/>
          <w:szCs w:val="20"/>
        </w:rPr>
        <w:t>s, including certain assumptions based on reasonable forward-looking information from market sources. Principally, based on these credit risk factors, portfolio segments are defined and an internally derived risk-based credit loss reserve is established an</w:t>
      </w:r>
      <w:r>
        <w:rPr>
          <w:rFonts w:eastAsia="Times New Roman"/>
          <w:color w:val="000000"/>
          <w:sz w:val="20"/>
          <w:szCs w:val="20"/>
        </w:rPr>
        <w:t>d applied to each portfolio segment. Customer account balances that are deemed to be at high risk of collectability are reserved at higher rates than customer account balances which we expect to collect without difficulty.</w:t>
      </w:r>
    </w:p>
    <w:p w14:paraId="33F846DB" w14:textId="77777777" w:rsidR="00000000" w:rsidRDefault="000A3118">
      <w:pPr>
        <w:ind w:firstLine="360"/>
        <w:jc w:val="both"/>
        <w:rPr>
          <w:rFonts w:eastAsia="Times New Roman"/>
        </w:rPr>
      </w:pPr>
    </w:p>
    <w:p w14:paraId="56C3011F" w14:textId="77777777" w:rsidR="00000000" w:rsidRDefault="000A3118">
      <w:pPr>
        <w:ind w:firstLine="360"/>
        <w:jc w:val="both"/>
        <w:divId w:val="602539380"/>
        <w:rPr>
          <w:rFonts w:eastAsia="Times New Roman"/>
        </w:rPr>
      </w:pPr>
      <w:r>
        <w:rPr>
          <w:rFonts w:eastAsia="Times New Roman"/>
          <w:color w:val="000000"/>
          <w:sz w:val="20"/>
          <w:szCs w:val="20"/>
        </w:rPr>
        <w:t>We had accounts receivable of $</w:t>
      </w:r>
      <w:r>
        <w:rPr>
          <w:rFonts w:eastAsia="Times New Roman"/>
          <w:color w:val="000000"/>
          <w:sz w:val="20"/>
          <w:szCs w:val="20"/>
        </w:rPr>
        <w:t>1.2 billion and $2.9 billion as of September 30, 2020 and December 31, 2019, respectively. We also had an allowance for credit losses related to accounts receivable and other insignificant financing receivables of $51.8 million (including the $11.1 million</w:t>
      </w:r>
      <w:r>
        <w:rPr>
          <w:rFonts w:eastAsia="Times New Roman"/>
          <w:color w:val="000000"/>
          <w:sz w:val="20"/>
          <w:szCs w:val="20"/>
        </w:rPr>
        <w:t xml:space="preserve"> cumulative transition adjustment to retained earnings related to the implementation of</w:t>
      </w:r>
      <w:r>
        <w:rPr>
          <w:rFonts w:eastAsia="Times New Roman"/>
          <w:color w:val="000000"/>
          <w:sz w:val="20"/>
          <w:szCs w:val="20"/>
        </w:rPr>
        <w:t xml:space="preserve"> </w:t>
      </w:r>
      <w:r>
        <w:rPr>
          <w:rFonts w:eastAsia="Times New Roman"/>
          <w:color w:val="000000"/>
          <w:sz w:val="20"/>
          <w:szCs w:val="20"/>
        </w:rPr>
        <w:t>ASU 2016-1</w:t>
      </w:r>
      <w:r>
        <w:rPr>
          <w:rFonts w:eastAsia="Times New Roman"/>
          <w:color w:val="000000"/>
          <w:sz w:val="20"/>
          <w:szCs w:val="20"/>
        </w:rPr>
        <w:t>3</w:t>
      </w:r>
      <w:r>
        <w:rPr>
          <w:rFonts w:eastAsia="Times New Roman"/>
          <w:color w:val="000000"/>
          <w:sz w:val="20"/>
          <w:szCs w:val="20"/>
        </w:rPr>
        <w:t>) and $35.5 million, as of September 30, 2020 and December 31, 2019, respectively. Changes to the expected credit loss provision during the nine months ended</w:t>
      </w:r>
      <w:r>
        <w:rPr>
          <w:rFonts w:eastAsia="Times New Roman"/>
          <w:color w:val="000000"/>
          <w:sz w:val="20"/>
          <w:szCs w:val="20"/>
        </w:rPr>
        <w:t xml:space="preserve"> September 30, 2020 include global economic outlook considerations as a result of the Company’s assessment of reasonable and supportable forward-looking information including the expected overall impact of the pandemic mainly to the aviation segment. Write</w:t>
      </w:r>
      <w:r>
        <w:rPr>
          <w:rFonts w:eastAsia="Times New Roman"/>
          <w:color w:val="000000"/>
          <w:sz w:val="20"/>
          <w:szCs w:val="20"/>
        </w:rPr>
        <w:t>-off of uncollectible receivables during the nine months ended September 30, 2020 resulted from negative impacts of the pandemic combined with pre-existing financial difficulties experienced by certain customers. Based on an aging analysis as of September </w:t>
      </w:r>
      <w:r>
        <w:rPr>
          <w:rFonts w:eastAsia="Times New Roman"/>
          <w:color w:val="000000"/>
          <w:sz w:val="20"/>
          <w:szCs w:val="20"/>
        </w:rPr>
        <w:t>30, 2020, 92% of our net accounts receivable were outstanding less than 60 days.</w:t>
      </w:r>
    </w:p>
    <w:p w14:paraId="120ED9A2" w14:textId="77777777" w:rsidR="00000000" w:rsidRDefault="000A3118">
      <w:pPr>
        <w:ind w:firstLine="360"/>
        <w:jc w:val="both"/>
        <w:rPr>
          <w:rFonts w:eastAsia="Times New Roman"/>
        </w:rPr>
      </w:pPr>
      <w:r>
        <w:rPr>
          <w:rFonts w:eastAsia="Times New Roman"/>
          <w:color w:val="000000"/>
          <w:sz w:val="20"/>
          <w:szCs w:val="20"/>
        </w:rPr>
        <w:t>The following table sets forth activities in our allowance for credit losses (in millions):</w:t>
      </w:r>
    </w:p>
    <w:tbl>
      <w:tblPr>
        <w:tblW w:w="4992" w:type="pct"/>
        <w:tblCellMar>
          <w:top w:w="15" w:type="dxa"/>
          <w:left w:w="15" w:type="dxa"/>
          <w:bottom w:w="15" w:type="dxa"/>
          <w:right w:w="15" w:type="dxa"/>
        </w:tblCellMar>
        <w:tblLook w:val="04A0" w:firstRow="1" w:lastRow="0" w:firstColumn="1" w:lastColumn="0" w:noHBand="0" w:noVBand="1"/>
      </w:tblPr>
      <w:tblGrid>
        <w:gridCol w:w="50"/>
        <w:gridCol w:w="7248"/>
        <w:gridCol w:w="38"/>
        <w:gridCol w:w="36"/>
        <w:gridCol w:w="36"/>
        <w:gridCol w:w="36"/>
        <w:gridCol w:w="100"/>
        <w:gridCol w:w="713"/>
        <w:gridCol w:w="36"/>
      </w:tblGrid>
      <w:tr w:rsidR="00000000" w14:paraId="0F52F527" w14:textId="77777777">
        <w:trPr>
          <w:divId w:val="1321928255"/>
        </w:trPr>
        <w:tc>
          <w:tcPr>
            <w:tcW w:w="50" w:type="pct"/>
            <w:vAlign w:val="center"/>
            <w:hideMark/>
          </w:tcPr>
          <w:p w14:paraId="5EBFC762" w14:textId="77777777" w:rsidR="00000000" w:rsidRDefault="000A3118">
            <w:pPr>
              <w:ind w:firstLine="360"/>
              <w:jc w:val="both"/>
              <w:rPr>
                <w:rFonts w:eastAsia="Times New Roman"/>
              </w:rPr>
            </w:pPr>
          </w:p>
        </w:tc>
        <w:tc>
          <w:tcPr>
            <w:tcW w:w="4388" w:type="pct"/>
            <w:vAlign w:val="center"/>
            <w:hideMark/>
          </w:tcPr>
          <w:p w14:paraId="7E50E8E4" w14:textId="77777777" w:rsidR="00000000" w:rsidRDefault="000A3118">
            <w:pPr>
              <w:rPr>
                <w:rFonts w:eastAsia="Times New Roman"/>
                <w:sz w:val="20"/>
                <w:szCs w:val="20"/>
              </w:rPr>
            </w:pPr>
          </w:p>
        </w:tc>
        <w:tc>
          <w:tcPr>
            <w:tcW w:w="5" w:type="pct"/>
            <w:vAlign w:val="center"/>
            <w:hideMark/>
          </w:tcPr>
          <w:p w14:paraId="0103816C" w14:textId="77777777" w:rsidR="00000000" w:rsidRDefault="000A3118">
            <w:pPr>
              <w:rPr>
                <w:rFonts w:eastAsia="Times New Roman"/>
                <w:sz w:val="20"/>
                <w:szCs w:val="20"/>
              </w:rPr>
            </w:pPr>
          </w:p>
        </w:tc>
        <w:tc>
          <w:tcPr>
            <w:tcW w:w="5" w:type="pct"/>
            <w:vAlign w:val="center"/>
            <w:hideMark/>
          </w:tcPr>
          <w:p w14:paraId="7E88B2D2" w14:textId="77777777" w:rsidR="00000000" w:rsidRDefault="000A3118">
            <w:pPr>
              <w:rPr>
                <w:rFonts w:eastAsia="Times New Roman"/>
                <w:sz w:val="20"/>
                <w:szCs w:val="20"/>
              </w:rPr>
            </w:pPr>
          </w:p>
        </w:tc>
        <w:tc>
          <w:tcPr>
            <w:tcW w:w="26" w:type="pct"/>
            <w:vAlign w:val="center"/>
            <w:hideMark/>
          </w:tcPr>
          <w:p w14:paraId="5D411108" w14:textId="77777777" w:rsidR="00000000" w:rsidRDefault="000A3118">
            <w:pPr>
              <w:rPr>
                <w:rFonts w:eastAsia="Times New Roman"/>
                <w:sz w:val="20"/>
                <w:szCs w:val="20"/>
              </w:rPr>
            </w:pPr>
          </w:p>
        </w:tc>
        <w:tc>
          <w:tcPr>
            <w:tcW w:w="5" w:type="pct"/>
            <w:vAlign w:val="center"/>
            <w:hideMark/>
          </w:tcPr>
          <w:p w14:paraId="2437571F" w14:textId="77777777" w:rsidR="00000000" w:rsidRDefault="000A3118">
            <w:pPr>
              <w:rPr>
                <w:rFonts w:eastAsia="Times New Roman"/>
                <w:sz w:val="20"/>
                <w:szCs w:val="20"/>
              </w:rPr>
            </w:pPr>
          </w:p>
        </w:tc>
        <w:tc>
          <w:tcPr>
            <w:tcW w:w="50" w:type="pct"/>
            <w:vAlign w:val="center"/>
            <w:hideMark/>
          </w:tcPr>
          <w:p w14:paraId="7A15F35C" w14:textId="77777777" w:rsidR="00000000" w:rsidRDefault="000A3118">
            <w:pPr>
              <w:rPr>
                <w:rFonts w:eastAsia="Times New Roman"/>
                <w:sz w:val="20"/>
                <w:szCs w:val="20"/>
              </w:rPr>
            </w:pPr>
          </w:p>
        </w:tc>
        <w:tc>
          <w:tcPr>
            <w:tcW w:w="464" w:type="pct"/>
            <w:vAlign w:val="center"/>
            <w:hideMark/>
          </w:tcPr>
          <w:p w14:paraId="37260BFB" w14:textId="77777777" w:rsidR="00000000" w:rsidRDefault="000A3118">
            <w:pPr>
              <w:rPr>
                <w:rFonts w:eastAsia="Times New Roman"/>
                <w:sz w:val="20"/>
                <w:szCs w:val="20"/>
              </w:rPr>
            </w:pPr>
          </w:p>
        </w:tc>
        <w:tc>
          <w:tcPr>
            <w:tcW w:w="5" w:type="pct"/>
            <w:vAlign w:val="center"/>
            <w:hideMark/>
          </w:tcPr>
          <w:p w14:paraId="49A663E4" w14:textId="77777777" w:rsidR="00000000" w:rsidRDefault="000A3118">
            <w:pPr>
              <w:rPr>
                <w:rFonts w:eastAsia="Times New Roman"/>
                <w:sz w:val="20"/>
                <w:szCs w:val="20"/>
              </w:rPr>
            </w:pPr>
          </w:p>
        </w:tc>
      </w:tr>
      <w:tr w:rsidR="00000000" w14:paraId="189220F2" w14:textId="77777777">
        <w:trPr>
          <w:divId w:val="1321928255"/>
        </w:trPr>
        <w:tc>
          <w:tcPr>
            <w:tcW w:w="0" w:type="auto"/>
            <w:gridSpan w:val="3"/>
            <w:tcMar>
              <w:top w:w="0" w:type="dxa"/>
              <w:left w:w="20" w:type="dxa"/>
              <w:bottom w:w="0" w:type="dxa"/>
              <w:right w:w="20" w:type="dxa"/>
            </w:tcMar>
            <w:vAlign w:val="center"/>
            <w:hideMark/>
          </w:tcPr>
          <w:p w14:paraId="7C938C0A"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37068A6"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4A6B7C73" w14:textId="77777777" w:rsidR="00000000" w:rsidRDefault="000A3118">
            <w:pPr>
              <w:jc w:val="right"/>
              <w:rPr>
                <w:rFonts w:eastAsia="Times New Roman"/>
              </w:rPr>
            </w:pPr>
            <w:r>
              <w:rPr>
                <w:rFonts w:eastAsia="Times New Roman"/>
                <w:b/>
                <w:bCs/>
                <w:color w:val="000000"/>
                <w:sz w:val="16"/>
                <w:szCs w:val="16"/>
              </w:rPr>
              <w:t>Total</w:t>
            </w:r>
          </w:p>
        </w:tc>
      </w:tr>
      <w:tr w:rsidR="00000000" w14:paraId="1240C05F" w14:textId="77777777">
        <w:trPr>
          <w:divId w:val="1321928255"/>
        </w:trPr>
        <w:tc>
          <w:tcPr>
            <w:tcW w:w="0" w:type="auto"/>
            <w:gridSpan w:val="3"/>
            <w:vAlign w:val="center"/>
            <w:hideMark/>
          </w:tcPr>
          <w:p w14:paraId="39069D3C" w14:textId="77777777" w:rsidR="00000000" w:rsidRDefault="000A3118">
            <w:pPr>
              <w:jc w:val="right"/>
              <w:rPr>
                <w:rFonts w:eastAsia="Times New Roman"/>
              </w:rPr>
            </w:pPr>
          </w:p>
        </w:tc>
        <w:tc>
          <w:tcPr>
            <w:tcW w:w="0" w:type="auto"/>
            <w:gridSpan w:val="3"/>
            <w:vAlign w:val="center"/>
            <w:hideMark/>
          </w:tcPr>
          <w:p w14:paraId="4DCADEE9" w14:textId="77777777" w:rsidR="00000000" w:rsidRDefault="000A3118">
            <w:pPr>
              <w:rPr>
                <w:rFonts w:eastAsia="Times New Roman"/>
                <w:sz w:val="20"/>
                <w:szCs w:val="20"/>
              </w:rPr>
            </w:pPr>
          </w:p>
        </w:tc>
        <w:tc>
          <w:tcPr>
            <w:tcW w:w="0" w:type="auto"/>
            <w:gridSpan w:val="3"/>
            <w:vAlign w:val="center"/>
            <w:hideMark/>
          </w:tcPr>
          <w:p w14:paraId="7AD681DC" w14:textId="77777777" w:rsidR="00000000" w:rsidRDefault="000A3118">
            <w:pPr>
              <w:rPr>
                <w:rFonts w:eastAsia="Times New Roman"/>
                <w:sz w:val="20"/>
                <w:szCs w:val="20"/>
              </w:rPr>
            </w:pPr>
          </w:p>
        </w:tc>
      </w:tr>
      <w:tr w:rsidR="00000000" w14:paraId="2B91C505" w14:textId="77777777">
        <w:trPr>
          <w:divId w:val="1321928255"/>
        </w:trPr>
        <w:tc>
          <w:tcPr>
            <w:tcW w:w="0" w:type="auto"/>
            <w:gridSpan w:val="3"/>
            <w:vAlign w:val="center"/>
            <w:hideMark/>
          </w:tcPr>
          <w:p w14:paraId="5920C245" w14:textId="77777777" w:rsidR="00000000" w:rsidRDefault="000A3118">
            <w:pPr>
              <w:rPr>
                <w:rFonts w:eastAsia="Times New Roman"/>
                <w:sz w:val="20"/>
                <w:szCs w:val="20"/>
              </w:rPr>
            </w:pPr>
          </w:p>
        </w:tc>
        <w:tc>
          <w:tcPr>
            <w:tcW w:w="0" w:type="auto"/>
            <w:gridSpan w:val="3"/>
            <w:vAlign w:val="center"/>
            <w:hideMark/>
          </w:tcPr>
          <w:p w14:paraId="58C9AF06" w14:textId="77777777" w:rsidR="00000000" w:rsidRDefault="000A3118">
            <w:pPr>
              <w:rPr>
                <w:rFonts w:eastAsia="Times New Roman"/>
                <w:sz w:val="20"/>
                <w:szCs w:val="20"/>
              </w:rPr>
            </w:pPr>
          </w:p>
        </w:tc>
        <w:tc>
          <w:tcPr>
            <w:tcW w:w="0" w:type="auto"/>
            <w:gridSpan w:val="3"/>
            <w:vAlign w:val="center"/>
            <w:hideMark/>
          </w:tcPr>
          <w:p w14:paraId="4C4C70D7" w14:textId="77777777" w:rsidR="00000000" w:rsidRDefault="000A3118">
            <w:pPr>
              <w:rPr>
                <w:rFonts w:eastAsia="Times New Roman"/>
                <w:sz w:val="20"/>
                <w:szCs w:val="20"/>
              </w:rPr>
            </w:pPr>
          </w:p>
        </w:tc>
      </w:tr>
      <w:tr w:rsidR="00000000" w14:paraId="2BB05F36" w14:textId="77777777">
        <w:trPr>
          <w:divId w:val="13219282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2400D49" w14:textId="77777777" w:rsidR="00000000" w:rsidRDefault="000A3118">
            <w:pPr>
              <w:rPr>
                <w:rFonts w:eastAsia="Times New Roman"/>
              </w:rPr>
            </w:pPr>
            <w:r>
              <w:rPr>
                <w:rFonts w:eastAsia="Times New Roman"/>
                <w:color w:val="000000"/>
                <w:sz w:val="16"/>
                <w:szCs w:val="16"/>
              </w:rPr>
              <w:t>Balance as of January 1,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4A7366"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39EDA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5E8165" w14:textId="77777777" w:rsidR="00000000" w:rsidRDefault="000A3118">
            <w:pPr>
              <w:jc w:val="right"/>
              <w:rPr>
                <w:rFonts w:eastAsia="Times New Roman"/>
              </w:rPr>
            </w:pPr>
            <w:r>
              <w:rPr>
                <w:rFonts w:eastAsia="Times New Roman"/>
                <w:color w:val="000000"/>
                <w:sz w:val="16"/>
                <w:szCs w:val="16"/>
              </w:rPr>
              <w:t>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96F136" w14:textId="77777777" w:rsidR="00000000" w:rsidRDefault="000A3118">
            <w:pPr>
              <w:jc w:val="right"/>
              <w:rPr>
                <w:rFonts w:eastAsia="Times New Roman"/>
              </w:rPr>
            </w:pPr>
          </w:p>
        </w:tc>
      </w:tr>
      <w:tr w:rsidR="00000000" w14:paraId="2694D735" w14:textId="77777777">
        <w:trPr>
          <w:divId w:val="1321928255"/>
        </w:trPr>
        <w:tc>
          <w:tcPr>
            <w:tcW w:w="0" w:type="auto"/>
            <w:gridSpan w:val="3"/>
            <w:shd w:val="clear" w:color="auto" w:fill="FFFFFF"/>
            <w:tcMar>
              <w:top w:w="30" w:type="dxa"/>
              <w:left w:w="20" w:type="dxa"/>
              <w:bottom w:w="30" w:type="dxa"/>
              <w:right w:w="20" w:type="dxa"/>
            </w:tcMar>
            <w:vAlign w:val="bottom"/>
            <w:hideMark/>
          </w:tcPr>
          <w:p w14:paraId="2841761B" w14:textId="77777777" w:rsidR="00000000" w:rsidRDefault="000A3118">
            <w:pPr>
              <w:rPr>
                <w:rFonts w:eastAsia="Times New Roman"/>
              </w:rPr>
            </w:pPr>
            <w:r>
              <w:rPr>
                <w:rFonts w:eastAsia="Times New Roman"/>
                <w:color w:val="000000"/>
                <w:sz w:val="16"/>
                <w:szCs w:val="16"/>
              </w:rPr>
              <w:t>Charges to provision for credit losses</w:t>
            </w:r>
          </w:p>
        </w:tc>
        <w:tc>
          <w:tcPr>
            <w:tcW w:w="0" w:type="auto"/>
            <w:gridSpan w:val="3"/>
            <w:shd w:val="clear" w:color="auto" w:fill="FFFFFF"/>
            <w:tcMar>
              <w:top w:w="0" w:type="dxa"/>
              <w:left w:w="20" w:type="dxa"/>
              <w:bottom w:w="0" w:type="dxa"/>
              <w:right w:w="20" w:type="dxa"/>
            </w:tcMar>
            <w:vAlign w:val="center"/>
            <w:hideMark/>
          </w:tcPr>
          <w:p w14:paraId="725CBB54"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8B7754" w14:textId="77777777" w:rsidR="00000000" w:rsidRDefault="000A3118">
            <w:pPr>
              <w:jc w:val="right"/>
              <w:rPr>
                <w:rFonts w:eastAsia="Times New Roman"/>
              </w:rPr>
            </w:pPr>
            <w:r>
              <w:rPr>
                <w:rFonts w:eastAsia="Times New Roman"/>
                <w:color w:val="000000"/>
                <w:sz w:val="16"/>
                <w:szCs w:val="16"/>
              </w:rPr>
              <w:t>57.9 </w:t>
            </w:r>
          </w:p>
        </w:tc>
        <w:tc>
          <w:tcPr>
            <w:tcW w:w="0" w:type="auto"/>
            <w:shd w:val="clear" w:color="auto" w:fill="FFFFFF"/>
            <w:tcMar>
              <w:top w:w="30" w:type="dxa"/>
              <w:left w:w="0" w:type="dxa"/>
              <w:bottom w:w="30" w:type="dxa"/>
              <w:right w:w="20" w:type="dxa"/>
            </w:tcMar>
            <w:vAlign w:val="bottom"/>
            <w:hideMark/>
          </w:tcPr>
          <w:p w14:paraId="036DCE6D" w14:textId="77777777" w:rsidR="00000000" w:rsidRDefault="000A3118">
            <w:pPr>
              <w:jc w:val="right"/>
              <w:rPr>
                <w:rFonts w:eastAsia="Times New Roman"/>
              </w:rPr>
            </w:pPr>
          </w:p>
        </w:tc>
      </w:tr>
      <w:tr w:rsidR="00000000" w14:paraId="28F8FC6C" w14:textId="77777777">
        <w:trPr>
          <w:divId w:val="1321928255"/>
        </w:trPr>
        <w:tc>
          <w:tcPr>
            <w:tcW w:w="0" w:type="auto"/>
            <w:gridSpan w:val="3"/>
            <w:shd w:val="clear" w:color="auto" w:fill="CCEEFF"/>
            <w:tcMar>
              <w:top w:w="30" w:type="dxa"/>
              <w:left w:w="20" w:type="dxa"/>
              <w:bottom w:w="30" w:type="dxa"/>
              <w:right w:w="20" w:type="dxa"/>
            </w:tcMar>
            <w:vAlign w:val="bottom"/>
            <w:hideMark/>
          </w:tcPr>
          <w:p w14:paraId="3710DB27" w14:textId="77777777" w:rsidR="00000000" w:rsidRDefault="000A3118">
            <w:pPr>
              <w:rPr>
                <w:rFonts w:eastAsia="Times New Roman"/>
              </w:rPr>
            </w:pPr>
            <w:r>
              <w:rPr>
                <w:rFonts w:eastAsia="Times New Roman"/>
                <w:color w:val="000000"/>
                <w:sz w:val="16"/>
                <w:szCs w:val="16"/>
              </w:rPr>
              <w:t>Write-off of uncollectible receivables</w:t>
            </w:r>
          </w:p>
        </w:tc>
        <w:tc>
          <w:tcPr>
            <w:tcW w:w="0" w:type="auto"/>
            <w:gridSpan w:val="3"/>
            <w:shd w:val="clear" w:color="auto" w:fill="CCEEFF"/>
            <w:tcMar>
              <w:top w:w="0" w:type="dxa"/>
              <w:left w:w="20" w:type="dxa"/>
              <w:bottom w:w="0" w:type="dxa"/>
              <w:right w:w="20" w:type="dxa"/>
            </w:tcMar>
            <w:vAlign w:val="center"/>
            <w:hideMark/>
          </w:tcPr>
          <w:p w14:paraId="1CB44B46"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B889AE" w14:textId="77777777" w:rsidR="00000000" w:rsidRDefault="000A3118">
            <w:pPr>
              <w:jc w:val="right"/>
              <w:rPr>
                <w:rFonts w:eastAsia="Times New Roman"/>
              </w:rPr>
            </w:pPr>
            <w:r>
              <w:rPr>
                <w:rFonts w:eastAsia="Times New Roman"/>
                <w:color w:val="000000"/>
                <w:sz w:val="16"/>
                <w:szCs w:val="16"/>
              </w:rPr>
              <w:t>(53.1)</w:t>
            </w:r>
          </w:p>
        </w:tc>
        <w:tc>
          <w:tcPr>
            <w:tcW w:w="0" w:type="auto"/>
            <w:shd w:val="clear" w:color="auto" w:fill="CCEEFF"/>
            <w:tcMar>
              <w:top w:w="30" w:type="dxa"/>
              <w:left w:w="0" w:type="dxa"/>
              <w:bottom w:w="30" w:type="dxa"/>
              <w:right w:w="20" w:type="dxa"/>
            </w:tcMar>
            <w:vAlign w:val="bottom"/>
            <w:hideMark/>
          </w:tcPr>
          <w:p w14:paraId="0186BC78" w14:textId="77777777" w:rsidR="00000000" w:rsidRDefault="000A3118">
            <w:pPr>
              <w:jc w:val="right"/>
              <w:rPr>
                <w:rFonts w:eastAsia="Times New Roman"/>
              </w:rPr>
            </w:pPr>
          </w:p>
        </w:tc>
      </w:tr>
      <w:tr w:rsidR="00000000" w14:paraId="535606F2" w14:textId="77777777">
        <w:trPr>
          <w:divId w:val="1321928255"/>
        </w:trPr>
        <w:tc>
          <w:tcPr>
            <w:tcW w:w="0" w:type="auto"/>
            <w:gridSpan w:val="3"/>
            <w:shd w:val="clear" w:color="auto" w:fill="FFFFFF"/>
            <w:tcMar>
              <w:top w:w="30" w:type="dxa"/>
              <w:left w:w="20" w:type="dxa"/>
              <w:bottom w:w="30" w:type="dxa"/>
              <w:right w:w="20" w:type="dxa"/>
            </w:tcMar>
            <w:vAlign w:val="bottom"/>
            <w:hideMark/>
          </w:tcPr>
          <w:p w14:paraId="72F870E2" w14:textId="77777777" w:rsidR="00000000" w:rsidRDefault="000A3118">
            <w:pPr>
              <w:rPr>
                <w:rFonts w:eastAsia="Times New Roman"/>
              </w:rPr>
            </w:pPr>
            <w:r>
              <w:rPr>
                <w:rFonts w:eastAsia="Times New Roman"/>
                <w:color w:val="000000"/>
                <w:sz w:val="16"/>
                <w:szCs w:val="16"/>
              </w:rPr>
              <w:t>Recoveries of credit losses</w:t>
            </w:r>
          </w:p>
        </w:tc>
        <w:tc>
          <w:tcPr>
            <w:tcW w:w="0" w:type="auto"/>
            <w:gridSpan w:val="3"/>
            <w:shd w:val="clear" w:color="auto" w:fill="FFFFFF"/>
            <w:tcMar>
              <w:top w:w="0" w:type="dxa"/>
              <w:left w:w="20" w:type="dxa"/>
              <w:bottom w:w="0" w:type="dxa"/>
              <w:right w:w="20" w:type="dxa"/>
            </w:tcMar>
            <w:vAlign w:val="center"/>
            <w:hideMark/>
          </w:tcPr>
          <w:p w14:paraId="400F758A"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1D12DD" w14:textId="77777777" w:rsidR="00000000" w:rsidRDefault="000A3118">
            <w:pPr>
              <w:jc w:val="right"/>
              <w:rPr>
                <w:rFonts w:eastAsia="Times New Roman"/>
              </w:rPr>
            </w:pPr>
            <w:r>
              <w:rPr>
                <w:rFonts w:eastAsia="Times New Roman"/>
                <w:color w:val="000000"/>
                <w:sz w:val="16"/>
                <w:szCs w:val="16"/>
              </w:rPr>
              <w:t>0.6 </w:t>
            </w:r>
          </w:p>
        </w:tc>
        <w:tc>
          <w:tcPr>
            <w:tcW w:w="0" w:type="auto"/>
            <w:shd w:val="clear" w:color="auto" w:fill="FFFFFF"/>
            <w:tcMar>
              <w:top w:w="30" w:type="dxa"/>
              <w:left w:w="0" w:type="dxa"/>
              <w:bottom w:w="30" w:type="dxa"/>
              <w:right w:w="20" w:type="dxa"/>
            </w:tcMar>
            <w:vAlign w:val="bottom"/>
            <w:hideMark/>
          </w:tcPr>
          <w:p w14:paraId="7269790E" w14:textId="77777777" w:rsidR="00000000" w:rsidRDefault="000A3118">
            <w:pPr>
              <w:jc w:val="right"/>
              <w:rPr>
                <w:rFonts w:eastAsia="Times New Roman"/>
              </w:rPr>
            </w:pPr>
          </w:p>
        </w:tc>
      </w:tr>
      <w:tr w:rsidR="00000000" w14:paraId="064CC20E" w14:textId="77777777">
        <w:trPr>
          <w:divId w:val="1321928255"/>
        </w:trPr>
        <w:tc>
          <w:tcPr>
            <w:tcW w:w="0" w:type="auto"/>
            <w:gridSpan w:val="3"/>
            <w:shd w:val="clear" w:color="auto" w:fill="CCEEFF"/>
            <w:tcMar>
              <w:top w:w="30" w:type="dxa"/>
              <w:left w:w="20" w:type="dxa"/>
              <w:bottom w:w="30" w:type="dxa"/>
              <w:right w:w="20" w:type="dxa"/>
            </w:tcMar>
            <w:vAlign w:val="bottom"/>
            <w:hideMark/>
          </w:tcPr>
          <w:p w14:paraId="26554B4E" w14:textId="77777777" w:rsidR="00000000" w:rsidRDefault="000A3118">
            <w:pPr>
              <w:rPr>
                <w:rFonts w:eastAsia="Times New Roman"/>
              </w:rPr>
            </w:pPr>
            <w:r>
              <w:rPr>
                <w:rFonts w:eastAsia="Times New Roman"/>
                <w:color w:val="000000"/>
                <w:sz w:val="16"/>
                <w:szCs w:val="16"/>
              </w:rPr>
              <w:t>Translation adjustments</w:t>
            </w:r>
          </w:p>
        </w:tc>
        <w:tc>
          <w:tcPr>
            <w:tcW w:w="0" w:type="auto"/>
            <w:gridSpan w:val="3"/>
            <w:shd w:val="clear" w:color="auto" w:fill="CCEEFF"/>
            <w:tcMar>
              <w:top w:w="0" w:type="dxa"/>
              <w:left w:w="20" w:type="dxa"/>
              <w:bottom w:w="0" w:type="dxa"/>
              <w:right w:w="20" w:type="dxa"/>
            </w:tcMar>
            <w:vAlign w:val="center"/>
            <w:hideMark/>
          </w:tcPr>
          <w:p w14:paraId="3136BD90"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130911" w14:textId="77777777" w:rsidR="00000000" w:rsidRDefault="000A3118">
            <w:pPr>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bottom"/>
            <w:hideMark/>
          </w:tcPr>
          <w:p w14:paraId="214F9D28" w14:textId="77777777" w:rsidR="00000000" w:rsidRDefault="000A3118">
            <w:pPr>
              <w:jc w:val="right"/>
              <w:rPr>
                <w:rFonts w:eastAsia="Times New Roman"/>
              </w:rPr>
            </w:pPr>
          </w:p>
        </w:tc>
      </w:tr>
      <w:tr w:rsidR="00000000" w14:paraId="6F784DBD" w14:textId="77777777">
        <w:trPr>
          <w:divId w:val="1321928255"/>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49BD413E" w14:textId="77777777" w:rsidR="00000000" w:rsidRDefault="000A3118">
            <w:pPr>
              <w:rPr>
                <w:rFonts w:eastAsia="Times New Roman"/>
              </w:rPr>
            </w:pPr>
            <w:r>
              <w:rPr>
                <w:rFonts w:eastAsia="Times New Roman"/>
                <w:color w:val="000000"/>
                <w:sz w:val="16"/>
                <w:szCs w:val="16"/>
              </w:rPr>
              <w:t>Balance as of September 30, 2020</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C7CBD2A" w14:textId="77777777" w:rsidR="00000000" w:rsidRDefault="000A3118">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71E5B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85DE2B" w14:textId="77777777" w:rsidR="00000000" w:rsidRDefault="000A3118">
            <w:pPr>
              <w:jc w:val="right"/>
              <w:rPr>
                <w:rFonts w:eastAsia="Times New Roman"/>
              </w:rPr>
            </w:pPr>
            <w:r>
              <w:rPr>
                <w:rFonts w:eastAsia="Times New Roman"/>
                <w:color w:val="000000"/>
                <w:sz w:val="16"/>
                <w:szCs w:val="16"/>
              </w:rPr>
              <w:t>51.8 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A8DECE" w14:textId="77777777" w:rsidR="00000000" w:rsidRDefault="000A3118">
            <w:pPr>
              <w:jc w:val="right"/>
              <w:rPr>
                <w:rFonts w:eastAsia="Times New Roman"/>
              </w:rPr>
            </w:pPr>
          </w:p>
        </w:tc>
      </w:tr>
    </w:tbl>
    <w:p w14:paraId="754B41BF" w14:textId="77777777" w:rsidR="00000000" w:rsidRDefault="000A3118">
      <w:pPr>
        <w:jc w:val="both"/>
        <w:divId w:val="372654416"/>
        <w:rPr>
          <w:rFonts w:eastAsia="Times New Roman"/>
        </w:rPr>
      </w:pPr>
      <w:r>
        <w:rPr>
          <w:rFonts w:eastAsia="Times New Roman"/>
          <w:b/>
          <w:bCs/>
          <w:color w:val="000000"/>
          <w:sz w:val="20"/>
          <w:szCs w:val="20"/>
        </w:rPr>
        <w:t>    </w:t>
      </w:r>
    </w:p>
    <w:p w14:paraId="6326206A" w14:textId="77777777" w:rsidR="00000000" w:rsidRDefault="000A3118">
      <w:pPr>
        <w:jc w:val="center"/>
        <w:divId w:val="1014695985"/>
        <w:rPr>
          <w:rFonts w:eastAsia="Times New Roman"/>
        </w:rPr>
      </w:pPr>
      <w:r>
        <w:rPr>
          <w:rFonts w:eastAsia="Times New Roman"/>
          <w:color w:val="000000"/>
          <w:sz w:val="20"/>
          <w:szCs w:val="20"/>
        </w:rPr>
        <w:t>9</w:t>
      </w:r>
    </w:p>
    <w:p w14:paraId="48B66F3B" w14:textId="77777777" w:rsidR="00000000" w:rsidRDefault="000A3118">
      <w:pPr>
        <w:rPr>
          <w:rFonts w:eastAsia="Times New Roman"/>
        </w:rPr>
      </w:pPr>
      <w:r>
        <w:rPr>
          <w:rFonts w:eastAsia="Times New Roman"/>
        </w:rPr>
        <w:pict w14:anchorId="16BE3DAF">
          <v:rect id="_x0000_i1037" style="width:0;height:1.5pt" o:hralign="center" o:hrstd="t" o:hr="t" fillcolor="#a0a0a0" stroked="f"/>
        </w:pict>
      </w:r>
    </w:p>
    <w:p w14:paraId="19D5F36B" w14:textId="77777777" w:rsidR="00000000" w:rsidRDefault="000A3118">
      <w:pPr>
        <w:divId w:val="1165709319"/>
        <w:rPr>
          <w:rFonts w:eastAsia="Times New Roman"/>
        </w:rPr>
      </w:pPr>
    </w:p>
    <w:p w14:paraId="3FE80033" w14:textId="77777777" w:rsidR="00000000" w:rsidRDefault="000A3118">
      <w:pPr>
        <w:jc w:val="both"/>
        <w:divId w:val="792602383"/>
        <w:rPr>
          <w:rFonts w:eastAsia="Times New Roman"/>
        </w:rPr>
      </w:pPr>
      <w:r>
        <w:rPr>
          <w:rFonts w:eastAsia="Times New Roman"/>
          <w:b/>
          <w:bCs/>
          <w:color w:val="000000"/>
          <w:sz w:val="20"/>
          <w:szCs w:val="20"/>
        </w:rPr>
        <w:t>Financing programs</w:t>
      </w:r>
    </w:p>
    <w:p w14:paraId="425C8470" w14:textId="77777777" w:rsidR="00000000" w:rsidRDefault="000A3118">
      <w:pPr>
        <w:ind w:firstLine="360"/>
        <w:jc w:val="both"/>
        <w:rPr>
          <w:rFonts w:eastAsia="Times New Roman"/>
        </w:rPr>
      </w:pPr>
      <w:r>
        <w:rPr>
          <w:rFonts w:eastAsia="Times New Roman"/>
          <w:color w:val="000000"/>
          <w:sz w:val="20"/>
          <w:szCs w:val="20"/>
        </w:rPr>
        <w:t>We have accounts receivable financing programs under receivables purchase agreements (“RPAs”</w:t>
      </w:r>
      <w:r>
        <w:rPr>
          <w:rFonts w:eastAsia="Times New Roman"/>
          <w:color w:val="000000"/>
          <w:sz w:val="20"/>
          <w:szCs w:val="20"/>
        </w:rPr>
        <w:t>) with Wells Fargo Bank, N.A. and Citibank, N.A. that allow for the sale of our accounts receivable in an amount up to 100% of our outstanding qualifying accounts receivable balances and receive cash consideration equal to the total balance, less a discoun</w:t>
      </w:r>
      <w:r>
        <w:rPr>
          <w:rFonts w:eastAsia="Times New Roman"/>
          <w:color w:val="000000"/>
          <w:sz w:val="20"/>
          <w:szCs w:val="20"/>
        </w:rPr>
        <w:t>t margin equal to LIBOR plus 1% to 3.25%, which varies based on the outstanding accounts receivable at any given time and assumes maximum utilization of the RPA facilities. During the three months ended September 30, 2020 we amended our RPA with Citibank N</w:t>
      </w:r>
      <w:r>
        <w:rPr>
          <w:rFonts w:eastAsia="Times New Roman"/>
          <w:color w:val="000000"/>
          <w:sz w:val="20"/>
          <w:szCs w:val="20"/>
        </w:rPr>
        <w:t xml:space="preserve">.A. to, among other things, extend the renewal option term of the RPA through 2024. Accounts receivable sold under the RPAs are accounted for as sales, in accordance with FASB ASC Topic 860, </w:t>
      </w:r>
      <w:r>
        <w:rPr>
          <w:rFonts w:eastAsia="Times New Roman"/>
          <w:i/>
          <w:iCs/>
          <w:color w:val="000000"/>
          <w:sz w:val="20"/>
          <w:szCs w:val="20"/>
        </w:rPr>
        <w:t>Transfers and Servicing</w:t>
      </w:r>
      <w:r>
        <w:rPr>
          <w:rFonts w:eastAsia="Times New Roman"/>
          <w:color w:val="000000"/>
          <w:sz w:val="20"/>
          <w:szCs w:val="20"/>
        </w:rPr>
        <w:t>, and excluded from Accounts receivable, n</w:t>
      </w:r>
      <w:r>
        <w:rPr>
          <w:rFonts w:eastAsia="Times New Roman"/>
          <w:color w:val="000000"/>
          <w:sz w:val="20"/>
          <w:szCs w:val="20"/>
        </w:rPr>
        <w:t>et on the accompanying Consolidated Balance Sheets. Fees and interest paid under the RPAs is recorded within Interest expense and other financing costs, net on the Consolidated Statements of Comprehensive Income.</w:t>
      </w:r>
    </w:p>
    <w:p w14:paraId="72518358" w14:textId="77777777" w:rsidR="00000000" w:rsidRDefault="000A3118">
      <w:pPr>
        <w:jc w:val="both"/>
        <w:rPr>
          <w:rFonts w:eastAsia="Times New Roman"/>
        </w:rPr>
      </w:pPr>
    </w:p>
    <w:p w14:paraId="3C28ABD3" w14:textId="77777777" w:rsidR="00000000" w:rsidRDefault="000A3118">
      <w:pPr>
        <w:jc w:val="both"/>
        <w:rPr>
          <w:rFonts w:eastAsia="Times New Roman"/>
        </w:rPr>
      </w:pPr>
      <w:r>
        <w:rPr>
          <w:rFonts w:eastAsia="Times New Roman"/>
          <w:color w:val="000000"/>
          <w:sz w:val="20"/>
          <w:szCs w:val="20"/>
        </w:rPr>
        <w:t>    Under the RPAs, accounts receivable s</w:t>
      </w:r>
      <w:r>
        <w:rPr>
          <w:rFonts w:eastAsia="Times New Roman"/>
          <w:color w:val="000000"/>
          <w:sz w:val="20"/>
          <w:szCs w:val="20"/>
        </w:rPr>
        <w:t>old, which remained outstanding as of September 30, 2020 and December 31, 2019, were $166.7 million and $405.9 million, respectively. The fees and interest paid under the RPAs were $6.8 million and $20.4 million for the nine months ended September 30, 2020</w:t>
      </w:r>
      <w:r>
        <w:rPr>
          <w:rFonts w:eastAsia="Times New Roman"/>
          <w:color w:val="000000"/>
          <w:sz w:val="20"/>
          <w:szCs w:val="20"/>
        </w:rPr>
        <w:t xml:space="preserve"> and 2019, respectively. For the nine months ended September 30, 2020 and 2019, cash payments to the owners of account receivables were $2.9 billion and $6.3 billion, respectively, and cash proceeds from the sale of account receivables were $2.6 billion an</w:t>
      </w:r>
      <w:r>
        <w:rPr>
          <w:rFonts w:eastAsia="Times New Roman"/>
          <w:color w:val="000000"/>
          <w:sz w:val="20"/>
          <w:szCs w:val="20"/>
        </w:rPr>
        <w:t>d $6.3 billion, respe</w:t>
      </w:r>
      <w:r>
        <w:rPr>
          <w:rFonts w:eastAsia="Times New Roman"/>
          <w:color w:val="000000"/>
          <w:sz w:val="20"/>
          <w:szCs w:val="20"/>
          <w:shd w:val="clear" w:color="auto" w:fill="FFFFFF"/>
        </w:rPr>
        <w:t>ctively.</w:t>
      </w:r>
    </w:p>
    <w:p w14:paraId="7F548402" w14:textId="77777777" w:rsidR="00000000" w:rsidRDefault="000A3118">
      <w:pPr>
        <w:jc w:val="both"/>
        <w:rPr>
          <w:rFonts w:eastAsia="Times New Roman"/>
        </w:rPr>
      </w:pPr>
    </w:p>
    <w:p w14:paraId="68593011" w14:textId="77777777" w:rsidR="00000000" w:rsidRDefault="000A3118">
      <w:pPr>
        <w:divId w:val="2016759587"/>
        <w:rPr>
          <w:rFonts w:eastAsia="Times New Roman"/>
        </w:rPr>
      </w:pPr>
    </w:p>
    <w:p w14:paraId="4095F962" w14:textId="77777777" w:rsidR="00000000" w:rsidRDefault="000A3118">
      <w:pPr>
        <w:jc w:val="both"/>
        <w:rPr>
          <w:rFonts w:eastAsia="Times New Roman"/>
        </w:rPr>
      </w:pPr>
      <w:r>
        <w:rPr>
          <w:rFonts w:eastAsia="Times New Roman"/>
          <w:b/>
          <w:bCs/>
          <w:color w:val="000000"/>
          <w:sz w:val="20"/>
          <w:szCs w:val="20"/>
        </w:rPr>
        <w:t>3. Acquisitions and Divestitures</w:t>
      </w:r>
    </w:p>
    <w:p w14:paraId="548CEC15" w14:textId="77777777" w:rsidR="00000000" w:rsidRDefault="000A3118">
      <w:pPr>
        <w:jc w:val="both"/>
        <w:rPr>
          <w:rFonts w:eastAsia="Times New Roman"/>
        </w:rPr>
      </w:pPr>
      <w:r>
        <w:rPr>
          <w:rFonts w:eastAsia="Times New Roman"/>
          <w:color w:val="000000"/>
          <w:sz w:val="20"/>
          <w:szCs w:val="20"/>
        </w:rPr>
        <w:t> </w:t>
      </w:r>
    </w:p>
    <w:p w14:paraId="3D49C668" w14:textId="77777777" w:rsidR="00000000" w:rsidRDefault="000A3118">
      <w:pPr>
        <w:jc w:val="both"/>
        <w:rPr>
          <w:rFonts w:eastAsia="Times New Roman"/>
        </w:rPr>
      </w:pPr>
      <w:r>
        <w:rPr>
          <w:rFonts w:eastAsia="Times New Roman"/>
          <w:b/>
          <w:bCs/>
          <w:color w:val="000000"/>
          <w:sz w:val="20"/>
          <w:szCs w:val="20"/>
        </w:rPr>
        <w:t>2020 Divestitures</w:t>
      </w:r>
    </w:p>
    <w:p w14:paraId="524D6962" w14:textId="77777777" w:rsidR="00000000" w:rsidRDefault="000A3118">
      <w:pPr>
        <w:ind w:firstLine="360"/>
        <w:jc w:val="both"/>
        <w:rPr>
          <w:rFonts w:eastAsia="Times New Roman"/>
        </w:rPr>
      </w:pPr>
    </w:p>
    <w:p w14:paraId="7ED0BA20" w14:textId="77777777" w:rsidR="00000000" w:rsidRDefault="000A3118">
      <w:pPr>
        <w:ind w:firstLine="360"/>
        <w:jc w:val="both"/>
        <w:rPr>
          <w:rFonts w:eastAsia="Times New Roman"/>
        </w:rPr>
      </w:pPr>
      <w:r>
        <w:rPr>
          <w:rFonts w:eastAsia="Times New Roman"/>
          <w:color w:val="000000"/>
          <w:sz w:val="20"/>
          <w:szCs w:val="20"/>
        </w:rPr>
        <w:t>On September 30, 2020, we completed the sale of our Multi Service payment solutions business ("MSTS") pursuant to the definitive agreement signed on July 30, 2020, for gross cash proceeds at closing of $303.5 million (cash proceeds net of cash sold was $26</w:t>
      </w:r>
      <w:r>
        <w:rPr>
          <w:rFonts w:eastAsia="Times New Roman"/>
          <w:color w:val="000000"/>
          <w:sz w:val="20"/>
          <w:szCs w:val="20"/>
        </w:rPr>
        <w:t>8.4 million), subject to post-closing adjustments and additional deferred payment of $75.0 million of which $50.0 million will be conditioned on MSTS's achievement of financial targets in 2021 and 2022. The contingent consideration was measured at fair val</w:t>
      </w:r>
      <w:r>
        <w:rPr>
          <w:rFonts w:eastAsia="Times New Roman"/>
          <w:color w:val="000000"/>
          <w:sz w:val="20"/>
          <w:szCs w:val="20"/>
        </w:rPr>
        <w:t>ue at the day of the closing. The sale resulted in a pre-tax gain of $80.0 million, net of costs to sell, that was included in Other income (expense), net within our Consolidated Statements of Income and Comprehensive Income. The related tax expense of $16</w:t>
      </w:r>
      <w:r>
        <w:rPr>
          <w:rFonts w:eastAsia="Times New Roman"/>
          <w:color w:val="000000"/>
          <w:sz w:val="20"/>
          <w:szCs w:val="20"/>
        </w:rPr>
        <w:t>.1 million was included in Provision for income taxes within our Consolidated Statements of Income and Comprehensive Income. Prior to the sale, MSTS was a reporting unit mainly reported within the land segment. The sale did not meet the criteria to be repo</w:t>
      </w:r>
      <w:r>
        <w:rPr>
          <w:rFonts w:eastAsia="Times New Roman"/>
          <w:color w:val="000000"/>
          <w:sz w:val="20"/>
          <w:szCs w:val="20"/>
        </w:rPr>
        <w:t>rted as a discontinued operation.</w:t>
      </w:r>
    </w:p>
    <w:p w14:paraId="2881628D" w14:textId="77777777" w:rsidR="00000000" w:rsidRDefault="000A3118">
      <w:pPr>
        <w:jc w:val="both"/>
        <w:rPr>
          <w:rFonts w:eastAsia="Times New Roman"/>
        </w:rPr>
      </w:pPr>
    </w:p>
    <w:p w14:paraId="06AE77B2" w14:textId="77777777" w:rsidR="00000000" w:rsidRDefault="000A3118">
      <w:pPr>
        <w:jc w:val="both"/>
        <w:rPr>
          <w:rFonts w:eastAsia="Times New Roman"/>
        </w:rPr>
      </w:pPr>
      <w:r>
        <w:rPr>
          <w:rFonts w:eastAsia="Times New Roman"/>
          <w:b/>
          <w:bCs/>
          <w:color w:val="000000"/>
          <w:sz w:val="20"/>
          <w:szCs w:val="20"/>
        </w:rPr>
        <w:t>2020 Acquisitions</w:t>
      </w:r>
    </w:p>
    <w:p w14:paraId="6E328B2D" w14:textId="77777777" w:rsidR="00000000" w:rsidRDefault="000A3118">
      <w:pPr>
        <w:ind w:firstLine="360"/>
        <w:jc w:val="both"/>
        <w:rPr>
          <w:rFonts w:eastAsia="Times New Roman"/>
        </w:rPr>
      </w:pPr>
    </w:p>
    <w:p w14:paraId="2412414C" w14:textId="77777777" w:rsidR="00000000" w:rsidRDefault="000A3118">
      <w:pPr>
        <w:ind w:firstLine="360"/>
        <w:jc w:val="both"/>
        <w:rPr>
          <w:rFonts w:eastAsia="Times New Roman"/>
        </w:rPr>
      </w:pPr>
      <w:r>
        <w:rPr>
          <w:rFonts w:eastAsia="Times New Roman"/>
          <w:color w:val="000000"/>
          <w:sz w:val="20"/>
          <w:szCs w:val="20"/>
        </w:rPr>
        <w:t xml:space="preserve">During the second quarter of 2020, we acquired an additional interest in a software company in our aviation segment and obtained control. The transaction was accounted for as an asset acquisition and </w:t>
      </w:r>
      <w:r>
        <w:rPr>
          <w:rFonts w:eastAsia="Times New Roman"/>
          <w:color w:val="000000"/>
          <w:sz w:val="20"/>
          <w:szCs w:val="20"/>
        </w:rPr>
        <w:t>did not have a material impact on our Consolidated Financial Statements.</w:t>
      </w:r>
    </w:p>
    <w:p w14:paraId="6B5FD580" w14:textId="77777777" w:rsidR="00000000" w:rsidRDefault="000A3118">
      <w:pPr>
        <w:ind w:firstLine="360"/>
        <w:jc w:val="both"/>
        <w:rPr>
          <w:rFonts w:eastAsia="Times New Roman"/>
        </w:rPr>
      </w:pPr>
    </w:p>
    <w:p w14:paraId="568E87FC" w14:textId="77777777" w:rsidR="00000000" w:rsidRDefault="000A3118">
      <w:pPr>
        <w:ind w:firstLine="360"/>
        <w:jc w:val="both"/>
        <w:rPr>
          <w:rFonts w:eastAsia="Times New Roman"/>
        </w:rPr>
      </w:pPr>
      <w:r>
        <w:rPr>
          <w:rFonts w:eastAsia="Times New Roman"/>
          <w:color w:val="000000"/>
          <w:sz w:val="20"/>
          <w:szCs w:val="20"/>
        </w:rPr>
        <w:t>During the first quarter of 2020, we completed the acquisition of the aviation fuel business from Universal Weather and Aviation, Inc. (“UVair fuel business”), which serves business</w:t>
      </w:r>
      <w:r>
        <w:rPr>
          <w:rFonts w:eastAsia="Times New Roman"/>
          <w:color w:val="000000"/>
          <w:sz w:val="20"/>
          <w:szCs w:val="20"/>
        </w:rPr>
        <w:t xml:space="preserve"> and general aviation customers worldwide. The acquisition was accounted for as a business combination.</w:t>
      </w:r>
    </w:p>
    <w:p w14:paraId="3503AB62" w14:textId="77777777" w:rsidR="00000000" w:rsidRDefault="000A3118">
      <w:pPr>
        <w:ind w:firstLine="360"/>
        <w:jc w:val="both"/>
        <w:rPr>
          <w:rFonts w:eastAsia="Times New Roman"/>
        </w:rPr>
      </w:pPr>
    </w:p>
    <w:p w14:paraId="68D2AA76" w14:textId="77777777" w:rsidR="00000000" w:rsidRDefault="000A3118">
      <w:pPr>
        <w:jc w:val="both"/>
        <w:divId w:val="293220725"/>
        <w:rPr>
          <w:rFonts w:eastAsia="Times New Roman"/>
        </w:rPr>
      </w:pPr>
      <w:r>
        <w:rPr>
          <w:rFonts w:eastAsia="Times New Roman"/>
          <w:color w:val="000000"/>
          <w:sz w:val="20"/>
          <w:szCs w:val="20"/>
        </w:rPr>
        <w:t>    </w:t>
      </w:r>
    </w:p>
    <w:p w14:paraId="74E2653A" w14:textId="77777777" w:rsidR="00000000" w:rsidRDefault="000A3118">
      <w:pPr>
        <w:jc w:val="center"/>
        <w:divId w:val="1935896287"/>
        <w:rPr>
          <w:rFonts w:eastAsia="Times New Roman"/>
        </w:rPr>
      </w:pPr>
      <w:r>
        <w:rPr>
          <w:rFonts w:eastAsia="Times New Roman"/>
          <w:color w:val="000000"/>
          <w:sz w:val="20"/>
          <w:szCs w:val="20"/>
        </w:rPr>
        <w:t>10</w:t>
      </w:r>
    </w:p>
    <w:p w14:paraId="2C5265A5" w14:textId="77777777" w:rsidR="00000000" w:rsidRDefault="000A3118">
      <w:pPr>
        <w:rPr>
          <w:rFonts w:eastAsia="Times New Roman"/>
        </w:rPr>
      </w:pPr>
      <w:r>
        <w:rPr>
          <w:rFonts w:eastAsia="Times New Roman"/>
        </w:rPr>
        <w:pict w14:anchorId="1B511B99">
          <v:rect id="_x0000_i1038" style="width:0;height:1.5pt" o:hralign="center" o:hrstd="t" o:hr="t" fillcolor="#a0a0a0" stroked="f"/>
        </w:pict>
      </w:r>
    </w:p>
    <w:p w14:paraId="70124347" w14:textId="77777777" w:rsidR="00000000" w:rsidRDefault="000A3118">
      <w:pPr>
        <w:divId w:val="1440370079"/>
        <w:rPr>
          <w:rFonts w:eastAsia="Times New Roman"/>
        </w:rPr>
      </w:pPr>
    </w:p>
    <w:p w14:paraId="07AC00EB" w14:textId="77777777" w:rsidR="00000000" w:rsidRDefault="000A3118">
      <w:pPr>
        <w:jc w:val="both"/>
        <w:divId w:val="647442760"/>
        <w:rPr>
          <w:rFonts w:eastAsia="Times New Roman"/>
        </w:rPr>
      </w:pPr>
      <w:r>
        <w:rPr>
          <w:rFonts w:eastAsia="Times New Roman"/>
          <w:color w:val="000000"/>
          <w:sz w:val="20"/>
          <w:szCs w:val="20"/>
        </w:rPr>
        <w:t>The purchase price allocation was finalized in the third quarter of 2020 with immaterial changes. The fo</w:t>
      </w:r>
      <w:r>
        <w:rPr>
          <w:rFonts w:eastAsia="Times New Roman"/>
          <w:color w:val="000000"/>
          <w:sz w:val="20"/>
          <w:szCs w:val="20"/>
        </w:rPr>
        <w:t>llowing table summarizes the final aggregate consideration, updated for certain working capital items, and the final fair value of the assets acquired and liabilities assumed. The total consideration includes a deferred payment that is outstanding as of Se</w:t>
      </w:r>
      <w:r>
        <w:rPr>
          <w:rFonts w:eastAsia="Times New Roman"/>
          <w:color w:val="000000"/>
          <w:sz w:val="20"/>
          <w:szCs w:val="20"/>
        </w:rPr>
        <w:t>ptember 30, 2020.</w:t>
      </w:r>
    </w:p>
    <w:tbl>
      <w:tblPr>
        <w:tblW w:w="4992" w:type="pct"/>
        <w:tblCellMar>
          <w:top w:w="15" w:type="dxa"/>
          <w:left w:w="15" w:type="dxa"/>
          <w:bottom w:w="15" w:type="dxa"/>
          <w:right w:w="15" w:type="dxa"/>
        </w:tblCellMar>
        <w:tblLook w:val="04A0" w:firstRow="1" w:lastRow="0" w:firstColumn="1" w:lastColumn="0" w:noHBand="0" w:noVBand="1"/>
      </w:tblPr>
      <w:tblGrid>
        <w:gridCol w:w="58"/>
        <w:gridCol w:w="7450"/>
        <w:gridCol w:w="36"/>
        <w:gridCol w:w="100"/>
        <w:gridCol w:w="613"/>
        <w:gridCol w:w="36"/>
      </w:tblGrid>
      <w:tr w:rsidR="00000000" w14:paraId="1144E12B" w14:textId="77777777">
        <w:trPr>
          <w:divId w:val="1376467588"/>
        </w:trPr>
        <w:tc>
          <w:tcPr>
            <w:tcW w:w="50" w:type="pct"/>
            <w:vAlign w:val="center"/>
            <w:hideMark/>
          </w:tcPr>
          <w:p w14:paraId="6CABF03D" w14:textId="77777777" w:rsidR="00000000" w:rsidRDefault="000A3118">
            <w:pPr>
              <w:jc w:val="both"/>
              <w:rPr>
                <w:rFonts w:eastAsia="Times New Roman"/>
              </w:rPr>
            </w:pPr>
          </w:p>
        </w:tc>
        <w:tc>
          <w:tcPr>
            <w:tcW w:w="4505" w:type="pct"/>
            <w:vAlign w:val="center"/>
            <w:hideMark/>
          </w:tcPr>
          <w:p w14:paraId="1B2C4F32" w14:textId="77777777" w:rsidR="00000000" w:rsidRDefault="000A3118">
            <w:pPr>
              <w:rPr>
                <w:rFonts w:eastAsia="Times New Roman"/>
                <w:sz w:val="20"/>
                <w:szCs w:val="20"/>
              </w:rPr>
            </w:pPr>
          </w:p>
        </w:tc>
        <w:tc>
          <w:tcPr>
            <w:tcW w:w="5" w:type="pct"/>
            <w:vAlign w:val="center"/>
            <w:hideMark/>
          </w:tcPr>
          <w:p w14:paraId="0DE6EE89" w14:textId="77777777" w:rsidR="00000000" w:rsidRDefault="000A3118">
            <w:pPr>
              <w:rPr>
                <w:rFonts w:eastAsia="Times New Roman"/>
                <w:sz w:val="20"/>
                <w:szCs w:val="20"/>
              </w:rPr>
            </w:pPr>
          </w:p>
        </w:tc>
        <w:tc>
          <w:tcPr>
            <w:tcW w:w="50" w:type="pct"/>
            <w:vAlign w:val="center"/>
            <w:hideMark/>
          </w:tcPr>
          <w:p w14:paraId="6F59A82D" w14:textId="77777777" w:rsidR="00000000" w:rsidRDefault="000A3118">
            <w:pPr>
              <w:rPr>
                <w:rFonts w:eastAsia="Times New Roman"/>
                <w:sz w:val="20"/>
                <w:szCs w:val="20"/>
              </w:rPr>
            </w:pPr>
          </w:p>
        </w:tc>
        <w:tc>
          <w:tcPr>
            <w:tcW w:w="384" w:type="pct"/>
            <w:vAlign w:val="center"/>
            <w:hideMark/>
          </w:tcPr>
          <w:p w14:paraId="5D95BF35" w14:textId="77777777" w:rsidR="00000000" w:rsidRDefault="000A3118">
            <w:pPr>
              <w:rPr>
                <w:rFonts w:eastAsia="Times New Roman"/>
                <w:sz w:val="20"/>
                <w:szCs w:val="20"/>
              </w:rPr>
            </w:pPr>
          </w:p>
        </w:tc>
        <w:tc>
          <w:tcPr>
            <w:tcW w:w="5" w:type="pct"/>
            <w:vAlign w:val="center"/>
            <w:hideMark/>
          </w:tcPr>
          <w:p w14:paraId="54D52DA4" w14:textId="77777777" w:rsidR="00000000" w:rsidRDefault="000A3118">
            <w:pPr>
              <w:rPr>
                <w:rFonts w:eastAsia="Times New Roman"/>
                <w:sz w:val="20"/>
                <w:szCs w:val="20"/>
              </w:rPr>
            </w:pPr>
          </w:p>
        </w:tc>
      </w:tr>
      <w:tr w:rsidR="00000000" w14:paraId="0F258C15" w14:textId="77777777">
        <w:trPr>
          <w:divId w:val="1376467588"/>
        </w:trPr>
        <w:tc>
          <w:tcPr>
            <w:tcW w:w="0" w:type="auto"/>
            <w:gridSpan w:val="3"/>
            <w:tcMar>
              <w:top w:w="0" w:type="dxa"/>
              <w:left w:w="20" w:type="dxa"/>
              <w:bottom w:w="0" w:type="dxa"/>
              <w:right w:w="20" w:type="dxa"/>
            </w:tcMar>
            <w:vAlign w:val="center"/>
            <w:hideMark/>
          </w:tcPr>
          <w:p w14:paraId="1A7EFA60"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145800DB" w14:textId="77777777" w:rsidR="00000000" w:rsidRDefault="000A3118">
            <w:pPr>
              <w:jc w:val="center"/>
              <w:rPr>
                <w:rFonts w:eastAsia="Times New Roman"/>
              </w:rPr>
            </w:pPr>
            <w:r>
              <w:rPr>
                <w:rFonts w:eastAsia="Times New Roman"/>
                <w:b/>
                <w:bCs/>
                <w:color w:val="000000"/>
                <w:sz w:val="16"/>
                <w:szCs w:val="16"/>
              </w:rPr>
              <w:t>Total</w:t>
            </w:r>
          </w:p>
        </w:tc>
      </w:tr>
      <w:tr w:rsidR="00000000" w14:paraId="3B754B8B" w14:textId="77777777">
        <w:trPr>
          <w:divId w:val="1376467588"/>
        </w:trPr>
        <w:tc>
          <w:tcPr>
            <w:tcW w:w="0" w:type="auto"/>
            <w:gridSpan w:val="3"/>
            <w:shd w:val="clear" w:color="auto" w:fill="CCEEFF"/>
            <w:tcMar>
              <w:top w:w="30" w:type="dxa"/>
              <w:left w:w="20" w:type="dxa"/>
              <w:bottom w:w="30" w:type="dxa"/>
              <w:right w:w="20" w:type="dxa"/>
            </w:tcMar>
            <w:vAlign w:val="bottom"/>
            <w:hideMark/>
          </w:tcPr>
          <w:p w14:paraId="2E7BAFC9" w14:textId="77777777" w:rsidR="00000000" w:rsidRDefault="000A3118">
            <w:pPr>
              <w:rPr>
                <w:rFonts w:eastAsia="Times New Roman"/>
              </w:rPr>
            </w:pPr>
            <w:r>
              <w:rPr>
                <w:rFonts w:eastAsia="Times New Roman"/>
                <w:b/>
                <w:bCs/>
                <w:color w:val="000000"/>
                <w:sz w:val="16"/>
                <w:szCs w:val="16"/>
              </w:rPr>
              <w:t>Cash paid for acquisition of business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1387A9" w14:textId="77777777" w:rsidR="00000000" w:rsidRDefault="000A3118">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484FD6" w14:textId="77777777" w:rsidR="00000000" w:rsidRDefault="000A3118">
            <w:pPr>
              <w:jc w:val="right"/>
              <w:rPr>
                <w:rFonts w:eastAsia="Times New Roman"/>
              </w:rPr>
            </w:pPr>
            <w:r>
              <w:rPr>
                <w:rFonts w:eastAsia="Times New Roman"/>
                <w:b/>
                <w:bCs/>
                <w:color w:val="000000"/>
                <w:sz w:val="16"/>
                <w:szCs w:val="16"/>
              </w:rPr>
              <w:t>129.0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2B9EBC" w14:textId="77777777" w:rsidR="00000000" w:rsidRDefault="000A3118">
            <w:pPr>
              <w:jc w:val="right"/>
              <w:rPr>
                <w:rFonts w:eastAsia="Times New Roman"/>
              </w:rPr>
            </w:pPr>
          </w:p>
        </w:tc>
      </w:tr>
      <w:tr w:rsidR="00000000" w14:paraId="42B6B331" w14:textId="77777777">
        <w:trPr>
          <w:divId w:val="1376467588"/>
        </w:trPr>
        <w:tc>
          <w:tcPr>
            <w:tcW w:w="0" w:type="auto"/>
            <w:gridSpan w:val="3"/>
            <w:shd w:val="clear" w:color="auto" w:fill="FFFFFF"/>
            <w:tcMar>
              <w:top w:w="30" w:type="dxa"/>
              <w:left w:w="20" w:type="dxa"/>
              <w:bottom w:w="30" w:type="dxa"/>
              <w:right w:w="20" w:type="dxa"/>
            </w:tcMar>
            <w:vAlign w:val="bottom"/>
            <w:hideMark/>
          </w:tcPr>
          <w:p w14:paraId="1DDFE4A6" w14:textId="77777777" w:rsidR="00000000" w:rsidRDefault="000A3118">
            <w:pPr>
              <w:rPr>
                <w:rFonts w:eastAsia="Times New Roman"/>
              </w:rPr>
            </w:pPr>
            <w:r>
              <w:rPr>
                <w:rFonts w:eastAsia="Times New Roman"/>
                <w:color w:val="000000"/>
                <w:sz w:val="16"/>
                <w:szCs w:val="16"/>
              </w:rPr>
              <w:t>Amounts due to sellers</w:t>
            </w:r>
          </w:p>
        </w:tc>
        <w:tc>
          <w:tcPr>
            <w:tcW w:w="0" w:type="auto"/>
            <w:gridSpan w:val="2"/>
            <w:shd w:val="clear" w:color="auto" w:fill="FFFFFF"/>
            <w:tcMar>
              <w:top w:w="30" w:type="dxa"/>
              <w:left w:w="20" w:type="dxa"/>
              <w:bottom w:w="30" w:type="dxa"/>
              <w:right w:w="0" w:type="dxa"/>
            </w:tcMar>
            <w:vAlign w:val="bottom"/>
            <w:hideMark/>
          </w:tcPr>
          <w:p w14:paraId="315373EC" w14:textId="77777777" w:rsidR="00000000" w:rsidRDefault="000A3118">
            <w:pPr>
              <w:jc w:val="right"/>
              <w:rPr>
                <w:rFonts w:eastAsia="Times New Roman"/>
              </w:rPr>
            </w:pPr>
            <w:r>
              <w:rPr>
                <w:rFonts w:eastAsia="Times New Roman"/>
                <w:color w:val="000000"/>
                <w:sz w:val="16"/>
                <w:szCs w:val="16"/>
              </w:rPr>
              <w:t>30.0 </w:t>
            </w:r>
          </w:p>
        </w:tc>
        <w:tc>
          <w:tcPr>
            <w:tcW w:w="0" w:type="auto"/>
            <w:shd w:val="clear" w:color="auto" w:fill="FFFFFF"/>
            <w:tcMar>
              <w:top w:w="30" w:type="dxa"/>
              <w:left w:w="0" w:type="dxa"/>
              <w:bottom w:w="30" w:type="dxa"/>
              <w:right w:w="20" w:type="dxa"/>
            </w:tcMar>
            <w:vAlign w:val="bottom"/>
            <w:hideMark/>
          </w:tcPr>
          <w:p w14:paraId="6992E060" w14:textId="77777777" w:rsidR="00000000" w:rsidRDefault="000A3118">
            <w:pPr>
              <w:jc w:val="right"/>
              <w:rPr>
                <w:rFonts w:eastAsia="Times New Roman"/>
              </w:rPr>
            </w:pPr>
          </w:p>
        </w:tc>
      </w:tr>
      <w:tr w:rsidR="00000000" w14:paraId="7D00403E" w14:textId="77777777">
        <w:trPr>
          <w:divId w:val="137646758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05435A" w14:textId="77777777" w:rsidR="00000000" w:rsidRDefault="000A3118">
            <w:pPr>
              <w:rPr>
                <w:rFonts w:eastAsia="Times New Roman"/>
              </w:rPr>
            </w:pPr>
            <w:r>
              <w:rPr>
                <w:rFonts w:eastAsia="Times New Roman"/>
                <w:b/>
                <w:bCs/>
                <w:color w:val="000000"/>
                <w:sz w:val="16"/>
                <w:szCs w:val="16"/>
              </w:rPr>
              <w:t>Purchase price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F5CAC2" w14:textId="77777777" w:rsidR="00000000" w:rsidRDefault="000A3118">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704014" w14:textId="77777777" w:rsidR="00000000" w:rsidRDefault="000A3118">
            <w:pPr>
              <w:jc w:val="right"/>
              <w:rPr>
                <w:rFonts w:eastAsia="Times New Roman"/>
              </w:rPr>
            </w:pPr>
            <w:r>
              <w:rPr>
                <w:rFonts w:eastAsia="Times New Roman"/>
                <w:b/>
                <w:bCs/>
                <w:color w:val="000000"/>
                <w:sz w:val="16"/>
                <w:szCs w:val="16"/>
              </w:rPr>
              <w:t>159.0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5723AB" w14:textId="77777777" w:rsidR="00000000" w:rsidRDefault="000A3118">
            <w:pPr>
              <w:jc w:val="right"/>
              <w:rPr>
                <w:rFonts w:eastAsia="Times New Roman"/>
              </w:rPr>
            </w:pPr>
          </w:p>
        </w:tc>
      </w:tr>
      <w:tr w:rsidR="00000000" w14:paraId="5F499387" w14:textId="77777777">
        <w:trPr>
          <w:divId w:val="1376467588"/>
          <w:trHeight w:val="24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DAD84BC"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C9DDAA" w14:textId="77777777" w:rsidR="00000000" w:rsidRDefault="000A3118">
            <w:pPr>
              <w:rPr>
                <w:rFonts w:eastAsia="Times New Roman"/>
                <w:sz w:val="20"/>
                <w:szCs w:val="20"/>
              </w:rPr>
            </w:pPr>
          </w:p>
        </w:tc>
      </w:tr>
      <w:tr w:rsidR="00000000" w14:paraId="63FDEA0D" w14:textId="77777777">
        <w:trPr>
          <w:divId w:val="1376467588"/>
        </w:trPr>
        <w:tc>
          <w:tcPr>
            <w:tcW w:w="0" w:type="auto"/>
            <w:gridSpan w:val="3"/>
            <w:shd w:val="clear" w:color="auto" w:fill="CCEEFF"/>
            <w:tcMar>
              <w:top w:w="30" w:type="dxa"/>
              <w:left w:w="20" w:type="dxa"/>
              <w:bottom w:w="30" w:type="dxa"/>
              <w:right w:w="20" w:type="dxa"/>
            </w:tcMar>
            <w:vAlign w:val="bottom"/>
            <w:hideMark/>
          </w:tcPr>
          <w:p w14:paraId="24AD9AE7" w14:textId="77777777" w:rsidR="00000000" w:rsidRDefault="000A3118">
            <w:pPr>
              <w:rPr>
                <w:rFonts w:eastAsia="Times New Roman"/>
              </w:rPr>
            </w:pPr>
            <w:r>
              <w:rPr>
                <w:rFonts w:eastAsia="Times New Roman"/>
                <w:b/>
                <w:bCs/>
                <w:color w:val="000000"/>
                <w:sz w:val="16"/>
                <w:szCs w:val="16"/>
              </w:rPr>
              <w:t>Assets acquired:</w:t>
            </w:r>
          </w:p>
        </w:tc>
        <w:tc>
          <w:tcPr>
            <w:tcW w:w="0" w:type="auto"/>
            <w:gridSpan w:val="3"/>
            <w:shd w:val="clear" w:color="auto" w:fill="CCEEFF"/>
            <w:tcMar>
              <w:top w:w="0" w:type="dxa"/>
              <w:left w:w="20" w:type="dxa"/>
              <w:bottom w:w="0" w:type="dxa"/>
              <w:right w:w="20" w:type="dxa"/>
            </w:tcMar>
            <w:vAlign w:val="center"/>
            <w:hideMark/>
          </w:tcPr>
          <w:p w14:paraId="331C693C" w14:textId="77777777" w:rsidR="00000000" w:rsidRDefault="000A3118">
            <w:pPr>
              <w:rPr>
                <w:rFonts w:eastAsia="Times New Roman"/>
              </w:rPr>
            </w:pPr>
          </w:p>
        </w:tc>
      </w:tr>
      <w:tr w:rsidR="00000000" w14:paraId="6BBFBB1B" w14:textId="77777777">
        <w:trPr>
          <w:divId w:val="1376467588"/>
        </w:trPr>
        <w:tc>
          <w:tcPr>
            <w:tcW w:w="0" w:type="auto"/>
            <w:gridSpan w:val="3"/>
            <w:shd w:val="clear" w:color="auto" w:fill="FFFFFF"/>
            <w:tcMar>
              <w:top w:w="30" w:type="dxa"/>
              <w:left w:w="20" w:type="dxa"/>
              <w:bottom w:w="30" w:type="dxa"/>
              <w:right w:w="20" w:type="dxa"/>
            </w:tcMar>
            <w:vAlign w:val="bottom"/>
            <w:hideMark/>
          </w:tcPr>
          <w:p w14:paraId="1F08EAF6" w14:textId="77777777" w:rsidR="00000000" w:rsidRDefault="000A3118">
            <w:pPr>
              <w:rPr>
                <w:rFonts w:eastAsia="Times New Roman"/>
              </w:rPr>
            </w:pPr>
            <w:r>
              <w:rPr>
                <w:rFonts w:eastAsia="Times New Roman"/>
                <w:color w:val="000000"/>
                <w:sz w:val="16"/>
                <w:szCs w:val="16"/>
              </w:rPr>
              <w:t>Accounts receivable</w:t>
            </w:r>
          </w:p>
        </w:tc>
        <w:tc>
          <w:tcPr>
            <w:tcW w:w="0" w:type="auto"/>
            <w:shd w:val="clear" w:color="auto" w:fill="FFFFFF"/>
            <w:tcMar>
              <w:top w:w="30" w:type="dxa"/>
              <w:left w:w="20" w:type="dxa"/>
              <w:bottom w:w="30" w:type="dxa"/>
              <w:right w:w="0" w:type="dxa"/>
            </w:tcMar>
            <w:vAlign w:val="bottom"/>
            <w:hideMark/>
          </w:tcPr>
          <w:p w14:paraId="342AAAF9"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3EDD07F" w14:textId="77777777" w:rsidR="00000000" w:rsidRDefault="000A3118">
            <w:pPr>
              <w:jc w:val="right"/>
              <w:rPr>
                <w:rFonts w:eastAsia="Times New Roman"/>
              </w:rPr>
            </w:pPr>
            <w:r>
              <w:rPr>
                <w:rFonts w:eastAsia="Times New Roman"/>
                <w:color w:val="000000"/>
                <w:sz w:val="16"/>
                <w:szCs w:val="16"/>
              </w:rPr>
              <w:t>42.8 </w:t>
            </w:r>
          </w:p>
        </w:tc>
        <w:tc>
          <w:tcPr>
            <w:tcW w:w="0" w:type="auto"/>
            <w:shd w:val="clear" w:color="auto" w:fill="FFFFFF"/>
            <w:tcMar>
              <w:top w:w="30" w:type="dxa"/>
              <w:left w:w="0" w:type="dxa"/>
              <w:bottom w:w="30" w:type="dxa"/>
              <w:right w:w="20" w:type="dxa"/>
            </w:tcMar>
            <w:vAlign w:val="bottom"/>
            <w:hideMark/>
          </w:tcPr>
          <w:p w14:paraId="35648143" w14:textId="77777777" w:rsidR="00000000" w:rsidRDefault="000A3118">
            <w:pPr>
              <w:jc w:val="right"/>
              <w:rPr>
                <w:rFonts w:eastAsia="Times New Roman"/>
              </w:rPr>
            </w:pPr>
          </w:p>
        </w:tc>
      </w:tr>
      <w:tr w:rsidR="00000000" w14:paraId="20BCCC42" w14:textId="77777777">
        <w:trPr>
          <w:divId w:val="1376467588"/>
        </w:trPr>
        <w:tc>
          <w:tcPr>
            <w:tcW w:w="0" w:type="auto"/>
            <w:gridSpan w:val="3"/>
            <w:shd w:val="clear" w:color="auto" w:fill="CCEEFF"/>
            <w:tcMar>
              <w:top w:w="30" w:type="dxa"/>
              <w:left w:w="20" w:type="dxa"/>
              <w:bottom w:w="30" w:type="dxa"/>
              <w:right w:w="20" w:type="dxa"/>
            </w:tcMar>
            <w:vAlign w:val="bottom"/>
            <w:hideMark/>
          </w:tcPr>
          <w:p w14:paraId="3579FDDC" w14:textId="77777777" w:rsidR="00000000" w:rsidRDefault="000A3118">
            <w:pPr>
              <w:rPr>
                <w:rFonts w:eastAsia="Times New Roman"/>
              </w:rPr>
            </w:pPr>
            <w:r>
              <w:rPr>
                <w:rFonts w:eastAsia="Times New Roman"/>
                <w:color w:val="000000"/>
                <w:sz w:val="16"/>
                <w:szCs w:val="16"/>
              </w:rPr>
              <w:t>Goodwill and identifiable intangible assets</w:t>
            </w:r>
          </w:p>
        </w:tc>
        <w:tc>
          <w:tcPr>
            <w:tcW w:w="0" w:type="auto"/>
            <w:gridSpan w:val="2"/>
            <w:shd w:val="clear" w:color="auto" w:fill="CCEEFF"/>
            <w:tcMar>
              <w:top w:w="30" w:type="dxa"/>
              <w:left w:w="20" w:type="dxa"/>
              <w:bottom w:w="30" w:type="dxa"/>
              <w:right w:w="0" w:type="dxa"/>
            </w:tcMar>
            <w:vAlign w:val="bottom"/>
            <w:hideMark/>
          </w:tcPr>
          <w:p w14:paraId="240CAEED" w14:textId="77777777" w:rsidR="00000000" w:rsidRDefault="000A3118">
            <w:pPr>
              <w:jc w:val="right"/>
              <w:rPr>
                <w:rFonts w:eastAsia="Times New Roman"/>
              </w:rPr>
            </w:pPr>
            <w:r>
              <w:rPr>
                <w:rFonts w:eastAsia="Times New Roman"/>
                <w:color w:val="000000"/>
                <w:sz w:val="16"/>
                <w:szCs w:val="16"/>
              </w:rPr>
              <w:t>123.3 </w:t>
            </w:r>
          </w:p>
        </w:tc>
        <w:tc>
          <w:tcPr>
            <w:tcW w:w="0" w:type="auto"/>
            <w:shd w:val="clear" w:color="auto" w:fill="CCEEFF"/>
            <w:tcMar>
              <w:top w:w="30" w:type="dxa"/>
              <w:left w:w="0" w:type="dxa"/>
              <w:bottom w:w="30" w:type="dxa"/>
              <w:right w:w="20" w:type="dxa"/>
            </w:tcMar>
            <w:vAlign w:val="bottom"/>
            <w:hideMark/>
          </w:tcPr>
          <w:p w14:paraId="159F70F3" w14:textId="77777777" w:rsidR="00000000" w:rsidRDefault="000A3118">
            <w:pPr>
              <w:jc w:val="right"/>
              <w:rPr>
                <w:rFonts w:eastAsia="Times New Roman"/>
              </w:rPr>
            </w:pPr>
          </w:p>
        </w:tc>
      </w:tr>
      <w:tr w:rsidR="00000000" w14:paraId="7D501CE2" w14:textId="77777777">
        <w:trPr>
          <w:divId w:val="1376467588"/>
        </w:trPr>
        <w:tc>
          <w:tcPr>
            <w:tcW w:w="0" w:type="auto"/>
            <w:gridSpan w:val="3"/>
            <w:shd w:val="clear" w:color="auto" w:fill="FFFFFF"/>
            <w:tcMar>
              <w:top w:w="30" w:type="dxa"/>
              <w:left w:w="20" w:type="dxa"/>
              <w:bottom w:w="30" w:type="dxa"/>
              <w:right w:w="20" w:type="dxa"/>
            </w:tcMar>
            <w:vAlign w:val="bottom"/>
            <w:hideMark/>
          </w:tcPr>
          <w:p w14:paraId="05F4B960" w14:textId="77777777" w:rsidR="00000000" w:rsidRDefault="000A3118">
            <w:pPr>
              <w:rPr>
                <w:rFonts w:eastAsia="Times New Roman"/>
              </w:rPr>
            </w:pPr>
            <w:r>
              <w:rPr>
                <w:rFonts w:eastAsia="Times New Roman"/>
                <w:color w:val="000000"/>
                <w:sz w:val="16"/>
                <w:szCs w:val="16"/>
              </w:rPr>
              <w:t>Other current and long-term assets</w:t>
            </w:r>
          </w:p>
        </w:tc>
        <w:tc>
          <w:tcPr>
            <w:tcW w:w="0" w:type="auto"/>
            <w:gridSpan w:val="2"/>
            <w:shd w:val="clear" w:color="auto" w:fill="FFFFFF"/>
            <w:tcMar>
              <w:top w:w="30" w:type="dxa"/>
              <w:left w:w="20" w:type="dxa"/>
              <w:bottom w:w="30" w:type="dxa"/>
              <w:right w:w="0" w:type="dxa"/>
            </w:tcMar>
            <w:vAlign w:val="bottom"/>
            <w:hideMark/>
          </w:tcPr>
          <w:p w14:paraId="18785099" w14:textId="77777777" w:rsidR="00000000" w:rsidRDefault="000A3118">
            <w:pPr>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14:paraId="5AB8C450" w14:textId="77777777" w:rsidR="00000000" w:rsidRDefault="000A3118">
            <w:pPr>
              <w:jc w:val="right"/>
              <w:rPr>
                <w:rFonts w:eastAsia="Times New Roman"/>
              </w:rPr>
            </w:pPr>
          </w:p>
        </w:tc>
      </w:tr>
      <w:tr w:rsidR="00000000" w14:paraId="3937DA85" w14:textId="77777777">
        <w:trPr>
          <w:divId w:val="1376467588"/>
          <w:trHeight w:val="240"/>
        </w:trPr>
        <w:tc>
          <w:tcPr>
            <w:tcW w:w="0" w:type="auto"/>
            <w:gridSpan w:val="3"/>
            <w:shd w:val="clear" w:color="auto" w:fill="CCEEFF"/>
            <w:tcMar>
              <w:top w:w="0" w:type="dxa"/>
              <w:left w:w="20" w:type="dxa"/>
              <w:bottom w:w="0" w:type="dxa"/>
              <w:right w:w="20" w:type="dxa"/>
            </w:tcMar>
            <w:vAlign w:val="center"/>
            <w:hideMark/>
          </w:tcPr>
          <w:p w14:paraId="0570F28E" w14:textId="77777777" w:rsidR="00000000" w:rsidRDefault="000A311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15ED27" w14:textId="77777777" w:rsidR="00000000" w:rsidRDefault="000A3118">
            <w:pPr>
              <w:rPr>
                <w:rFonts w:eastAsia="Times New Roman"/>
                <w:sz w:val="20"/>
                <w:szCs w:val="20"/>
              </w:rPr>
            </w:pPr>
          </w:p>
        </w:tc>
      </w:tr>
      <w:tr w:rsidR="00000000" w14:paraId="20389C9D" w14:textId="77777777">
        <w:trPr>
          <w:divId w:val="1376467588"/>
        </w:trPr>
        <w:tc>
          <w:tcPr>
            <w:tcW w:w="0" w:type="auto"/>
            <w:gridSpan w:val="3"/>
            <w:shd w:val="clear" w:color="auto" w:fill="FFFFFF"/>
            <w:tcMar>
              <w:top w:w="30" w:type="dxa"/>
              <w:left w:w="20" w:type="dxa"/>
              <w:bottom w:w="30" w:type="dxa"/>
              <w:right w:w="20" w:type="dxa"/>
            </w:tcMar>
            <w:vAlign w:val="bottom"/>
            <w:hideMark/>
          </w:tcPr>
          <w:p w14:paraId="2EC6E2A1" w14:textId="77777777" w:rsidR="00000000" w:rsidRDefault="000A3118">
            <w:pPr>
              <w:rPr>
                <w:rFonts w:eastAsia="Times New Roman"/>
              </w:rPr>
            </w:pPr>
            <w:r>
              <w:rPr>
                <w:rFonts w:eastAsia="Times New Roman"/>
                <w:b/>
                <w:bCs/>
                <w:color w:val="000000"/>
                <w:sz w:val="16"/>
                <w:szCs w:val="16"/>
              </w:rPr>
              <w:t>Liabilities assumed:</w:t>
            </w:r>
          </w:p>
        </w:tc>
        <w:tc>
          <w:tcPr>
            <w:tcW w:w="0" w:type="auto"/>
            <w:gridSpan w:val="3"/>
            <w:shd w:val="clear" w:color="auto" w:fill="FFFFFF"/>
            <w:tcMar>
              <w:top w:w="0" w:type="dxa"/>
              <w:left w:w="20" w:type="dxa"/>
              <w:bottom w:w="0" w:type="dxa"/>
              <w:right w:w="20" w:type="dxa"/>
            </w:tcMar>
            <w:vAlign w:val="center"/>
            <w:hideMark/>
          </w:tcPr>
          <w:p w14:paraId="1EF10AD0" w14:textId="77777777" w:rsidR="00000000" w:rsidRDefault="000A3118">
            <w:pPr>
              <w:rPr>
                <w:rFonts w:eastAsia="Times New Roman"/>
              </w:rPr>
            </w:pPr>
          </w:p>
        </w:tc>
      </w:tr>
      <w:tr w:rsidR="00000000" w14:paraId="47D645A7" w14:textId="77777777">
        <w:trPr>
          <w:divId w:val="1376467588"/>
        </w:trPr>
        <w:tc>
          <w:tcPr>
            <w:tcW w:w="0" w:type="auto"/>
            <w:gridSpan w:val="3"/>
            <w:shd w:val="clear" w:color="auto" w:fill="CCEEFF"/>
            <w:tcMar>
              <w:top w:w="30" w:type="dxa"/>
              <w:left w:w="20" w:type="dxa"/>
              <w:bottom w:w="30" w:type="dxa"/>
              <w:right w:w="20" w:type="dxa"/>
            </w:tcMar>
            <w:vAlign w:val="bottom"/>
            <w:hideMark/>
          </w:tcPr>
          <w:p w14:paraId="36DCFEB7" w14:textId="77777777" w:rsidR="00000000" w:rsidRDefault="000A3118">
            <w:pPr>
              <w:rPr>
                <w:rFonts w:eastAsia="Times New Roman"/>
              </w:rPr>
            </w:pPr>
            <w:r>
              <w:rPr>
                <w:rFonts w:eastAsia="Times New Roman"/>
                <w:color w:val="000000"/>
                <w:sz w:val="16"/>
                <w:szCs w:val="16"/>
              </w:rPr>
              <w:t>Accounts payable</w:t>
            </w:r>
          </w:p>
        </w:tc>
        <w:tc>
          <w:tcPr>
            <w:tcW w:w="0" w:type="auto"/>
            <w:gridSpan w:val="2"/>
            <w:shd w:val="clear" w:color="auto" w:fill="CCEEFF"/>
            <w:tcMar>
              <w:top w:w="30" w:type="dxa"/>
              <w:left w:w="20" w:type="dxa"/>
              <w:bottom w:w="30" w:type="dxa"/>
              <w:right w:w="0" w:type="dxa"/>
            </w:tcMar>
            <w:vAlign w:val="bottom"/>
            <w:hideMark/>
          </w:tcPr>
          <w:p w14:paraId="5724777D" w14:textId="77777777" w:rsidR="00000000" w:rsidRDefault="000A3118">
            <w:pPr>
              <w:jc w:val="right"/>
              <w:rPr>
                <w:rFonts w:eastAsia="Times New Roman"/>
              </w:rPr>
            </w:pPr>
            <w:r>
              <w:rPr>
                <w:rFonts w:eastAsia="Times New Roman"/>
                <w:color w:val="000000"/>
                <w:sz w:val="16"/>
                <w:szCs w:val="16"/>
              </w:rPr>
              <w:t>(9.9)</w:t>
            </w:r>
          </w:p>
        </w:tc>
        <w:tc>
          <w:tcPr>
            <w:tcW w:w="0" w:type="auto"/>
            <w:shd w:val="clear" w:color="auto" w:fill="CCEEFF"/>
            <w:tcMar>
              <w:top w:w="30" w:type="dxa"/>
              <w:left w:w="0" w:type="dxa"/>
              <w:bottom w:w="30" w:type="dxa"/>
              <w:right w:w="20" w:type="dxa"/>
            </w:tcMar>
            <w:vAlign w:val="bottom"/>
            <w:hideMark/>
          </w:tcPr>
          <w:p w14:paraId="2D08DB6A" w14:textId="77777777" w:rsidR="00000000" w:rsidRDefault="000A3118">
            <w:pPr>
              <w:jc w:val="right"/>
              <w:rPr>
                <w:rFonts w:eastAsia="Times New Roman"/>
              </w:rPr>
            </w:pPr>
          </w:p>
        </w:tc>
      </w:tr>
      <w:tr w:rsidR="00000000" w14:paraId="7678C850" w14:textId="77777777">
        <w:trPr>
          <w:divId w:val="1376467588"/>
        </w:trPr>
        <w:tc>
          <w:tcPr>
            <w:tcW w:w="0" w:type="auto"/>
            <w:gridSpan w:val="3"/>
            <w:shd w:val="clear" w:color="auto" w:fill="FFFFFF"/>
            <w:tcMar>
              <w:top w:w="30" w:type="dxa"/>
              <w:left w:w="20" w:type="dxa"/>
              <w:bottom w:w="30" w:type="dxa"/>
              <w:right w:w="20" w:type="dxa"/>
            </w:tcMar>
            <w:vAlign w:val="bottom"/>
            <w:hideMark/>
          </w:tcPr>
          <w:p w14:paraId="023AF0D6" w14:textId="77777777" w:rsidR="00000000" w:rsidRDefault="000A3118">
            <w:pPr>
              <w:rPr>
                <w:rFonts w:eastAsia="Times New Roman"/>
              </w:rPr>
            </w:pPr>
            <w:r>
              <w:rPr>
                <w:rFonts w:eastAsia="Times New Roman"/>
                <w:color w:val="000000"/>
                <w:sz w:val="16"/>
                <w:szCs w:val="16"/>
              </w:rPr>
              <w:t>Other current and long-term liabilities</w:t>
            </w:r>
          </w:p>
        </w:tc>
        <w:tc>
          <w:tcPr>
            <w:tcW w:w="0" w:type="auto"/>
            <w:gridSpan w:val="2"/>
            <w:shd w:val="clear" w:color="auto" w:fill="FFFFFF"/>
            <w:tcMar>
              <w:top w:w="30" w:type="dxa"/>
              <w:left w:w="20" w:type="dxa"/>
              <w:bottom w:w="30" w:type="dxa"/>
              <w:right w:w="0" w:type="dxa"/>
            </w:tcMar>
            <w:vAlign w:val="bottom"/>
            <w:hideMark/>
          </w:tcPr>
          <w:p w14:paraId="2A35FB10" w14:textId="77777777" w:rsidR="00000000" w:rsidRDefault="000A3118">
            <w:pPr>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14:paraId="73ED6CED" w14:textId="77777777" w:rsidR="00000000" w:rsidRDefault="000A3118">
            <w:pPr>
              <w:jc w:val="right"/>
              <w:rPr>
                <w:rFonts w:eastAsia="Times New Roman"/>
              </w:rPr>
            </w:pPr>
          </w:p>
        </w:tc>
      </w:tr>
      <w:tr w:rsidR="00000000" w14:paraId="55B15E73" w14:textId="77777777">
        <w:trPr>
          <w:divId w:val="1376467588"/>
          <w:trHeight w:val="240"/>
        </w:trPr>
        <w:tc>
          <w:tcPr>
            <w:tcW w:w="0" w:type="auto"/>
            <w:gridSpan w:val="3"/>
            <w:shd w:val="clear" w:color="auto" w:fill="CCEEFF"/>
            <w:tcMar>
              <w:top w:w="0" w:type="dxa"/>
              <w:left w:w="20" w:type="dxa"/>
              <w:bottom w:w="0" w:type="dxa"/>
              <w:right w:w="20" w:type="dxa"/>
            </w:tcMar>
            <w:vAlign w:val="center"/>
            <w:hideMark/>
          </w:tcPr>
          <w:p w14:paraId="12A9ADF6" w14:textId="77777777" w:rsidR="00000000" w:rsidRDefault="000A311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836474" w14:textId="77777777" w:rsidR="00000000" w:rsidRDefault="000A3118">
            <w:pPr>
              <w:rPr>
                <w:rFonts w:eastAsia="Times New Roman"/>
                <w:sz w:val="20"/>
                <w:szCs w:val="20"/>
              </w:rPr>
            </w:pPr>
          </w:p>
        </w:tc>
      </w:tr>
      <w:tr w:rsidR="00000000" w14:paraId="4009D338" w14:textId="77777777">
        <w:trPr>
          <w:divId w:val="1376467588"/>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10815758" w14:textId="77777777" w:rsidR="00000000" w:rsidRDefault="000A3118">
            <w:pPr>
              <w:rPr>
                <w:rFonts w:eastAsia="Times New Roman"/>
              </w:rPr>
            </w:pPr>
            <w:r>
              <w:rPr>
                <w:rFonts w:eastAsia="Times New Roman"/>
                <w:b/>
                <w:bCs/>
                <w:color w:val="000000"/>
                <w:sz w:val="16"/>
                <w:szCs w:val="16"/>
              </w:rPr>
              <w:t>Purchase price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007E38" w14:textId="77777777" w:rsidR="00000000" w:rsidRDefault="000A3118">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F70D7A" w14:textId="77777777" w:rsidR="00000000" w:rsidRDefault="000A3118">
            <w:pPr>
              <w:jc w:val="right"/>
              <w:rPr>
                <w:rFonts w:eastAsia="Times New Roman"/>
              </w:rPr>
            </w:pPr>
            <w:r>
              <w:rPr>
                <w:rFonts w:eastAsia="Times New Roman"/>
                <w:b/>
                <w:bCs/>
                <w:color w:val="000000"/>
                <w:sz w:val="16"/>
                <w:szCs w:val="16"/>
              </w:rPr>
              <w:t>159.0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CCC0B5" w14:textId="77777777" w:rsidR="00000000" w:rsidRDefault="000A3118">
            <w:pPr>
              <w:jc w:val="right"/>
              <w:rPr>
                <w:rFonts w:eastAsia="Times New Roman"/>
              </w:rPr>
            </w:pPr>
          </w:p>
        </w:tc>
      </w:tr>
    </w:tbl>
    <w:p w14:paraId="53F8E1BC" w14:textId="77777777" w:rsidR="00000000" w:rsidRDefault="000A3118">
      <w:pPr>
        <w:divId w:val="1636906719"/>
        <w:rPr>
          <w:rFonts w:eastAsia="Times New Roman"/>
        </w:rPr>
      </w:pPr>
      <w:r>
        <w:rPr>
          <w:rFonts w:eastAsia="Times New Roman"/>
          <w:color w:val="000000"/>
          <w:sz w:val="20"/>
          <w:szCs w:val="20"/>
        </w:rPr>
        <w:t>    </w:t>
      </w:r>
    </w:p>
    <w:p w14:paraId="0DF8D3B3" w14:textId="77777777" w:rsidR="00000000" w:rsidRDefault="000A3118">
      <w:pPr>
        <w:ind w:firstLine="360"/>
        <w:jc w:val="both"/>
        <w:rPr>
          <w:rFonts w:eastAsia="Times New Roman"/>
        </w:rPr>
      </w:pPr>
      <w:r>
        <w:rPr>
          <w:rFonts w:eastAsia="Times New Roman"/>
          <w:color w:val="000000"/>
          <w:sz w:val="20"/>
          <w:szCs w:val="20"/>
        </w:rPr>
        <w:t>Goodwill in the amount of $79.1 million included certain adjustments made to working capital items during the quarter ended September </w:t>
      </w:r>
      <w:r>
        <w:rPr>
          <w:rFonts w:eastAsia="Times New Roman"/>
          <w:color w:val="000000"/>
          <w:sz w:val="20"/>
          <w:szCs w:val="20"/>
        </w:rPr>
        <w:t>30, 2020 and was assigned to the aviation segment. We anticipate that $70.2 million of the goodwill assigned to the aviation segment will be deductible for tax purposes and is attributable primarily to the expected synergies and other benefits that we beli</w:t>
      </w:r>
      <w:r>
        <w:rPr>
          <w:rFonts w:eastAsia="Times New Roman"/>
          <w:color w:val="000000"/>
          <w:sz w:val="20"/>
          <w:szCs w:val="20"/>
        </w:rPr>
        <w:t>eve will result from combining the acquired operations with the operations of our aviation segment. The identifiable intangible assets were $44.3 million and primarily consisted of customer relationships and other identifiable assets.</w:t>
      </w:r>
    </w:p>
    <w:p w14:paraId="1DDE2ACF" w14:textId="77777777" w:rsidR="00000000" w:rsidRDefault="000A3118">
      <w:pPr>
        <w:ind w:firstLine="720"/>
        <w:divId w:val="549922139"/>
        <w:rPr>
          <w:rFonts w:eastAsia="Times New Roman"/>
        </w:rPr>
      </w:pPr>
    </w:p>
    <w:p w14:paraId="6F1D0430" w14:textId="77777777" w:rsidR="00000000" w:rsidRDefault="000A3118">
      <w:pPr>
        <w:ind w:firstLine="360"/>
        <w:jc w:val="both"/>
        <w:rPr>
          <w:rFonts w:eastAsia="Times New Roman"/>
        </w:rPr>
      </w:pPr>
      <w:r>
        <w:rPr>
          <w:rFonts w:eastAsia="Times New Roman"/>
          <w:color w:val="000000"/>
          <w:sz w:val="20"/>
          <w:szCs w:val="20"/>
        </w:rPr>
        <w:t>The financial position, results of operations and cash flows of these acquisitions have been included in our Consolidated Financial Statements since their acquisition dates and did not have a material impact on our consolidated revenue and net income for t</w:t>
      </w:r>
      <w:r>
        <w:rPr>
          <w:rFonts w:eastAsia="Times New Roman"/>
          <w:color w:val="000000"/>
          <w:sz w:val="20"/>
          <w:szCs w:val="20"/>
        </w:rPr>
        <w:t>he three and nine months ended September 30, 2020; accordingly, pro forma information for these acquisitions have not been provided as the impact was not considered material.</w:t>
      </w:r>
    </w:p>
    <w:p w14:paraId="4736A018" w14:textId="77777777" w:rsidR="00000000" w:rsidRDefault="000A3118">
      <w:pPr>
        <w:jc w:val="both"/>
        <w:rPr>
          <w:rFonts w:eastAsia="Times New Roman"/>
        </w:rPr>
      </w:pPr>
    </w:p>
    <w:p w14:paraId="15A89FE6" w14:textId="77777777" w:rsidR="00000000" w:rsidRDefault="000A3118">
      <w:pPr>
        <w:divId w:val="931665354"/>
        <w:rPr>
          <w:rFonts w:eastAsia="Times New Roman"/>
        </w:rPr>
      </w:pPr>
    </w:p>
    <w:p w14:paraId="010AF29B" w14:textId="77777777" w:rsidR="00000000" w:rsidRDefault="000A3118">
      <w:pPr>
        <w:divId w:val="2092505265"/>
        <w:rPr>
          <w:rFonts w:eastAsia="Times New Roman"/>
        </w:rPr>
      </w:pPr>
      <w:r>
        <w:rPr>
          <w:rFonts w:eastAsia="Times New Roman"/>
          <w:b/>
          <w:bCs/>
          <w:color w:val="000000"/>
          <w:sz w:val="20"/>
          <w:szCs w:val="20"/>
        </w:rPr>
        <w:t>4. Derivative Instruments</w:t>
      </w:r>
    </w:p>
    <w:p w14:paraId="1C09D2B1" w14:textId="77777777" w:rsidR="00000000" w:rsidRDefault="000A3118">
      <w:pPr>
        <w:ind w:firstLine="720"/>
        <w:divId w:val="1015887483"/>
        <w:rPr>
          <w:rFonts w:eastAsia="Times New Roman"/>
        </w:rPr>
      </w:pPr>
    </w:p>
    <w:p w14:paraId="3FE4947D" w14:textId="77777777" w:rsidR="00000000" w:rsidRDefault="000A3118">
      <w:pPr>
        <w:ind w:firstLine="360"/>
        <w:jc w:val="both"/>
        <w:rPr>
          <w:rFonts w:eastAsia="Times New Roman"/>
        </w:rPr>
      </w:pPr>
      <w:r>
        <w:rPr>
          <w:rFonts w:eastAsia="Times New Roman"/>
          <w:color w:val="000000"/>
          <w:sz w:val="20"/>
          <w:szCs w:val="20"/>
        </w:rPr>
        <w:t>The following describes our derivative classifica</w:t>
      </w:r>
      <w:r>
        <w:rPr>
          <w:rFonts w:eastAsia="Times New Roman"/>
          <w:color w:val="000000"/>
          <w:sz w:val="20"/>
          <w:szCs w:val="20"/>
        </w:rPr>
        <w:t>tions:</w:t>
      </w:r>
    </w:p>
    <w:p w14:paraId="3F2149A1" w14:textId="77777777" w:rsidR="00000000" w:rsidRDefault="000A3118">
      <w:pPr>
        <w:ind w:firstLine="360"/>
        <w:jc w:val="both"/>
        <w:rPr>
          <w:rFonts w:eastAsia="Times New Roman"/>
        </w:rPr>
      </w:pPr>
    </w:p>
    <w:p w14:paraId="7B1268EC" w14:textId="77777777" w:rsidR="00000000" w:rsidRDefault="000A3118">
      <w:pPr>
        <w:ind w:firstLine="360"/>
        <w:jc w:val="both"/>
        <w:rPr>
          <w:rFonts w:eastAsia="Times New Roman"/>
        </w:rPr>
      </w:pPr>
      <w:r>
        <w:rPr>
          <w:rFonts w:eastAsia="Times New Roman"/>
          <w:i/>
          <w:iCs/>
          <w:color w:val="000000"/>
          <w:sz w:val="20"/>
          <w:szCs w:val="20"/>
        </w:rPr>
        <w:t>Fair Value Hedges.</w:t>
      </w:r>
      <w:r>
        <w:rPr>
          <w:rFonts w:eastAsia="Times New Roman"/>
          <w:color w:val="000000"/>
          <w:sz w:val="20"/>
          <w:szCs w:val="20"/>
        </w:rPr>
        <w:t xml:space="preserve"> Includes derivative contracts we hold to hedge the risk of changes in the price of our inventory.</w:t>
      </w:r>
    </w:p>
    <w:p w14:paraId="0C5011DC" w14:textId="77777777" w:rsidR="00000000" w:rsidRDefault="000A3118">
      <w:pPr>
        <w:ind w:firstLine="360"/>
        <w:jc w:val="both"/>
        <w:rPr>
          <w:rFonts w:eastAsia="Times New Roman"/>
        </w:rPr>
      </w:pPr>
    </w:p>
    <w:p w14:paraId="76C9DC97" w14:textId="77777777" w:rsidR="00000000" w:rsidRDefault="000A3118">
      <w:pPr>
        <w:ind w:firstLine="360"/>
        <w:jc w:val="both"/>
        <w:rPr>
          <w:rFonts w:eastAsia="Times New Roman"/>
        </w:rPr>
      </w:pPr>
      <w:r>
        <w:rPr>
          <w:rFonts w:eastAsia="Times New Roman"/>
          <w:i/>
          <w:iCs/>
          <w:color w:val="000000"/>
          <w:sz w:val="20"/>
          <w:szCs w:val="20"/>
        </w:rPr>
        <w:t>Cash Flow Hedges.</w:t>
      </w:r>
      <w:r>
        <w:rPr>
          <w:rFonts w:eastAsia="Times New Roman"/>
          <w:color w:val="000000"/>
          <w:sz w:val="20"/>
          <w:szCs w:val="20"/>
        </w:rPr>
        <w:t xml:space="preserve"> Includes derivative contracts we execute to mitigate the risk of price and interest rate volatility in forecas</w:t>
      </w:r>
      <w:r>
        <w:rPr>
          <w:rFonts w:eastAsia="Times New Roman"/>
          <w:color w:val="000000"/>
          <w:sz w:val="20"/>
          <w:szCs w:val="20"/>
        </w:rPr>
        <w:t>ted transactions.</w:t>
      </w:r>
    </w:p>
    <w:p w14:paraId="39208B7C" w14:textId="77777777" w:rsidR="00000000" w:rsidRDefault="000A3118">
      <w:pPr>
        <w:ind w:firstLine="360"/>
        <w:jc w:val="both"/>
        <w:rPr>
          <w:rFonts w:eastAsia="Times New Roman"/>
        </w:rPr>
      </w:pPr>
    </w:p>
    <w:p w14:paraId="3093ECFD" w14:textId="77777777" w:rsidR="00000000" w:rsidRDefault="000A3118">
      <w:pPr>
        <w:ind w:firstLine="360"/>
        <w:jc w:val="both"/>
        <w:rPr>
          <w:rFonts w:eastAsia="Times New Roman"/>
        </w:rPr>
      </w:pPr>
      <w:r>
        <w:rPr>
          <w:rFonts w:eastAsia="Times New Roman"/>
          <w:i/>
          <w:iCs/>
          <w:color w:val="000000"/>
          <w:sz w:val="20"/>
          <w:szCs w:val="20"/>
        </w:rPr>
        <w:t>Non-designated Derivatives.</w:t>
      </w:r>
      <w:r>
        <w:rPr>
          <w:rFonts w:eastAsia="Times New Roman"/>
          <w:color w:val="000000"/>
          <w:sz w:val="20"/>
          <w:szCs w:val="20"/>
        </w:rPr>
        <w:t xml:space="preserve"> Includes derivatives we primarily transact to mitigate the risk of market price fluctuations in swaps or futures contracts, as well as certain forward fixed price purchase and sale contracts to hedge the risk</w:t>
      </w:r>
      <w:r>
        <w:rPr>
          <w:rFonts w:eastAsia="Times New Roman"/>
          <w:color w:val="000000"/>
          <w:sz w:val="20"/>
          <w:szCs w:val="20"/>
        </w:rPr>
        <w:t xml:space="preserve"> of currency rate fluctuations and for portfolio optimization.</w:t>
      </w:r>
    </w:p>
    <w:p w14:paraId="35F770B1" w14:textId="77777777" w:rsidR="00000000" w:rsidRDefault="000A3118">
      <w:pPr>
        <w:ind w:firstLine="360"/>
        <w:jc w:val="both"/>
        <w:rPr>
          <w:rFonts w:eastAsia="Times New Roman"/>
        </w:rPr>
      </w:pPr>
    </w:p>
    <w:p w14:paraId="70AAF46A" w14:textId="77777777" w:rsidR="00000000" w:rsidRDefault="000A3118">
      <w:pPr>
        <w:ind w:firstLine="360"/>
        <w:jc w:val="both"/>
        <w:rPr>
          <w:rFonts w:eastAsia="Times New Roman"/>
        </w:rPr>
      </w:pPr>
      <w:r>
        <w:rPr>
          <w:rFonts w:eastAsia="Times New Roman"/>
          <w:color w:val="000000"/>
          <w:sz w:val="20"/>
          <w:szCs w:val="20"/>
        </w:rPr>
        <w:t>In March 2020, we entered into a $300 million, one-month LIBOR, floating-for-fixed non-amortizing interest rate swap contract ("IR Swap") with a maturity date in March 2025. The IR Swap was d</w:t>
      </w:r>
      <w:r>
        <w:rPr>
          <w:rFonts w:eastAsia="Times New Roman"/>
          <w:color w:val="000000"/>
          <w:sz w:val="20"/>
          <w:szCs w:val="20"/>
        </w:rPr>
        <w:t xml:space="preserve">esignated as a cash flow hedge to mitigate potential adverse changes in interest rates related to certain variable rate debt obligations. Changes in the IR Swap's fair value recorded periodically in Accumulated other comprehensive income, are subsequently </w:t>
      </w:r>
      <w:r>
        <w:rPr>
          <w:rFonts w:eastAsia="Times New Roman"/>
          <w:color w:val="000000"/>
          <w:sz w:val="20"/>
          <w:szCs w:val="20"/>
        </w:rPr>
        <w:t>reclassified to our Consolidated Statements of Income and Comprehensive Income within Interest expense and other financing costs, net when the underlying hedged variable rate interest payments are accrued.</w:t>
      </w:r>
    </w:p>
    <w:p w14:paraId="696F7699" w14:textId="77777777" w:rsidR="00000000" w:rsidRDefault="000A3118">
      <w:pPr>
        <w:ind w:firstLine="360"/>
        <w:jc w:val="both"/>
        <w:rPr>
          <w:rFonts w:eastAsia="Times New Roman"/>
        </w:rPr>
      </w:pPr>
    </w:p>
    <w:p w14:paraId="7425C197" w14:textId="77777777" w:rsidR="00000000" w:rsidRDefault="000A3118">
      <w:pPr>
        <w:jc w:val="center"/>
        <w:divId w:val="375393784"/>
        <w:rPr>
          <w:rFonts w:eastAsia="Times New Roman"/>
        </w:rPr>
      </w:pPr>
      <w:r>
        <w:rPr>
          <w:rFonts w:eastAsia="Times New Roman"/>
          <w:color w:val="000000"/>
          <w:sz w:val="20"/>
          <w:szCs w:val="20"/>
        </w:rPr>
        <w:t>11</w:t>
      </w:r>
    </w:p>
    <w:p w14:paraId="6780C147" w14:textId="77777777" w:rsidR="00000000" w:rsidRDefault="000A3118">
      <w:pPr>
        <w:rPr>
          <w:rFonts w:eastAsia="Times New Roman"/>
        </w:rPr>
      </w:pPr>
      <w:r>
        <w:rPr>
          <w:rFonts w:eastAsia="Times New Roman"/>
        </w:rPr>
        <w:pict w14:anchorId="119C78D4">
          <v:rect id="_x0000_i1039" style="width:0;height:1.5pt" o:hralign="center" o:hrstd="t" o:hr="t" fillcolor="#a0a0a0" stroked="f"/>
        </w:pict>
      </w:r>
    </w:p>
    <w:p w14:paraId="5183B1B6" w14:textId="77777777" w:rsidR="00000000" w:rsidRDefault="000A3118">
      <w:pPr>
        <w:divId w:val="1157720313"/>
        <w:rPr>
          <w:rFonts w:eastAsia="Times New Roman"/>
        </w:rPr>
      </w:pPr>
    </w:p>
    <w:p w14:paraId="444562B1" w14:textId="77777777" w:rsidR="00000000" w:rsidRDefault="000A3118">
      <w:pPr>
        <w:jc w:val="both"/>
        <w:rPr>
          <w:rFonts w:eastAsia="Times New Roman"/>
        </w:rPr>
      </w:pPr>
    </w:p>
    <w:p w14:paraId="34E7F665" w14:textId="77777777" w:rsidR="00000000" w:rsidRDefault="000A3118">
      <w:pPr>
        <w:ind w:firstLine="360"/>
        <w:jc w:val="both"/>
        <w:rPr>
          <w:rFonts w:eastAsia="Times New Roman"/>
        </w:rPr>
      </w:pPr>
      <w:r>
        <w:rPr>
          <w:rFonts w:eastAsia="Times New Roman"/>
          <w:color w:val="000000"/>
          <w:sz w:val="20"/>
          <w:szCs w:val="20"/>
        </w:rPr>
        <w:t>The following table presents the gross fair value of our derivative instruments and their locations on the Consolidated Balance Sheets (in millions):</w:t>
      </w:r>
    </w:p>
    <w:p w14:paraId="41E44F37" w14:textId="77777777" w:rsidR="00000000" w:rsidRDefault="000A3118">
      <w:pPr>
        <w:ind w:firstLine="360"/>
        <w:divId w:val="1807551065"/>
        <w:rPr>
          <w:rFonts w:eastAsia="Times New Roman"/>
        </w:rPr>
      </w:pPr>
      <w:r>
        <w:rPr>
          <w:rFonts w:eastAsia="Times New Roman"/>
          <w:color w:val="000000"/>
          <w:sz w:val="20"/>
          <w:szCs w:val="20"/>
        </w:rPr>
        <w:t> </w:t>
      </w:r>
    </w:p>
    <w:tbl>
      <w:tblPr>
        <w:tblW w:w="4970" w:type="pct"/>
        <w:jc w:val="center"/>
        <w:tblCellMar>
          <w:top w:w="15" w:type="dxa"/>
          <w:left w:w="15" w:type="dxa"/>
          <w:bottom w:w="15" w:type="dxa"/>
          <w:right w:w="15" w:type="dxa"/>
        </w:tblCellMar>
        <w:tblLook w:val="04A0" w:firstRow="1" w:lastRow="0" w:firstColumn="1" w:lastColumn="0" w:noHBand="0" w:noVBand="1"/>
      </w:tblPr>
      <w:tblGrid>
        <w:gridCol w:w="47"/>
        <w:gridCol w:w="1520"/>
        <w:gridCol w:w="37"/>
        <w:gridCol w:w="44"/>
        <w:gridCol w:w="2689"/>
        <w:gridCol w:w="36"/>
        <w:gridCol w:w="36"/>
        <w:gridCol w:w="36"/>
        <w:gridCol w:w="36"/>
        <w:gridCol w:w="101"/>
        <w:gridCol w:w="725"/>
        <w:gridCol w:w="36"/>
        <w:gridCol w:w="36"/>
        <w:gridCol w:w="36"/>
        <w:gridCol w:w="36"/>
        <w:gridCol w:w="101"/>
        <w:gridCol w:w="725"/>
        <w:gridCol w:w="37"/>
        <w:gridCol w:w="36"/>
        <w:gridCol w:w="36"/>
        <w:gridCol w:w="36"/>
        <w:gridCol w:w="101"/>
        <w:gridCol w:w="725"/>
        <w:gridCol w:w="37"/>
        <w:gridCol w:w="36"/>
        <w:gridCol w:w="36"/>
        <w:gridCol w:w="36"/>
        <w:gridCol w:w="101"/>
        <w:gridCol w:w="725"/>
        <w:gridCol w:w="37"/>
      </w:tblGrid>
      <w:tr w:rsidR="00000000" w14:paraId="7DEFC63D" w14:textId="77777777">
        <w:trPr>
          <w:divId w:val="2055540295"/>
          <w:jc w:val="center"/>
        </w:trPr>
        <w:tc>
          <w:tcPr>
            <w:tcW w:w="50" w:type="pct"/>
            <w:vAlign w:val="center"/>
            <w:hideMark/>
          </w:tcPr>
          <w:p w14:paraId="6EBFD89B" w14:textId="77777777" w:rsidR="00000000" w:rsidRDefault="000A3118">
            <w:pPr>
              <w:ind w:firstLine="360"/>
              <w:rPr>
                <w:rFonts w:eastAsia="Times New Roman"/>
              </w:rPr>
            </w:pPr>
          </w:p>
        </w:tc>
        <w:tc>
          <w:tcPr>
            <w:tcW w:w="945" w:type="pct"/>
            <w:vAlign w:val="center"/>
            <w:hideMark/>
          </w:tcPr>
          <w:p w14:paraId="50E5942A" w14:textId="77777777" w:rsidR="00000000" w:rsidRDefault="000A3118">
            <w:pPr>
              <w:rPr>
                <w:rFonts w:eastAsia="Times New Roman"/>
                <w:sz w:val="20"/>
                <w:szCs w:val="20"/>
              </w:rPr>
            </w:pPr>
          </w:p>
        </w:tc>
        <w:tc>
          <w:tcPr>
            <w:tcW w:w="5" w:type="pct"/>
            <w:vAlign w:val="center"/>
            <w:hideMark/>
          </w:tcPr>
          <w:p w14:paraId="1271F1CB" w14:textId="77777777" w:rsidR="00000000" w:rsidRDefault="000A3118">
            <w:pPr>
              <w:rPr>
                <w:rFonts w:eastAsia="Times New Roman"/>
                <w:sz w:val="20"/>
                <w:szCs w:val="20"/>
              </w:rPr>
            </w:pPr>
          </w:p>
        </w:tc>
        <w:tc>
          <w:tcPr>
            <w:tcW w:w="50" w:type="pct"/>
            <w:vAlign w:val="center"/>
            <w:hideMark/>
          </w:tcPr>
          <w:p w14:paraId="3855A6C1" w14:textId="77777777" w:rsidR="00000000" w:rsidRDefault="000A3118">
            <w:pPr>
              <w:rPr>
                <w:rFonts w:eastAsia="Times New Roman"/>
                <w:sz w:val="20"/>
                <w:szCs w:val="20"/>
              </w:rPr>
            </w:pPr>
          </w:p>
        </w:tc>
        <w:tc>
          <w:tcPr>
            <w:tcW w:w="1650" w:type="pct"/>
            <w:vAlign w:val="center"/>
            <w:hideMark/>
          </w:tcPr>
          <w:p w14:paraId="48EB01D2" w14:textId="77777777" w:rsidR="00000000" w:rsidRDefault="000A3118">
            <w:pPr>
              <w:rPr>
                <w:rFonts w:eastAsia="Times New Roman"/>
                <w:sz w:val="20"/>
                <w:szCs w:val="20"/>
              </w:rPr>
            </w:pPr>
          </w:p>
        </w:tc>
        <w:tc>
          <w:tcPr>
            <w:tcW w:w="5" w:type="pct"/>
            <w:vAlign w:val="center"/>
            <w:hideMark/>
          </w:tcPr>
          <w:p w14:paraId="7AB1A89B" w14:textId="77777777" w:rsidR="00000000" w:rsidRDefault="000A3118">
            <w:pPr>
              <w:rPr>
                <w:rFonts w:eastAsia="Times New Roman"/>
                <w:sz w:val="20"/>
                <w:szCs w:val="20"/>
              </w:rPr>
            </w:pPr>
          </w:p>
        </w:tc>
        <w:tc>
          <w:tcPr>
            <w:tcW w:w="5" w:type="pct"/>
            <w:vAlign w:val="center"/>
            <w:hideMark/>
          </w:tcPr>
          <w:p w14:paraId="0C9E41EA" w14:textId="77777777" w:rsidR="00000000" w:rsidRDefault="000A3118">
            <w:pPr>
              <w:rPr>
                <w:rFonts w:eastAsia="Times New Roman"/>
                <w:sz w:val="20"/>
                <w:szCs w:val="20"/>
              </w:rPr>
            </w:pPr>
          </w:p>
        </w:tc>
        <w:tc>
          <w:tcPr>
            <w:tcW w:w="26" w:type="pct"/>
            <w:vAlign w:val="center"/>
            <w:hideMark/>
          </w:tcPr>
          <w:p w14:paraId="2E536E5F" w14:textId="77777777" w:rsidR="00000000" w:rsidRDefault="000A3118">
            <w:pPr>
              <w:rPr>
                <w:rFonts w:eastAsia="Times New Roman"/>
                <w:sz w:val="20"/>
                <w:szCs w:val="20"/>
              </w:rPr>
            </w:pPr>
          </w:p>
        </w:tc>
        <w:tc>
          <w:tcPr>
            <w:tcW w:w="5" w:type="pct"/>
            <w:vAlign w:val="center"/>
            <w:hideMark/>
          </w:tcPr>
          <w:p w14:paraId="51BE0D79" w14:textId="77777777" w:rsidR="00000000" w:rsidRDefault="000A3118">
            <w:pPr>
              <w:rPr>
                <w:rFonts w:eastAsia="Times New Roman"/>
                <w:sz w:val="20"/>
                <w:szCs w:val="20"/>
              </w:rPr>
            </w:pPr>
          </w:p>
        </w:tc>
        <w:tc>
          <w:tcPr>
            <w:tcW w:w="50" w:type="pct"/>
            <w:vAlign w:val="center"/>
            <w:hideMark/>
          </w:tcPr>
          <w:p w14:paraId="0317C86E" w14:textId="77777777" w:rsidR="00000000" w:rsidRDefault="000A3118">
            <w:pPr>
              <w:rPr>
                <w:rFonts w:eastAsia="Times New Roman"/>
                <w:sz w:val="20"/>
                <w:szCs w:val="20"/>
              </w:rPr>
            </w:pPr>
          </w:p>
        </w:tc>
        <w:tc>
          <w:tcPr>
            <w:tcW w:w="481" w:type="pct"/>
            <w:vAlign w:val="center"/>
            <w:hideMark/>
          </w:tcPr>
          <w:p w14:paraId="4270E5E6" w14:textId="77777777" w:rsidR="00000000" w:rsidRDefault="000A3118">
            <w:pPr>
              <w:rPr>
                <w:rFonts w:eastAsia="Times New Roman"/>
                <w:sz w:val="20"/>
                <w:szCs w:val="20"/>
              </w:rPr>
            </w:pPr>
          </w:p>
        </w:tc>
        <w:tc>
          <w:tcPr>
            <w:tcW w:w="5" w:type="pct"/>
            <w:vAlign w:val="center"/>
            <w:hideMark/>
          </w:tcPr>
          <w:p w14:paraId="00307C68" w14:textId="77777777" w:rsidR="00000000" w:rsidRDefault="000A3118">
            <w:pPr>
              <w:rPr>
                <w:rFonts w:eastAsia="Times New Roman"/>
                <w:sz w:val="20"/>
                <w:szCs w:val="20"/>
              </w:rPr>
            </w:pPr>
          </w:p>
        </w:tc>
        <w:tc>
          <w:tcPr>
            <w:tcW w:w="5" w:type="pct"/>
            <w:vAlign w:val="center"/>
            <w:hideMark/>
          </w:tcPr>
          <w:p w14:paraId="5F214FB6" w14:textId="77777777" w:rsidR="00000000" w:rsidRDefault="000A3118">
            <w:pPr>
              <w:rPr>
                <w:rFonts w:eastAsia="Times New Roman"/>
                <w:sz w:val="20"/>
                <w:szCs w:val="20"/>
              </w:rPr>
            </w:pPr>
          </w:p>
        </w:tc>
        <w:tc>
          <w:tcPr>
            <w:tcW w:w="26" w:type="pct"/>
            <w:vAlign w:val="center"/>
            <w:hideMark/>
          </w:tcPr>
          <w:p w14:paraId="1BFBE039" w14:textId="77777777" w:rsidR="00000000" w:rsidRDefault="000A3118">
            <w:pPr>
              <w:rPr>
                <w:rFonts w:eastAsia="Times New Roman"/>
                <w:sz w:val="20"/>
                <w:szCs w:val="20"/>
              </w:rPr>
            </w:pPr>
          </w:p>
        </w:tc>
        <w:tc>
          <w:tcPr>
            <w:tcW w:w="5" w:type="pct"/>
            <w:vAlign w:val="center"/>
            <w:hideMark/>
          </w:tcPr>
          <w:p w14:paraId="28D5AA2C" w14:textId="77777777" w:rsidR="00000000" w:rsidRDefault="000A3118">
            <w:pPr>
              <w:rPr>
                <w:rFonts w:eastAsia="Times New Roman"/>
                <w:sz w:val="20"/>
                <w:szCs w:val="20"/>
              </w:rPr>
            </w:pPr>
          </w:p>
        </w:tc>
        <w:tc>
          <w:tcPr>
            <w:tcW w:w="50" w:type="pct"/>
            <w:vAlign w:val="center"/>
            <w:hideMark/>
          </w:tcPr>
          <w:p w14:paraId="27EE2E0E" w14:textId="77777777" w:rsidR="00000000" w:rsidRDefault="000A3118">
            <w:pPr>
              <w:rPr>
                <w:rFonts w:eastAsia="Times New Roman"/>
                <w:sz w:val="20"/>
                <w:szCs w:val="20"/>
              </w:rPr>
            </w:pPr>
          </w:p>
        </w:tc>
        <w:tc>
          <w:tcPr>
            <w:tcW w:w="481" w:type="pct"/>
            <w:vAlign w:val="center"/>
            <w:hideMark/>
          </w:tcPr>
          <w:p w14:paraId="7769A147" w14:textId="77777777" w:rsidR="00000000" w:rsidRDefault="000A3118">
            <w:pPr>
              <w:rPr>
                <w:rFonts w:eastAsia="Times New Roman"/>
                <w:sz w:val="20"/>
                <w:szCs w:val="20"/>
              </w:rPr>
            </w:pPr>
          </w:p>
        </w:tc>
        <w:tc>
          <w:tcPr>
            <w:tcW w:w="5" w:type="pct"/>
            <w:vAlign w:val="center"/>
            <w:hideMark/>
          </w:tcPr>
          <w:p w14:paraId="2A5D2AF6" w14:textId="77777777" w:rsidR="00000000" w:rsidRDefault="000A3118">
            <w:pPr>
              <w:rPr>
                <w:rFonts w:eastAsia="Times New Roman"/>
                <w:sz w:val="20"/>
                <w:szCs w:val="20"/>
              </w:rPr>
            </w:pPr>
          </w:p>
        </w:tc>
        <w:tc>
          <w:tcPr>
            <w:tcW w:w="5" w:type="pct"/>
            <w:vAlign w:val="center"/>
            <w:hideMark/>
          </w:tcPr>
          <w:p w14:paraId="5345F71B" w14:textId="77777777" w:rsidR="00000000" w:rsidRDefault="000A3118">
            <w:pPr>
              <w:rPr>
                <w:rFonts w:eastAsia="Times New Roman"/>
                <w:sz w:val="20"/>
                <w:szCs w:val="20"/>
              </w:rPr>
            </w:pPr>
          </w:p>
        </w:tc>
        <w:tc>
          <w:tcPr>
            <w:tcW w:w="26" w:type="pct"/>
            <w:vAlign w:val="center"/>
            <w:hideMark/>
          </w:tcPr>
          <w:p w14:paraId="3E25BB8C" w14:textId="77777777" w:rsidR="00000000" w:rsidRDefault="000A3118">
            <w:pPr>
              <w:rPr>
                <w:rFonts w:eastAsia="Times New Roman"/>
                <w:sz w:val="20"/>
                <w:szCs w:val="20"/>
              </w:rPr>
            </w:pPr>
          </w:p>
        </w:tc>
        <w:tc>
          <w:tcPr>
            <w:tcW w:w="5" w:type="pct"/>
            <w:vAlign w:val="center"/>
            <w:hideMark/>
          </w:tcPr>
          <w:p w14:paraId="4898C38C" w14:textId="77777777" w:rsidR="00000000" w:rsidRDefault="000A3118">
            <w:pPr>
              <w:rPr>
                <w:rFonts w:eastAsia="Times New Roman"/>
                <w:sz w:val="20"/>
                <w:szCs w:val="20"/>
              </w:rPr>
            </w:pPr>
          </w:p>
        </w:tc>
        <w:tc>
          <w:tcPr>
            <w:tcW w:w="50" w:type="pct"/>
            <w:vAlign w:val="center"/>
            <w:hideMark/>
          </w:tcPr>
          <w:p w14:paraId="2792BBF6" w14:textId="77777777" w:rsidR="00000000" w:rsidRDefault="000A3118">
            <w:pPr>
              <w:rPr>
                <w:rFonts w:eastAsia="Times New Roman"/>
                <w:sz w:val="20"/>
                <w:szCs w:val="20"/>
              </w:rPr>
            </w:pPr>
          </w:p>
        </w:tc>
        <w:tc>
          <w:tcPr>
            <w:tcW w:w="481" w:type="pct"/>
            <w:vAlign w:val="center"/>
            <w:hideMark/>
          </w:tcPr>
          <w:p w14:paraId="434187A3" w14:textId="77777777" w:rsidR="00000000" w:rsidRDefault="000A3118">
            <w:pPr>
              <w:rPr>
                <w:rFonts w:eastAsia="Times New Roman"/>
                <w:sz w:val="20"/>
                <w:szCs w:val="20"/>
              </w:rPr>
            </w:pPr>
          </w:p>
        </w:tc>
        <w:tc>
          <w:tcPr>
            <w:tcW w:w="5" w:type="pct"/>
            <w:vAlign w:val="center"/>
            <w:hideMark/>
          </w:tcPr>
          <w:p w14:paraId="43FD45B1" w14:textId="77777777" w:rsidR="00000000" w:rsidRDefault="000A3118">
            <w:pPr>
              <w:rPr>
                <w:rFonts w:eastAsia="Times New Roman"/>
                <w:sz w:val="20"/>
                <w:szCs w:val="20"/>
              </w:rPr>
            </w:pPr>
          </w:p>
        </w:tc>
        <w:tc>
          <w:tcPr>
            <w:tcW w:w="5" w:type="pct"/>
            <w:vAlign w:val="center"/>
            <w:hideMark/>
          </w:tcPr>
          <w:p w14:paraId="66676A18" w14:textId="77777777" w:rsidR="00000000" w:rsidRDefault="000A3118">
            <w:pPr>
              <w:rPr>
                <w:rFonts w:eastAsia="Times New Roman"/>
                <w:sz w:val="20"/>
                <w:szCs w:val="20"/>
              </w:rPr>
            </w:pPr>
          </w:p>
        </w:tc>
        <w:tc>
          <w:tcPr>
            <w:tcW w:w="26" w:type="pct"/>
            <w:vAlign w:val="center"/>
            <w:hideMark/>
          </w:tcPr>
          <w:p w14:paraId="285E0FE9" w14:textId="77777777" w:rsidR="00000000" w:rsidRDefault="000A3118">
            <w:pPr>
              <w:rPr>
                <w:rFonts w:eastAsia="Times New Roman"/>
                <w:sz w:val="20"/>
                <w:szCs w:val="20"/>
              </w:rPr>
            </w:pPr>
          </w:p>
        </w:tc>
        <w:tc>
          <w:tcPr>
            <w:tcW w:w="5" w:type="pct"/>
            <w:vAlign w:val="center"/>
            <w:hideMark/>
          </w:tcPr>
          <w:p w14:paraId="3B95146B" w14:textId="77777777" w:rsidR="00000000" w:rsidRDefault="000A3118">
            <w:pPr>
              <w:rPr>
                <w:rFonts w:eastAsia="Times New Roman"/>
                <w:sz w:val="20"/>
                <w:szCs w:val="20"/>
              </w:rPr>
            </w:pPr>
          </w:p>
        </w:tc>
        <w:tc>
          <w:tcPr>
            <w:tcW w:w="50" w:type="pct"/>
            <w:vAlign w:val="center"/>
            <w:hideMark/>
          </w:tcPr>
          <w:p w14:paraId="613D1E3E" w14:textId="77777777" w:rsidR="00000000" w:rsidRDefault="000A3118">
            <w:pPr>
              <w:rPr>
                <w:rFonts w:eastAsia="Times New Roman"/>
                <w:sz w:val="20"/>
                <w:szCs w:val="20"/>
              </w:rPr>
            </w:pPr>
          </w:p>
        </w:tc>
        <w:tc>
          <w:tcPr>
            <w:tcW w:w="481" w:type="pct"/>
            <w:vAlign w:val="center"/>
            <w:hideMark/>
          </w:tcPr>
          <w:p w14:paraId="00BE1468" w14:textId="77777777" w:rsidR="00000000" w:rsidRDefault="000A3118">
            <w:pPr>
              <w:rPr>
                <w:rFonts w:eastAsia="Times New Roman"/>
                <w:sz w:val="20"/>
                <w:szCs w:val="20"/>
              </w:rPr>
            </w:pPr>
          </w:p>
        </w:tc>
        <w:tc>
          <w:tcPr>
            <w:tcW w:w="5" w:type="pct"/>
            <w:vAlign w:val="center"/>
            <w:hideMark/>
          </w:tcPr>
          <w:p w14:paraId="17219221" w14:textId="77777777" w:rsidR="00000000" w:rsidRDefault="000A3118">
            <w:pPr>
              <w:rPr>
                <w:rFonts w:eastAsia="Times New Roman"/>
                <w:sz w:val="20"/>
                <w:szCs w:val="20"/>
              </w:rPr>
            </w:pPr>
          </w:p>
        </w:tc>
      </w:tr>
      <w:tr w:rsidR="00000000" w14:paraId="0AA1D453" w14:textId="77777777">
        <w:trPr>
          <w:divId w:val="2055540295"/>
          <w:jc w:val="center"/>
        </w:trPr>
        <w:tc>
          <w:tcPr>
            <w:tcW w:w="0" w:type="auto"/>
            <w:gridSpan w:val="3"/>
            <w:tcMar>
              <w:top w:w="0" w:type="dxa"/>
              <w:left w:w="20" w:type="dxa"/>
              <w:bottom w:w="0" w:type="dxa"/>
              <w:right w:w="20" w:type="dxa"/>
            </w:tcMar>
            <w:vAlign w:val="center"/>
            <w:hideMark/>
          </w:tcPr>
          <w:p w14:paraId="72951E16"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5DB02741"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9DECCCB"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03635BF8" w14:textId="77777777" w:rsidR="00000000" w:rsidRDefault="000A3118">
            <w:pPr>
              <w:jc w:val="center"/>
              <w:rPr>
                <w:rFonts w:eastAsia="Times New Roman"/>
              </w:rPr>
            </w:pPr>
            <w:r>
              <w:rPr>
                <w:rFonts w:eastAsia="Times New Roman"/>
                <w:b/>
                <w:bCs/>
                <w:color w:val="000000"/>
                <w:sz w:val="16"/>
                <w:szCs w:val="16"/>
              </w:rPr>
              <w:t>Gross Derivative Assets</w:t>
            </w:r>
          </w:p>
        </w:tc>
        <w:tc>
          <w:tcPr>
            <w:tcW w:w="0" w:type="auto"/>
            <w:gridSpan w:val="3"/>
            <w:tcMar>
              <w:top w:w="0" w:type="dxa"/>
              <w:left w:w="20" w:type="dxa"/>
              <w:bottom w:w="0" w:type="dxa"/>
              <w:right w:w="20" w:type="dxa"/>
            </w:tcMar>
            <w:vAlign w:val="center"/>
            <w:hideMark/>
          </w:tcPr>
          <w:p w14:paraId="15CBF2DE" w14:textId="77777777" w:rsidR="00000000" w:rsidRDefault="000A3118">
            <w:pPr>
              <w:jc w:val="center"/>
              <w:rPr>
                <w:rFonts w:eastAsia="Times New Roman"/>
              </w:rPr>
            </w:pPr>
          </w:p>
        </w:tc>
        <w:tc>
          <w:tcPr>
            <w:tcW w:w="0" w:type="auto"/>
            <w:gridSpan w:val="9"/>
            <w:tcMar>
              <w:top w:w="30" w:type="dxa"/>
              <w:left w:w="20" w:type="dxa"/>
              <w:bottom w:w="30" w:type="dxa"/>
              <w:right w:w="20" w:type="dxa"/>
            </w:tcMar>
            <w:vAlign w:val="bottom"/>
            <w:hideMark/>
          </w:tcPr>
          <w:p w14:paraId="4C30E3D9" w14:textId="77777777" w:rsidR="00000000" w:rsidRDefault="000A3118">
            <w:pPr>
              <w:jc w:val="center"/>
              <w:rPr>
                <w:rFonts w:eastAsia="Times New Roman"/>
              </w:rPr>
            </w:pPr>
            <w:r>
              <w:rPr>
                <w:rFonts w:eastAsia="Times New Roman"/>
                <w:b/>
                <w:bCs/>
                <w:color w:val="000000"/>
                <w:sz w:val="16"/>
                <w:szCs w:val="16"/>
              </w:rPr>
              <w:t>Gross Derivative Liabilities</w:t>
            </w:r>
          </w:p>
        </w:tc>
      </w:tr>
      <w:tr w:rsidR="00000000" w14:paraId="283A4B0D" w14:textId="77777777">
        <w:trPr>
          <w:divId w:val="2055540295"/>
          <w:jc w:val="center"/>
        </w:trPr>
        <w:tc>
          <w:tcPr>
            <w:tcW w:w="0" w:type="auto"/>
            <w:gridSpan w:val="3"/>
            <w:tcMar>
              <w:top w:w="0" w:type="dxa"/>
              <w:left w:w="20" w:type="dxa"/>
              <w:bottom w:w="0" w:type="dxa"/>
              <w:right w:w="20" w:type="dxa"/>
            </w:tcMar>
            <w:vAlign w:val="center"/>
            <w:hideMark/>
          </w:tcPr>
          <w:p w14:paraId="7D5B3B7B"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3005DAE4"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6BAB2462"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hideMark/>
          </w:tcPr>
          <w:p w14:paraId="1F9FAF5A" w14:textId="77777777" w:rsidR="00000000" w:rsidRDefault="000A3118">
            <w:pPr>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4C16CAF7" w14:textId="77777777" w:rsidR="00000000" w:rsidRDefault="000A3118">
            <w:pPr>
              <w:jc w:val="center"/>
              <w:rPr>
                <w:rFonts w:eastAsia="Times New Roman"/>
              </w:rPr>
            </w:pPr>
          </w:p>
        </w:tc>
        <w:tc>
          <w:tcPr>
            <w:tcW w:w="0" w:type="auto"/>
            <w:gridSpan w:val="9"/>
            <w:tcMar>
              <w:top w:w="30" w:type="dxa"/>
              <w:left w:w="20" w:type="dxa"/>
              <w:bottom w:w="30" w:type="dxa"/>
              <w:right w:w="20" w:type="dxa"/>
            </w:tcMar>
            <w:hideMark/>
          </w:tcPr>
          <w:p w14:paraId="21753335" w14:textId="77777777" w:rsidR="00000000" w:rsidRDefault="000A3118">
            <w:pPr>
              <w:jc w:val="center"/>
              <w:rPr>
                <w:rFonts w:eastAsia="Times New Roman"/>
              </w:rPr>
            </w:pPr>
            <w:r>
              <w:rPr>
                <w:rFonts w:eastAsia="Times New Roman"/>
                <w:b/>
                <w:bCs/>
                <w:color w:val="000000"/>
                <w:sz w:val="16"/>
                <w:szCs w:val="16"/>
              </w:rPr>
              <w:t>As of</w:t>
            </w:r>
          </w:p>
        </w:tc>
      </w:tr>
      <w:tr w:rsidR="00000000" w14:paraId="787CE6C1" w14:textId="77777777">
        <w:trPr>
          <w:divId w:val="2055540295"/>
          <w:jc w:val="center"/>
        </w:trPr>
        <w:tc>
          <w:tcPr>
            <w:tcW w:w="0" w:type="auto"/>
            <w:gridSpan w:val="3"/>
            <w:tcMar>
              <w:top w:w="0" w:type="dxa"/>
              <w:left w:w="20" w:type="dxa"/>
              <w:bottom w:w="0" w:type="dxa"/>
              <w:right w:w="20" w:type="dxa"/>
            </w:tcMar>
            <w:vAlign w:val="center"/>
            <w:hideMark/>
          </w:tcPr>
          <w:p w14:paraId="5F5E008C"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3447D7FF"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362302"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EE9E79C"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Borders>
              <w:top w:val="single" w:sz="8" w:space="0" w:color="000000"/>
            </w:tcBorders>
            <w:tcMar>
              <w:top w:w="0" w:type="dxa"/>
              <w:left w:w="20" w:type="dxa"/>
              <w:bottom w:w="0" w:type="dxa"/>
              <w:right w:w="20" w:type="dxa"/>
            </w:tcMar>
            <w:vAlign w:val="center"/>
            <w:hideMark/>
          </w:tcPr>
          <w:p w14:paraId="3E670405" w14:textId="77777777" w:rsidR="00000000" w:rsidRDefault="000A311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111FE13" w14:textId="77777777" w:rsidR="00000000" w:rsidRDefault="000A3118">
            <w:pPr>
              <w:jc w:val="center"/>
              <w:rPr>
                <w:rFonts w:eastAsia="Times New Roman"/>
              </w:rPr>
            </w:pPr>
            <w:r>
              <w:rPr>
                <w:rFonts w:eastAsia="Times New Roman"/>
                <w:b/>
                <w:bCs/>
                <w:color w:val="000000"/>
                <w:sz w:val="16"/>
                <w:szCs w:val="16"/>
              </w:rPr>
              <w:t>December 31,</w:t>
            </w:r>
          </w:p>
        </w:tc>
        <w:tc>
          <w:tcPr>
            <w:tcW w:w="0" w:type="auto"/>
            <w:gridSpan w:val="3"/>
            <w:tcBorders>
              <w:top w:val="single" w:sz="8" w:space="0" w:color="000000"/>
            </w:tcBorders>
            <w:tcMar>
              <w:top w:w="0" w:type="dxa"/>
              <w:left w:w="20" w:type="dxa"/>
              <w:bottom w:w="0" w:type="dxa"/>
              <w:right w:w="20" w:type="dxa"/>
            </w:tcMar>
            <w:vAlign w:val="center"/>
            <w:hideMark/>
          </w:tcPr>
          <w:p w14:paraId="7A4CD29A"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384485"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Borders>
              <w:top w:val="single" w:sz="8" w:space="0" w:color="000000"/>
            </w:tcBorders>
            <w:tcMar>
              <w:top w:w="0" w:type="dxa"/>
              <w:left w:w="20" w:type="dxa"/>
              <w:bottom w:w="0" w:type="dxa"/>
              <w:right w:w="20" w:type="dxa"/>
            </w:tcMar>
            <w:vAlign w:val="center"/>
            <w:hideMark/>
          </w:tcPr>
          <w:p w14:paraId="39A995C8" w14:textId="77777777" w:rsidR="00000000" w:rsidRDefault="000A311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9E3F00D" w14:textId="77777777" w:rsidR="00000000" w:rsidRDefault="000A3118">
            <w:pPr>
              <w:jc w:val="center"/>
              <w:rPr>
                <w:rFonts w:eastAsia="Times New Roman"/>
              </w:rPr>
            </w:pPr>
            <w:r>
              <w:rPr>
                <w:rFonts w:eastAsia="Times New Roman"/>
                <w:b/>
                <w:bCs/>
                <w:color w:val="000000"/>
                <w:sz w:val="16"/>
                <w:szCs w:val="16"/>
              </w:rPr>
              <w:t>December 31,</w:t>
            </w:r>
          </w:p>
        </w:tc>
      </w:tr>
      <w:tr w:rsidR="00000000" w14:paraId="59F04F84" w14:textId="77777777">
        <w:trPr>
          <w:divId w:val="2055540295"/>
          <w:jc w:val="center"/>
        </w:trPr>
        <w:tc>
          <w:tcPr>
            <w:tcW w:w="0" w:type="auto"/>
            <w:gridSpan w:val="3"/>
            <w:tcMar>
              <w:top w:w="0" w:type="dxa"/>
              <w:left w:w="20" w:type="dxa"/>
              <w:bottom w:w="0" w:type="dxa"/>
              <w:right w:w="20" w:type="dxa"/>
            </w:tcMar>
            <w:vAlign w:val="center"/>
            <w:hideMark/>
          </w:tcPr>
          <w:p w14:paraId="6AAD779E"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1BD2CBD5"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00E25F48"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076E09C7"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379C8C0"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1217283C"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1D6F43A7"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50832230"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1C37CB1"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53936E03" w14:textId="77777777" w:rsidR="00000000" w:rsidRDefault="000A3118">
            <w:pPr>
              <w:jc w:val="center"/>
              <w:rPr>
                <w:rFonts w:eastAsia="Times New Roman"/>
              </w:rPr>
            </w:pPr>
            <w:r>
              <w:rPr>
                <w:rFonts w:eastAsia="Times New Roman"/>
                <w:b/>
                <w:bCs/>
                <w:color w:val="000000"/>
                <w:sz w:val="16"/>
                <w:szCs w:val="16"/>
              </w:rPr>
              <w:t>2019</w:t>
            </w:r>
          </w:p>
        </w:tc>
      </w:tr>
      <w:tr w:rsidR="00000000" w14:paraId="447F3B96" w14:textId="77777777">
        <w:trPr>
          <w:divId w:val="2055540295"/>
          <w:jc w:val="center"/>
        </w:trPr>
        <w:tc>
          <w:tcPr>
            <w:tcW w:w="0" w:type="auto"/>
            <w:gridSpan w:val="3"/>
            <w:tcBorders>
              <w:top w:val="single" w:sz="8" w:space="0" w:color="000000"/>
            </w:tcBorders>
            <w:tcMar>
              <w:top w:w="30" w:type="dxa"/>
              <w:left w:w="20" w:type="dxa"/>
              <w:bottom w:w="30" w:type="dxa"/>
              <w:right w:w="20" w:type="dxa"/>
            </w:tcMar>
            <w:hideMark/>
          </w:tcPr>
          <w:p w14:paraId="73276067" w14:textId="77777777" w:rsidR="00000000" w:rsidRDefault="000A3118">
            <w:pPr>
              <w:rPr>
                <w:rFonts w:eastAsia="Times New Roman"/>
              </w:rPr>
            </w:pPr>
            <w:r>
              <w:rPr>
                <w:rFonts w:eastAsia="Times New Roman"/>
                <w:b/>
                <w:bCs/>
                <w:color w:val="000000"/>
                <w:sz w:val="16"/>
                <w:szCs w:val="16"/>
              </w:rPr>
              <w:t>Derivative Instruments</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48AA4D5F" w14:textId="77777777" w:rsidR="00000000" w:rsidRDefault="000A3118">
            <w:pPr>
              <w:rPr>
                <w:rFonts w:eastAsia="Times New Roman"/>
              </w:rPr>
            </w:pPr>
            <w:r>
              <w:rPr>
                <w:rFonts w:eastAsia="Times New Roman"/>
                <w:b/>
                <w:bCs/>
                <w:color w:val="000000"/>
                <w:sz w:val="16"/>
                <w:szCs w:val="16"/>
              </w:rPr>
              <w:t>Consolidated Balance Sheets location</w:t>
            </w:r>
          </w:p>
        </w:tc>
        <w:tc>
          <w:tcPr>
            <w:tcW w:w="0" w:type="auto"/>
            <w:gridSpan w:val="3"/>
            <w:tcBorders>
              <w:top w:val="single" w:sz="8" w:space="0" w:color="000000"/>
            </w:tcBorders>
            <w:tcMar>
              <w:top w:w="0" w:type="dxa"/>
              <w:left w:w="20" w:type="dxa"/>
              <w:bottom w:w="0" w:type="dxa"/>
              <w:right w:w="20" w:type="dxa"/>
            </w:tcMar>
            <w:vAlign w:val="center"/>
            <w:hideMark/>
          </w:tcPr>
          <w:p w14:paraId="48671C63" w14:textId="77777777" w:rsidR="00000000" w:rsidRDefault="000A3118">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6B8EADE"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170583"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3B5BA3"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376F88"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BE7CCA"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C616B1"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615ED1" w14:textId="77777777" w:rsidR="00000000" w:rsidRDefault="000A3118">
            <w:pPr>
              <w:rPr>
                <w:rFonts w:eastAsia="Times New Roman"/>
                <w:sz w:val="20"/>
                <w:szCs w:val="20"/>
              </w:rPr>
            </w:pPr>
          </w:p>
        </w:tc>
      </w:tr>
      <w:tr w:rsidR="00000000" w14:paraId="2479F690" w14:textId="77777777">
        <w:trPr>
          <w:divId w:val="2055540295"/>
          <w:jc w:val="center"/>
        </w:trPr>
        <w:tc>
          <w:tcPr>
            <w:tcW w:w="0" w:type="auto"/>
            <w:gridSpan w:val="6"/>
            <w:tcBorders>
              <w:top w:val="single" w:sz="8" w:space="0" w:color="000000"/>
            </w:tcBorders>
            <w:shd w:val="clear" w:color="auto" w:fill="CCEEFF"/>
            <w:tcMar>
              <w:top w:w="30" w:type="dxa"/>
              <w:left w:w="20" w:type="dxa"/>
              <w:bottom w:w="30" w:type="dxa"/>
              <w:right w:w="20" w:type="dxa"/>
            </w:tcMar>
            <w:hideMark/>
          </w:tcPr>
          <w:p w14:paraId="601DC427" w14:textId="77777777" w:rsidR="00000000" w:rsidRDefault="000A3118">
            <w:pPr>
              <w:rPr>
                <w:rFonts w:eastAsia="Times New Roman"/>
              </w:rPr>
            </w:pPr>
            <w:r>
              <w:rPr>
                <w:rFonts w:eastAsia="Times New Roman"/>
                <w:b/>
                <w:bCs/>
                <w:color w:val="000000"/>
                <w:sz w:val="16"/>
                <w:szCs w:val="16"/>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FB0420"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DA3868"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B2E67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413B26"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8716A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7D6D3F"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D4DC88"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1D34A8" w14:textId="77777777" w:rsidR="00000000" w:rsidRDefault="000A3118">
            <w:pPr>
              <w:rPr>
                <w:rFonts w:eastAsia="Times New Roman"/>
                <w:sz w:val="20"/>
                <w:szCs w:val="20"/>
              </w:rPr>
            </w:pPr>
          </w:p>
        </w:tc>
      </w:tr>
      <w:tr w:rsidR="00000000" w14:paraId="0A476F78" w14:textId="77777777">
        <w:trPr>
          <w:divId w:val="2055540295"/>
          <w:jc w:val="center"/>
        </w:trPr>
        <w:tc>
          <w:tcPr>
            <w:tcW w:w="0" w:type="auto"/>
            <w:gridSpan w:val="3"/>
            <w:shd w:val="clear" w:color="auto" w:fill="FFFFFF"/>
            <w:tcMar>
              <w:top w:w="30" w:type="dxa"/>
              <w:left w:w="20" w:type="dxa"/>
              <w:bottom w:w="30" w:type="dxa"/>
              <w:right w:w="20" w:type="dxa"/>
            </w:tcMar>
            <w:hideMark/>
          </w:tcPr>
          <w:p w14:paraId="75F4AA81" w14:textId="77777777" w:rsidR="00000000" w:rsidRDefault="000A3118">
            <w:pPr>
              <w:rPr>
                <w:rFonts w:eastAsia="Times New Roman"/>
              </w:rPr>
            </w:pPr>
            <w:r>
              <w:rPr>
                <w:rFonts w:eastAsia="Times New Roman"/>
                <w:color w:val="000000"/>
                <w:sz w:val="16"/>
                <w:szCs w:val="16"/>
              </w:rPr>
              <w:t>   Commodity contracts</w:t>
            </w:r>
          </w:p>
        </w:tc>
        <w:tc>
          <w:tcPr>
            <w:tcW w:w="0" w:type="auto"/>
            <w:gridSpan w:val="3"/>
            <w:shd w:val="clear" w:color="auto" w:fill="FFFFFF"/>
            <w:tcMar>
              <w:top w:w="30" w:type="dxa"/>
              <w:left w:w="20" w:type="dxa"/>
              <w:bottom w:w="30" w:type="dxa"/>
              <w:right w:w="20" w:type="dxa"/>
            </w:tcMar>
            <w:hideMark/>
          </w:tcPr>
          <w:p w14:paraId="463E1FE8" w14:textId="77777777" w:rsidR="00000000" w:rsidRDefault="000A3118">
            <w:pPr>
              <w:rPr>
                <w:rFonts w:eastAsia="Times New Roman"/>
              </w:rPr>
            </w:pPr>
            <w:r>
              <w:rPr>
                <w:rFonts w:eastAsia="Times New Roman"/>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14:paraId="585AE9A9" w14:textId="77777777" w:rsidR="00000000" w:rsidRDefault="000A3118">
            <w:pPr>
              <w:rPr>
                <w:rFonts w:eastAsia="Times New Roman"/>
              </w:rPr>
            </w:pPr>
          </w:p>
        </w:tc>
        <w:tc>
          <w:tcPr>
            <w:tcW w:w="0" w:type="auto"/>
            <w:shd w:val="clear" w:color="auto" w:fill="FFFFFF"/>
            <w:tcMar>
              <w:top w:w="30" w:type="dxa"/>
              <w:left w:w="20" w:type="dxa"/>
              <w:bottom w:w="30" w:type="dxa"/>
              <w:right w:w="0" w:type="dxa"/>
            </w:tcMar>
            <w:hideMark/>
          </w:tcPr>
          <w:p w14:paraId="32C2E531"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79DF58BF" w14:textId="77777777" w:rsidR="00000000" w:rsidRDefault="000A3118">
            <w:pPr>
              <w:jc w:val="right"/>
              <w:rPr>
                <w:rFonts w:eastAsia="Times New Roman"/>
              </w:rPr>
            </w:pPr>
            <w:r>
              <w:rPr>
                <w:rFonts w:eastAsia="Times New Roman"/>
                <w:color w:val="000000"/>
                <w:sz w:val="16"/>
                <w:szCs w:val="16"/>
              </w:rPr>
              <w:t>142.2 </w:t>
            </w:r>
          </w:p>
        </w:tc>
        <w:tc>
          <w:tcPr>
            <w:tcW w:w="0" w:type="auto"/>
            <w:shd w:val="clear" w:color="auto" w:fill="FFFFFF"/>
            <w:tcMar>
              <w:top w:w="30" w:type="dxa"/>
              <w:left w:w="0" w:type="dxa"/>
              <w:bottom w:w="30" w:type="dxa"/>
              <w:right w:w="20" w:type="dxa"/>
            </w:tcMar>
            <w:hideMark/>
          </w:tcPr>
          <w:p w14:paraId="085C905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97A38"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0672ADC9"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788199A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1EF0D79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8B849D"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3B6B3CD3"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1C093090" w14:textId="77777777" w:rsidR="00000000" w:rsidRDefault="000A3118">
            <w:pPr>
              <w:jc w:val="right"/>
              <w:rPr>
                <w:rFonts w:eastAsia="Times New Roman"/>
              </w:rPr>
            </w:pPr>
            <w:r>
              <w:rPr>
                <w:rFonts w:eastAsia="Times New Roman"/>
                <w:color w:val="000000"/>
                <w:sz w:val="16"/>
                <w:szCs w:val="16"/>
              </w:rPr>
              <w:t>111.9 </w:t>
            </w:r>
          </w:p>
        </w:tc>
        <w:tc>
          <w:tcPr>
            <w:tcW w:w="0" w:type="auto"/>
            <w:shd w:val="clear" w:color="auto" w:fill="FFFFFF"/>
            <w:tcMar>
              <w:top w:w="30" w:type="dxa"/>
              <w:left w:w="0" w:type="dxa"/>
              <w:bottom w:w="30" w:type="dxa"/>
              <w:right w:w="20" w:type="dxa"/>
            </w:tcMar>
            <w:hideMark/>
          </w:tcPr>
          <w:p w14:paraId="2798C9D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8452E4"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0E6CAC21"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7A14236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719F608A" w14:textId="77777777" w:rsidR="00000000" w:rsidRDefault="000A3118">
            <w:pPr>
              <w:jc w:val="right"/>
              <w:rPr>
                <w:rFonts w:eastAsia="Times New Roman"/>
              </w:rPr>
            </w:pPr>
          </w:p>
        </w:tc>
      </w:tr>
      <w:tr w:rsidR="00000000" w14:paraId="594E30C7" w14:textId="77777777">
        <w:trPr>
          <w:divId w:val="2055540295"/>
          <w:jc w:val="center"/>
        </w:trPr>
        <w:tc>
          <w:tcPr>
            <w:tcW w:w="0" w:type="auto"/>
            <w:gridSpan w:val="3"/>
            <w:shd w:val="clear" w:color="auto" w:fill="CCEEFF"/>
            <w:tcMar>
              <w:top w:w="0" w:type="dxa"/>
              <w:left w:w="20" w:type="dxa"/>
              <w:bottom w:w="0" w:type="dxa"/>
              <w:right w:w="20" w:type="dxa"/>
            </w:tcMar>
            <w:vAlign w:val="center"/>
            <w:hideMark/>
          </w:tcPr>
          <w:p w14:paraId="718C0045" w14:textId="77777777" w:rsidR="00000000" w:rsidRDefault="000A311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22F34151" w14:textId="77777777" w:rsidR="00000000" w:rsidRDefault="000A3118">
            <w:pPr>
              <w:rPr>
                <w:rFonts w:eastAsia="Times New Roman"/>
              </w:rPr>
            </w:pPr>
            <w:r>
              <w:rPr>
                <w:rFonts w:eastAsia="Times New Roman"/>
                <w:color w:val="000000"/>
                <w:sz w:val="16"/>
                <w:szCs w:val="16"/>
              </w:rPr>
              <w:t>Identifiable intangible and other non-current assets</w:t>
            </w:r>
          </w:p>
        </w:tc>
        <w:tc>
          <w:tcPr>
            <w:tcW w:w="0" w:type="auto"/>
            <w:gridSpan w:val="3"/>
            <w:shd w:val="clear" w:color="auto" w:fill="CCEEFF"/>
            <w:tcMar>
              <w:top w:w="0" w:type="dxa"/>
              <w:left w:w="20" w:type="dxa"/>
              <w:bottom w:w="0" w:type="dxa"/>
              <w:right w:w="20" w:type="dxa"/>
            </w:tcMar>
            <w:vAlign w:val="center"/>
            <w:hideMark/>
          </w:tcPr>
          <w:p w14:paraId="691D89C7"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2D3B90D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612FE05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D725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2D7870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5164368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D370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085F5A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4E2D817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BEFB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4B74E1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273C8F32" w14:textId="77777777" w:rsidR="00000000" w:rsidRDefault="000A3118">
            <w:pPr>
              <w:jc w:val="right"/>
              <w:rPr>
                <w:rFonts w:eastAsia="Times New Roman"/>
              </w:rPr>
            </w:pPr>
          </w:p>
        </w:tc>
      </w:tr>
      <w:tr w:rsidR="00000000" w14:paraId="3D7B0A80" w14:textId="77777777">
        <w:trPr>
          <w:divId w:val="2055540295"/>
          <w:jc w:val="center"/>
        </w:trPr>
        <w:tc>
          <w:tcPr>
            <w:tcW w:w="0" w:type="auto"/>
            <w:gridSpan w:val="3"/>
            <w:shd w:val="clear" w:color="auto" w:fill="FFFFFF"/>
            <w:tcMar>
              <w:top w:w="0" w:type="dxa"/>
              <w:left w:w="20" w:type="dxa"/>
              <w:bottom w:w="0" w:type="dxa"/>
              <w:right w:w="20" w:type="dxa"/>
            </w:tcMar>
            <w:vAlign w:val="center"/>
            <w:hideMark/>
          </w:tcPr>
          <w:p w14:paraId="27B2244D" w14:textId="77777777" w:rsidR="00000000" w:rsidRDefault="000A311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782767EC" w14:textId="77777777" w:rsidR="00000000" w:rsidRDefault="000A3118">
            <w:pPr>
              <w:rPr>
                <w:rFonts w:eastAsia="Times New Roman"/>
              </w:rPr>
            </w:pPr>
            <w:r>
              <w:rPr>
                <w:rFonts w:eastAsia="Times New Roman"/>
                <w:color w:val="000000"/>
                <w:sz w:val="16"/>
                <w:szCs w:val="16"/>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14:paraId="1ACAD3A7"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hideMark/>
          </w:tcPr>
          <w:p w14:paraId="72267E8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49D0676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1C493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731988C" w14:textId="77777777" w:rsidR="00000000" w:rsidRDefault="000A3118">
            <w:pPr>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hideMark/>
          </w:tcPr>
          <w:p w14:paraId="74B61D5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023F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9C1802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0F5DE01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B75E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896EFB0" w14:textId="77777777" w:rsidR="00000000" w:rsidRDefault="000A3118">
            <w:pPr>
              <w:jc w:val="right"/>
              <w:rPr>
                <w:rFonts w:eastAsia="Times New Roman"/>
              </w:rPr>
            </w:pPr>
            <w:r>
              <w:rPr>
                <w:rFonts w:eastAsia="Times New Roman"/>
                <w:color w:val="000000"/>
                <w:sz w:val="16"/>
                <w:szCs w:val="16"/>
              </w:rPr>
              <w:t>20.0 </w:t>
            </w:r>
          </w:p>
        </w:tc>
        <w:tc>
          <w:tcPr>
            <w:tcW w:w="0" w:type="auto"/>
            <w:shd w:val="clear" w:color="auto" w:fill="FFFFFF"/>
            <w:tcMar>
              <w:top w:w="30" w:type="dxa"/>
              <w:left w:w="0" w:type="dxa"/>
              <w:bottom w:w="30" w:type="dxa"/>
              <w:right w:w="20" w:type="dxa"/>
            </w:tcMar>
            <w:hideMark/>
          </w:tcPr>
          <w:p w14:paraId="51762BCC" w14:textId="77777777" w:rsidR="00000000" w:rsidRDefault="000A3118">
            <w:pPr>
              <w:jc w:val="right"/>
              <w:rPr>
                <w:rFonts w:eastAsia="Times New Roman"/>
              </w:rPr>
            </w:pPr>
          </w:p>
        </w:tc>
      </w:tr>
      <w:tr w:rsidR="00000000" w14:paraId="0B2D310E" w14:textId="77777777">
        <w:trPr>
          <w:divId w:val="2055540295"/>
          <w:jc w:val="center"/>
        </w:trPr>
        <w:tc>
          <w:tcPr>
            <w:tcW w:w="0" w:type="auto"/>
            <w:gridSpan w:val="3"/>
            <w:shd w:val="clear" w:color="auto" w:fill="CCEEFF"/>
            <w:tcMar>
              <w:top w:w="0" w:type="dxa"/>
              <w:left w:w="20" w:type="dxa"/>
              <w:bottom w:w="0" w:type="dxa"/>
              <w:right w:w="20" w:type="dxa"/>
            </w:tcMar>
            <w:vAlign w:val="center"/>
            <w:hideMark/>
          </w:tcPr>
          <w:p w14:paraId="344E9EBA" w14:textId="77777777" w:rsidR="00000000" w:rsidRDefault="000A311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72C1153" w14:textId="77777777" w:rsidR="00000000" w:rsidRDefault="000A3118">
            <w:pPr>
              <w:rPr>
                <w:rFonts w:eastAsia="Times New Roman"/>
              </w:rPr>
            </w:pPr>
            <w:r>
              <w:rPr>
                <w:rFonts w:eastAsia="Times New Roman"/>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14:paraId="00A16922"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4B4AF7DF" w14:textId="77777777" w:rsidR="00000000" w:rsidRDefault="000A3118">
            <w:pPr>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hideMark/>
          </w:tcPr>
          <w:p w14:paraId="1613FA8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F148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0142CF0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7B0C95B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D9198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FB41E8A" w14:textId="77777777" w:rsidR="00000000" w:rsidRDefault="000A3118">
            <w:pPr>
              <w:jc w:val="right"/>
              <w:rPr>
                <w:rFonts w:eastAsia="Times New Roman"/>
              </w:rPr>
            </w:pPr>
            <w:r>
              <w:rPr>
                <w:rFonts w:eastAsia="Times New Roman"/>
                <w:color w:val="000000"/>
                <w:sz w:val="16"/>
                <w:szCs w:val="16"/>
              </w:rPr>
              <w:t>0.5 </w:t>
            </w:r>
          </w:p>
        </w:tc>
        <w:tc>
          <w:tcPr>
            <w:tcW w:w="0" w:type="auto"/>
            <w:shd w:val="clear" w:color="auto" w:fill="CCEEFF"/>
            <w:tcMar>
              <w:top w:w="30" w:type="dxa"/>
              <w:left w:w="0" w:type="dxa"/>
              <w:bottom w:w="30" w:type="dxa"/>
              <w:right w:w="20" w:type="dxa"/>
            </w:tcMar>
            <w:hideMark/>
          </w:tcPr>
          <w:p w14:paraId="5C04623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86F6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317C98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629BB9A1" w14:textId="77777777" w:rsidR="00000000" w:rsidRDefault="000A3118">
            <w:pPr>
              <w:jc w:val="right"/>
              <w:rPr>
                <w:rFonts w:eastAsia="Times New Roman"/>
              </w:rPr>
            </w:pPr>
          </w:p>
        </w:tc>
      </w:tr>
      <w:tr w:rsidR="00000000" w14:paraId="5ECBD7F1" w14:textId="77777777">
        <w:trPr>
          <w:divId w:val="2055540295"/>
          <w:jc w:val="center"/>
        </w:trPr>
        <w:tc>
          <w:tcPr>
            <w:tcW w:w="0" w:type="auto"/>
            <w:gridSpan w:val="3"/>
            <w:shd w:val="clear" w:color="auto" w:fill="FFFFFF"/>
            <w:tcMar>
              <w:top w:w="0" w:type="dxa"/>
              <w:left w:w="20" w:type="dxa"/>
              <w:bottom w:w="0" w:type="dxa"/>
              <w:right w:w="20" w:type="dxa"/>
            </w:tcMar>
            <w:vAlign w:val="center"/>
            <w:hideMark/>
          </w:tcPr>
          <w:p w14:paraId="5FBF9836" w14:textId="77777777" w:rsidR="00000000" w:rsidRDefault="000A311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3F3D50"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1FFCE8" w14:textId="77777777" w:rsidR="00000000" w:rsidRDefault="000A3118">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7B3617C2" w14:textId="77777777" w:rsidR="00000000" w:rsidRDefault="000A3118">
            <w:pPr>
              <w:jc w:val="right"/>
              <w:rPr>
                <w:rFonts w:eastAsia="Times New Roman"/>
              </w:rPr>
            </w:pPr>
            <w:r>
              <w:rPr>
                <w:rFonts w:eastAsia="Times New Roman"/>
                <w:color w:val="000000"/>
                <w:sz w:val="16"/>
                <w:szCs w:val="16"/>
              </w:rPr>
              <w:t>142.4 </w:t>
            </w:r>
          </w:p>
        </w:tc>
        <w:tc>
          <w:tcPr>
            <w:tcW w:w="0" w:type="auto"/>
            <w:tcBorders>
              <w:top w:val="single" w:sz="8" w:space="0" w:color="000000"/>
            </w:tcBorders>
            <w:shd w:val="clear" w:color="auto" w:fill="FFFFFF"/>
            <w:tcMar>
              <w:top w:w="30" w:type="dxa"/>
              <w:left w:w="0" w:type="dxa"/>
              <w:bottom w:w="30" w:type="dxa"/>
              <w:right w:w="20" w:type="dxa"/>
            </w:tcMar>
            <w:hideMark/>
          </w:tcPr>
          <w:p w14:paraId="653A789E"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322B14"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12AB6467" w14:textId="77777777" w:rsidR="00000000" w:rsidRDefault="000A3118">
            <w:pPr>
              <w:jc w:val="right"/>
              <w:rPr>
                <w:rFonts w:eastAsia="Times New Roman"/>
              </w:rPr>
            </w:pPr>
            <w:r>
              <w:rPr>
                <w:rFonts w:eastAsia="Times New Roman"/>
                <w:color w:val="000000"/>
                <w:sz w:val="16"/>
                <w:szCs w:val="16"/>
              </w:rPr>
              <w:t>1.7 </w:t>
            </w:r>
          </w:p>
        </w:tc>
        <w:tc>
          <w:tcPr>
            <w:tcW w:w="0" w:type="auto"/>
            <w:tcBorders>
              <w:top w:val="single" w:sz="8" w:space="0" w:color="000000"/>
            </w:tcBorders>
            <w:shd w:val="clear" w:color="auto" w:fill="FFFFFF"/>
            <w:tcMar>
              <w:top w:w="30" w:type="dxa"/>
              <w:left w:w="0" w:type="dxa"/>
              <w:bottom w:w="30" w:type="dxa"/>
              <w:right w:w="20" w:type="dxa"/>
            </w:tcMar>
            <w:hideMark/>
          </w:tcPr>
          <w:p w14:paraId="5437777E"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EFFFD3"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83646CE" w14:textId="77777777" w:rsidR="00000000" w:rsidRDefault="000A3118">
            <w:pPr>
              <w:jc w:val="right"/>
              <w:rPr>
                <w:rFonts w:eastAsia="Times New Roman"/>
              </w:rPr>
            </w:pPr>
            <w:r>
              <w:rPr>
                <w:rFonts w:eastAsia="Times New Roman"/>
                <w:color w:val="000000"/>
                <w:sz w:val="16"/>
                <w:szCs w:val="16"/>
              </w:rPr>
              <w:t>112.4 </w:t>
            </w:r>
          </w:p>
        </w:tc>
        <w:tc>
          <w:tcPr>
            <w:tcW w:w="0" w:type="auto"/>
            <w:tcBorders>
              <w:top w:val="single" w:sz="8" w:space="0" w:color="000000"/>
            </w:tcBorders>
            <w:shd w:val="clear" w:color="auto" w:fill="FFFFFF"/>
            <w:tcMar>
              <w:top w:w="30" w:type="dxa"/>
              <w:left w:w="0" w:type="dxa"/>
              <w:bottom w:w="30" w:type="dxa"/>
              <w:right w:w="20" w:type="dxa"/>
            </w:tcMar>
            <w:hideMark/>
          </w:tcPr>
          <w:p w14:paraId="2546F7C6"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E9C1D7B"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623B427" w14:textId="77777777" w:rsidR="00000000" w:rsidRDefault="000A3118">
            <w:pPr>
              <w:jc w:val="right"/>
              <w:rPr>
                <w:rFonts w:eastAsia="Times New Roman"/>
              </w:rPr>
            </w:pPr>
            <w:r>
              <w:rPr>
                <w:rFonts w:eastAsia="Times New Roman"/>
                <w:color w:val="000000"/>
                <w:sz w:val="16"/>
                <w:szCs w:val="16"/>
              </w:rPr>
              <w:t>20.0 </w:t>
            </w:r>
          </w:p>
        </w:tc>
        <w:tc>
          <w:tcPr>
            <w:tcW w:w="0" w:type="auto"/>
            <w:tcBorders>
              <w:top w:val="single" w:sz="8" w:space="0" w:color="000000"/>
            </w:tcBorders>
            <w:shd w:val="clear" w:color="auto" w:fill="FFFFFF"/>
            <w:tcMar>
              <w:top w:w="30" w:type="dxa"/>
              <w:left w:w="0" w:type="dxa"/>
              <w:bottom w:w="30" w:type="dxa"/>
              <w:right w:w="20" w:type="dxa"/>
            </w:tcMar>
            <w:hideMark/>
          </w:tcPr>
          <w:p w14:paraId="12C3060D" w14:textId="77777777" w:rsidR="00000000" w:rsidRDefault="000A3118">
            <w:pPr>
              <w:jc w:val="right"/>
              <w:rPr>
                <w:rFonts w:eastAsia="Times New Roman"/>
              </w:rPr>
            </w:pPr>
          </w:p>
        </w:tc>
      </w:tr>
      <w:tr w:rsidR="00000000" w14:paraId="0C0883E3" w14:textId="77777777">
        <w:trPr>
          <w:divId w:val="2055540295"/>
          <w:trHeight w:val="240"/>
          <w:jc w:val="center"/>
        </w:trPr>
        <w:tc>
          <w:tcPr>
            <w:tcW w:w="0" w:type="auto"/>
            <w:gridSpan w:val="3"/>
            <w:shd w:val="clear" w:color="auto" w:fill="CCEEFF"/>
            <w:tcMar>
              <w:top w:w="0" w:type="dxa"/>
              <w:left w:w="20" w:type="dxa"/>
              <w:bottom w:w="0" w:type="dxa"/>
              <w:right w:w="20" w:type="dxa"/>
            </w:tcMar>
            <w:vAlign w:val="center"/>
            <w:hideMark/>
          </w:tcPr>
          <w:p w14:paraId="4D2833BB" w14:textId="77777777" w:rsidR="00000000" w:rsidRDefault="000A311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557E74"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E0E2B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6721C9"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87ED8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B0B8F2"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B418B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26228A"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07E92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88D2B7" w14:textId="77777777" w:rsidR="00000000" w:rsidRDefault="000A3118">
            <w:pPr>
              <w:rPr>
                <w:rFonts w:eastAsia="Times New Roman"/>
                <w:sz w:val="20"/>
                <w:szCs w:val="20"/>
              </w:rPr>
            </w:pPr>
          </w:p>
        </w:tc>
      </w:tr>
      <w:tr w:rsidR="00000000" w14:paraId="53202722" w14:textId="77777777">
        <w:trPr>
          <w:divId w:val="2055540295"/>
          <w:jc w:val="center"/>
        </w:trPr>
        <w:tc>
          <w:tcPr>
            <w:tcW w:w="0" w:type="auto"/>
            <w:gridSpan w:val="3"/>
            <w:shd w:val="clear" w:color="auto" w:fill="FFFFFF"/>
            <w:tcMar>
              <w:top w:w="30" w:type="dxa"/>
              <w:left w:w="135" w:type="dxa"/>
              <w:bottom w:w="30" w:type="dxa"/>
              <w:right w:w="20" w:type="dxa"/>
            </w:tcMar>
            <w:hideMark/>
          </w:tcPr>
          <w:p w14:paraId="3DB840EE" w14:textId="77777777" w:rsidR="00000000" w:rsidRDefault="000A3118">
            <w:pPr>
              <w:rPr>
                <w:rFonts w:eastAsia="Times New Roman"/>
              </w:rPr>
            </w:pPr>
            <w:r>
              <w:rPr>
                <w:rFonts w:eastAsia="Times New Roman"/>
                <w:color w:val="000000"/>
                <w:sz w:val="16"/>
                <w:szCs w:val="16"/>
              </w:rPr>
              <w:t>Interest rate contracts</w:t>
            </w:r>
          </w:p>
        </w:tc>
        <w:tc>
          <w:tcPr>
            <w:tcW w:w="0" w:type="auto"/>
            <w:gridSpan w:val="3"/>
            <w:shd w:val="clear" w:color="auto" w:fill="FFFFFF"/>
            <w:tcMar>
              <w:top w:w="30" w:type="dxa"/>
              <w:left w:w="20" w:type="dxa"/>
              <w:bottom w:w="30" w:type="dxa"/>
              <w:right w:w="20" w:type="dxa"/>
            </w:tcMar>
            <w:hideMark/>
          </w:tcPr>
          <w:p w14:paraId="609FBD68" w14:textId="77777777" w:rsidR="00000000" w:rsidRDefault="000A3118">
            <w:pPr>
              <w:rPr>
                <w:rFonts w:eastAsia="Times New Roman"/>
              </w:rPr>
            </w:pPr>
            <w:r>
              <w:rPr>
                <w:rFonts w:eastAsia="Times New Roman"/>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14:paraId="6B321B8A"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hideMark/>
          </w:tcPr>
          <w:p w14:paraId="7C57786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42B2668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4068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84C7AA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790A6FA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A0D5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F8FB5E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67412D5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529B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BCE136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7BCBC3B6" w14:textId="77777777" w:rsidR="00000000" w:rsidRDefault="000A3118">
            <w:pPr>
              <w:jc w:val="right"/>
              <w:rPr>
                <w:rFonts w:eastAsia="Times New Roman"/>
              </w:rPr>
            </w:pPr>
          </w:p>
        </w:tc>
      </w:tr>
      <w:tr w:rsidR="00000000" w14:paraId="12122FDC" w14:textId="77777777">
        <w:trPr>
          <w:divId w:val="2055540295"/>
          <w:jc w:val="center"/>
        </w:trPr>
        <w:tc>
          <w:tcPr>
            <w:tcW w:w="0" w:type="auto"/>
            <w:gridSpan w:val="3"/>
            <w:shd w:val="clear" w:color="auto" w:fill="CCEEFF"/>
            <w:tcMar>
              <w:top w:w="0" w:type="dxa"/>
              <w:left w:w="20" w:type="dxa"/>
              <w:bottom w:w="0" w:type="dxa"/>
              <w:right w:w="20" w:type="dxa"/>
            </w:tcMar>
            <w:vAlign w:val="center"/>
            <w:hideMark/>
          </w:tcPr>
          <w:p w14:paraId="138A33AC" w14:textId="77777777" w:rsidR="00000000" w:rsidRDefault="000A311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37ED0BAD" w14:textId="77777777" w:rsidR="00000000" w:rsidRDefault="000A3118">
            <w:pPr>
              <w:rPr>
                <w:rFonts w:eastAsia="Times New Roman"/>
              </w:rPr>
            </w:pPr>
            <w:r>
              <w:rPr>
                <w:rFonts w:eastAsia="Times New Roman"/>
                <w:color w:val="000000"/>
                <w:sz w:val="16"/>
                <w:szCs w:val="16"/>
              </w:rPr>
              <w:t>Identifiable intangible and other non-current assets</w:t>
            </w:r>
          </w:p>
        </w:tc>
        <w:tc>
          <w:tcPr>
            <w:tcW w:w="0" w:type="auto"/>
            <w:gridSpan w:val="3"/>
            <w:shd w:val="clear" w:color="auto" w:fill="CCEEFF"/>
            <w:tcMar>
              <w:top w:w="0" w:type="dxa"/>
              <w:left w:w="20" w:type="dxa"/>
              <w:bottom w:w="0" w:type="dxa"/>
              <w:right w:w="20" w:type="dxa"/>
            </w:tcMar>
            <w:vAlign w:val="center"/>
            <w:hideMark/>
          </w:tcPr>
          <w:p w14:paraId="1BE5BC8C"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577F126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40F13D6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D5F4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ECDE05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7B25565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EDA9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1C4C4A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04B9D0F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91EBA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409EBF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6BAE2018" w14:textId="77777777" w:rsidR="00000000" w:rsidRDefault="000A3118">
            <w:pPr>
              <w:jc w:val="right"/>
              <w:rPr>
                <w:rFonts w:eastAsia="Times New Roman"/>
              </w:rPr>
            </w:pPr>
          </w:p>
        </w:tc>
      </w:tr>
      <w:tr w:rsidR="00000000" w14:paraId="5DF8AA29" w14:textId="77777777">
        <w:trPr>
          <w:divId w:val="2055540295"/>
          <w:jc w:val="center"/>
        </w:trPr>
        <w:tc>
          <w:tcPr>
            <w:tcW w:w="0" w:type="auto"/>
            <w:gridSpan w:val="3"/>
            <w:shd w:val="clear" w:color="auto" w:fill="FFFFFF"/>
            <w:tcMar>
              <w:top w:w="0" w:type="dxa"/>
              <w:left w:w="20" w:type="dxa"/>
              <w:bottom w:w="0" w:type="dxa"/>
              <w:right w:w="20" w:type="dxa"/>
            </w:tcMar>
            <w:vAlign w:val="center"/>
            <w:hideMark/>
          </w:tcPr>
          <w:p w14:paraId="5EC2B734" w14:textId="77777777" w:rsidR="00000000" w:rsidRDefault="000A311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6EFB2D24" w14:textId="77777777" w:rsidR="00000000" w:rsidRDefault="000A3118">
            <w:pPr>
              <w:rPr>
                <w:rFonts w:eastAsia="Times New Roman"/>
              </w:rPr>
            </w:pPr>
            <w:r>
              <w:rPr>
                <w:rFonts w:eastAsia="Times New Roman"/>
                <w:color w:val="000000"/>
                <w:sz w:val="16"/>
                <w:szCs w:val="16"/>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14:paraId="34FFA375"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hideMark/>
          </w:tcPr>
          <w:p w14:paraId="4E2E903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6B5EE66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A744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60CC1A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226E246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712C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1183F33" w14:textId="77777777" w:rsidR="00000000" w:rsidRDefault="000A3118">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hideMark/>
          </w:tcPr>
          <w:p w14:paraId="2A3D586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4345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B08C2C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3A25FA1B" w14:textId="77777777" w:rsidR="00000000" w:rsidRDefault="000A3118">
            <w:pPr>
              <w:jc w:val="right"/>
              <w:rPr>
                <w:rFonts w:eastAsia="Times New Roman"/>
              </w:rPr>
            </w:pPr>
          </w:p>
        </w:tc>
      </w:tr>
      <w:tr w:rsidR="00000000" w14:paraId="73EEA1CD" w14:textId="77777777">
        <w:trPr>
          <w:divId w:val="2055540295"/>
          <w:jc w:val="center"/>
        </w:trPr>
        <w:tc>
          <w:tcPr>
            <w:tcW w:w="0" w:type="auto"/>
            <w:gridSpan w:val="3"/>
            <w:shd w:val="clear" w:color="auto" w:fill="CCEEFF"/>
            <w:tcMar>
              <w:top w:w="0" w:type="dxa"/>
              <w:left w:w="20" w:type="dxa"/>
              <w:bottom w:w="0" w:type="dxa"/>
              <w:right w:w="20" w:type="dxa"/>
            </w:tcMar>
            <w:vAlign w:val="center"/>
            <w:hideMark/>
          </w:tcPr>
          <w:p w14:paraId="27A4C442" w14:textId="77777777" w:rsidR="00000000" w:rsidRDefault="000A311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709D7E3" w14:textId="77777777" w:rsidR="00000000" w:rsidRDefault="000A3118">
            <w:pPr>
              <w:rPr>
                <w:rFonts w:eastAsia="Times New Roman"/>
              </w:rPr>
            </w:pPr>
            <w:r>
              <w:rPr>
                <w:rFonts w:eastAsia="Times New Roman"/>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14:paraId="4FAC1D58"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18EE98C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1468D68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FABBA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1FDE1D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33CEC03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B0CB3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2717AB1" w14:textId="77777777" w:rsidR="00000000" w:rsidRDefault="000A3118">
            <w:pPr>
              <w:jc w:val="right"/>
              <w:rPr>
                <w:rFonts w:eastAsia="Times New Roman"/>
              </w:rPr>
            </w:pPr>
            <w:r>
              <w:rPr>
                <w:rFonts w:eastAsia="Times New Roman"/>
                <w:color w:val="000000"/>
                <w:sz w:val="16"/>
                <w:szCs w:val="16"/>
              </w:rPr>
              <w:t>3.5 </w:t>
            </w:r>
          </w:p>
        </w:tc>
        <w:tc>
          <w:tcPr>
            <w:tcW w:w="0" w:type="auto"/>
            <w:shd w:val="clear" w:color="auto" w:fill="CCEEFF"/>
            <w:tcMar>
              <w:top w:w="30" w:type="dxa"/>
              <w:left w:w="0" w:type="dxa"/>
              <w:bottom w:w="30" w:type="dxa"/>
              <w:right w:w="20" w:type="dxa"/>
            </w:tcMar>
            <w:hideMark/>
          </w:tcPr>
          <w:p w14:paraId="767C8D1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EE0A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E3CA927"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38321223" w14:textId="77777777" w:rsidR="00000000" w:rsidRDefault="000A3118">
            <w:pPr>
              <w:jc w:val="right"/>
              <w:rPr>
                <w:rFonts w:eastAsia="Times New Roman"/>
              </w:rPr>
            </w:pPr>
          </w:p>
        </w:tc>
      </w:tr>
      <w:tr w:rsidR="00000000" w14:paraId="06F44EB5" w14:textId="77777777">
        <w:trPr>
          <w:divId w:val="2055540295"/>
          <w:jc w:val="center"/>
        </w:trPr>
        <w:tc>
          <w:tcPr>
            <w:tcW w:w="0" w:type="auto"/>
            <w:gridSpan w:val="3"/>
            <w:vAlign w:val="center"/>
            <w:hideMark/>
          </w:tcPr>
          <w:p w14:paraId="24C2348E" w14:textId="77777777" w:rsidR="00000000" w:rsidRDefault="000A3118">
            <w:pPr>
              <w:jc w:val="right"/>
              <w:rPr>
                <w:rFonts w:eastAsia="Times New Roman"/>
                <w:sz w:val="20"/>
                <w:szCs w:val="20"/>
              </w:rPr>
            </w:pPr>
          </w:p>
        </w:tc>
        <w:tc>
          <w:tcPr>
            <w:tcW w:w="0" w:type="auto"/>
            <w:gridSpan w:val="3"/>
            <w:vAlign w:val="center"/>
            <w:hideMark/>
          </w:tcPr>
          <w:p w14:paraId="4966E176" w14:textId="77777777" w:rsidR="00000000" w:rsidRDefault="000A3118">
            <w:pPr>
              <w:rPr>
                <w:rFonts w:eastAsia="Times New Roman"/>
                <w:sz w:val="20"/>
                <w:szCs w:val="20"/>
              </w:rPr>
            </w:pPr>
          </w:p>
        </w:tc>
        <w:tc>
          <w:tcPr>
            <w:tcW w:w="0" w:type="auto"/>
            <w:gridSpan w:val="3"/>
            <w:vAlign w:val="center"/>
            <w:hideMark/>
          </w:tcPr>
          <w:p w14:paraId="0AE43659" w14:textId="77777777" w:rsidR="00000000" w:rsidRDefault="000A3118">
            <w:pPr>
              <w:rPr>
                <w:rFonts w:eastAsia="Times New Roman"/>
                <w:sz w:val="20"/>
                <w:szCs w:val="20"/>
              </w:rPr>
            </w:pPr>
          </w:p>
        </w:tc>
        <w:tc>
          <w:tcPr>
            <w:tcW w:w="0" w:type="auto"/>
            <w:gridSpan w:val="3"/>
            <w:vAlign w:val="center"/>
            <w:hideMark/>
          </w:tcPr>
          <w:p w14:paraId="7005BCEF" w14:textId="77777777" w:rsidR="00000000" w:rsidRDefault="000A3118">
            <w:pPr>
              <w:rPr>
                <w:rFonts w:eastAsia="Times New Roman"/>
                <w:sz w:val="20"/>
                <w:szCs w:val="20"/>
              </w:rPr>
            </w:pPr>
          </w:p>
        </w:tc>
        <w:tc>
          <w:tcPr>
            <w:tcW w:w="0" w:type="auto"/>
            <w:gridSpan w:val="3"/>
            <w:vAlign w:val="center"/>
            <w:hideMark/>
          </w:tcPr>
          <w:p w14:paraId="272E1D67" w14:textId="77777777" w:rsidR="00000000" w:rsidRDefault="000A3118">
            <w:pPr>
              <w:rPr>
                <w:rFonts w:eastAsia="Times New Roman"/>
                <w:sz w:val="20"/>
                <w:szCs w:val="20"/>
              </w:rPr>
            </w:pPr>
          </w:p>
        </w:tc>
        <w:tc>
          <w:tcPr>
            <w:tcW w:w="0" w:type="auto"/>
            <w:gridSpan w:val="3"/>
            <w:vAlign w:val="center"/>
            <w:hideMark/>
          </w:tcPr>
          <w:p w14:paraId="2F2AC692" w14:textId="77777777" w:rsidR="00000000" w:rsidRDefault="000A3118">
            <w:pPr>
              <w:rPr>
                <w:rFonts w:eastAsia="Times New Roman"/>
                <w:sz w:val="20"/>
                <w:szCs w:val="20"/>
              </w:rPr>
            </w:pPr>
          </w:p>
        </w:tc>
        <w:tc>
          <w:tcPr>
            <w:tcW w:w="0" w:type="auto"/>
            <w:gridSpan w:val="3"/>
            <w:vAlign w:val="center"/>
            <w:hideMark/>
          </w:tcPr>
          <w:p w14:paraId="171093D3" w14:textId="77777777" w:rsidR="00000000" w:rsidRDefault="000A3118">
            <w:pPr>
              <w:rPr>
                <w:rFonts w:eastAsia="Times New Roman"/>
                <w:sz w:val="20"/>
                <w:szCs w:val="20"/>
              </w:rPr>
            </w:pPr>
          </w:p>
        </w:tc>
        <w:tc>
          <w:tcPr>
            <w:tcW w:w="0" w:type="auto"/>
            <w:gridSpan w:val="3"/>
            <w:vAlign w:val="center"/>
            <w:hideMark/>
          </w:tcPr>
          <w:p w14:paraId="7203D5BF" w14:textId="77777777" w:rsidR="00000000" w:rsidRDefault="000A3118">
            <w:pPr>
              <w:rPr>
                <w:rFonts w:eastAsia="Times New Roman"/>
                <w:sz w:val="20"/>
                <w:szCs w:val="20"/>
              </w:rPr>
            </w:pPr>
          </w:p>
        </w:tc>
        <w:tc>
          <w:tcPr>
            <w:tcW w:w="0" w:type="auto"/>
            <w:gridSpan w:val="3"/>
            <w:vAlign w:val="center"/>
            <w:hideMark/>
          </w:tcPr>
          <w:p w14:paraId="182C0743" w14:textId="77777777" w:rsidR="00000000" w:rsidRDefault="000A3118">
            <w:pPr>
              <w:rPr>
                <w:rFonts w:eastAsia="Times New Roman"/>
                <w:sz w:val="20"/>
                <w:szCs w:val="20"/>
              </w:rPr>
            </w:pPr>
          </w:p>
        </w:tc>
        <w:tc>
          <w:tcPr>
            <w:tcW w:w="0" w:type="auto"/>
            <w:gridSpan w:val="3"/>
            <w:vAlign w:val="center"/>
            <w:hideMark/>
          </w:tcPr>
          <w:p w14:paraId="6C1F4704" w14:textId="77777777" w:rsidR="00000000" w:rsidRDefault="000A3118">
            <w:pPr>
              <w:rPr>
                <w:rFonts w:eastAsia="Times New Roman"/>
                <w:sz w:val="20"/>
                <w:szCs w:val="20"/>
              </w:rPr>
            </w:pPr>
          </w:p>
        </w:tc>
      </w:tr>
      <w:tr w:rsidR="00000000" w14:paraId="50AD65E3" w14:textId="77777777">
        <w:trPr>
          <w:divId w:val="2055540295"/>
          <w:jc w:val="center"/>
        </w:trPr>
        <w:tc>
          <w:tcPr>
            <w:tcW w:w="0" w:type="auto"/>
            <w:gridSpan w:val="6"/>
            <w:tcBorders>
              <w:top w:val="single" w:sz="8" w:space="0" w:color="000000"/>
            </w:tcBorders>
            <w:shd w:val="clear" w:color="auto" w:fill="FFFFFF"/>
            <w:tcMar>
              <w:top w:w="30" w:type="dxa"/>
              <w:left w:w="20" w:type="dxa"/>
              <w:bottom w:w="30" w:type="dxa"/>
              <w:right w:w="20" w:type="dxa"/>
            </w:tcMar>
            <w:hideMark/>
          </w:tcPr>
          <w:p w14:paraId="657C18BE" w14:textId="77777777" w:rsidR="00000000" w:rsidRDefault="000A3118">
            <w:pPr>
              <w:rPr>
                <w:rFonts w:eastAsia="Times New Roman"/>
              </w:rPr>
            </w:pPr>
            <w:r>
              <w:rPr>
                <w:rFonts w:eastAsia="Times New Roman"/>
                <w:b/>
                <w:bCs/>
                <w:color w:val="000000"/>
                <w:sz w:val="16"/>
                <w:szCs w:val="16"/>
              </w:rPr>
              <w:t>Total derivatives designated as hedging instruments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CE2A8E"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54437B40" w14:textId="77777777" w:rsidR="00000000" w:rsidRDefault="000A3118">
            <w:pPr>
              <w:jc w:val="right"/>
              <w:rPr>
                <w:rFonts w:eastAsia="Times New Roman"/>
              </w:rPr>
            </w:pPr>
            <w:r>
              <w:rPr>
                <w:rFonts w:eastAsia="Times New Roman"/>
                <w:color w:val="000000"/>
                <w:sz w:val="16"/>
                <w:szCs w:val="16"/>
              </w:rPr>
              <w:t>142.4 </w:t>
            </w:r>
          </w:p>
        </w:tc>
        <w:tc>
          <w:tcPr>
            <w:tcW w:w="0" w:type="auto"/>
            <w:tcBorders>
              <w:top w:val="single" w:sz="8" w:space="0" w:color="000000"/>
            </w:tcBorders>
            <w:shd w:val="clear" w:color="auto" w:fill="FFFFFF"/>
            <w:tcMar>
              <w:top w:w="30" w:type="dxa"/>
              <w:left w:w="0" w:type="dxa"/>
              <w:bottom w:w="30" w:type="dxa"/>
              <w:right w:w="20" w:type="dxa"/>
            </w:tcMar>
            <w:hideMark/>
          </w:tcPr>
          <w:p w14:paraId="3BDC3525"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EF9FB1"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48CDF535" w14:textId="77777777" w:rsidR="00000000" w:rsidRDefault="000A3118">
            <w:pPr>
              <w:jc w:val="right"/>
              <w:rPr>
                <w:rFonts w:eastAsia="Times New Roman"/>
              </w:rPr>
            </w:pPr>
            <w:r>
              <w:rPr>
                <w:rFonts w:eastAsia="Times New Roman"/>
                <w:color w:val="000000"/>
                <w:sz w:val="16"/>
                <w:szCs w:val="16"/>
              </w:rPr>
              <w:t>1.7 </w:t>
            </w:r>
          </w:p>
        </w:tc>
        <w:tc>
          <w:tcPr>
            <w:tcW w:w="0" w:type="auto"/>
            <w:tcBorders>
              <w:top w:val="single" w:sz="8" w:space="0" w:color="000000"/>
            </w:tcBorders>
            <w:shd w:val="clear" w:color="auto" w:fill="FFFFFF"/>
            <w:tcMar>
              <w:top w:w="30" w:type="dxa"/>
              <w:left w:w="0" w:type="dxa"/>
              <w:bottom w:w="30" w:type="dxa"/>
              <w:right w:w="20" w:type="dxa"/>
            </w:tcMar>
            <w:hideMark/>
          </w:tcPr>
          <w:p w14:paraId="2044DD07"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E0292B"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E97FF03" w14:textId="77777777" w:rsidR="00000000" w:rsidRDefault="000A3118">
            <w:pPr>
              <w:jc w:val="right"/>
              <w:rPr>
                <w:rFonts w:eastAsia="Times New Roman"/>
              </w:rPr>
            </w:pPr>
            <w:r>
              <w:rPr>
                <w:rFonts w:eastAsia="Times New Roman"/>
                <w:color w:val="000000"/>
                <w:sz w:val="16"/>
                <w:szCs w:val="16"/>
              </w:rPr>
              <w:t>117.1 </w:t>
            </w:r>
          </w:p>
        </w:tc>
        <w:tc>
          <w:tcPr>
            <w:tcW w:w="0" w:type="auto"/>
            <w:tcBorders>
              <w:top w:val="single" w:sz="8" w:space="0" w:color="000000"/>
            </w:tcBorders>
            <w:shd w:val="clear" w:color="auto" w:fill="FFFFFF"/>
            <w:tcMar>
              <w:top w:w="30" w:type="dxa"/>
              <w:left w:w="0" w:type="dxa"/>
              <w:bottom w:w="30" w:type="dxa"/>
              <w:right w:w="20" w:type="dxa"/>
            </w:tcMar>
            <w:hideMark/>
          </w:tcPr>
          <w:p w14:paraId="781EC5E4"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F9AB7AF"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7D859827" w14:textId="77777777" w:rsidR="00000000" w:rsidRDefault="000A3118">
            <w:pPr>
              <w:jc w:val="right"/>
              <w:rPr>
                <w:rFonts w:eastAsia="Times New Roman"/>
              </w:rPr>
            </w:pPr>
            <w:r>
              <w:rPr>
                <w:rFonts w:eastAsia="Times New Roman"/>
                <w:color w:val="000000"/>
                <w:sz w:val="16"/>
                <w:szCs w:val="16"/>
              </w:rPr>
              <w:t>20.0 </w:t>
            </w:r>
          </w:p>
        </w:tc>
        <w:tc>
          <w:tcPr>
            <w:tcW w:w="0" w:type="auto"/>
            <w:tcBorders>
              <w:top w:val="single" w:sz="8" w:space="0" w:color="000000"/>
            </w:tcBorders>
            <w:shd w:val="clear" w:color="auto" w:fill="FFFFFF"/>
            <w:tcMar>
              <w:top w:w="30" w:type="dxa"/>
              <w:left w:w="0" w:type="dxa"/>
              <w:bottom w:w="30" w:type="dxa"/>
              <w:right w:w="20" w:type="dxa"/>
            </w:tcMar>
            <w:hideMark/>
          </w:tcPr>
          <w:p w14:paraId="092AF95F" w14:textId="77777777" w:rsidR="00000000" w:rsidRDefault="000A3118">
            <w:pPr>
              <w:jc w:val="right"/>
              <w:rPr>
                <w:rFonts w:eastAsia="Times New Roman"/>
              </w:rPr>
            </w:pPr>
          </w:p>
        </w:tc>
      </w:tr>
      <w:tr w:rsidR="00000000" w14:paraId="1478AB06" w14:textId="77777777">
        <w:trPr>
          <w:divId w:val="2055540295"/>
          <w:trHeight w:val="240"/>
          <w:jc w:val="center"/>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2A8E08"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979735"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909EFA"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2FA4AD"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CD621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3976C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8FA43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9C851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AB71E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3E20AF" w14:textId="77777777" w:rsidR="00000000" w:rsidRDefault="000A3118">
            <w:pPr>
              <w:rPr>
                <w:rFonts w:eastAsia="Times New Roman"/>
                <w:sz w:val="20"/>
                <w:szCs w:val="20"/>
              </w:rPr>
            </w:pPr>
          </w:p>
        </w:tc>
      </w:tr>
      <w:tr w:rsidR="00000000" w14:paraId="45FB3BA0" w14:textId="77777777">
        <w:trPr>
          <w:divId w:val="2055540295"/>
          <w:jc w:val="center"/>
        </w:trPr>
        <w:tc>
          <w:tcPr>
            <w:tcW w:w="0" w:type="auto"/>
            <w:gridSpan w:val="6"/>
            <w:shd w:val="clear" w:color="auto" w:fill="FFFFFF"/>
            <w:tcMar>
              <w:top w:w="30" w:type="dxa"/>
              <w:left w:w="20" w:type="dxa"/>
              <w:bottom w:w="30" w:type="dxa"/>
              <w:right w:w="20" w:type="dxa"/>
            </w:tcMar>
            <w:hideMark/>
          </w:tcPr>
          <w:p w14:paraId="7445C9A9" w14:textId="77777777" w:rsidR="00000000" w:rsidRDefault="000A3118">
            <w:pPr>
              <w:rPr>
                <w:rFonts w:eastAsia="Times New Roman"/>
              </w:rPr>
            </w:pPr>
            <w:r>
              <w:rPr>
                <w:rFonts w:eastAsia="Times New Roman"/>
                <w:b/>
                <w:bCs/>
                <w:color w:val="000000"/>
                <w:sz w:val="16"/>
                <w:szCs w:val="16"/>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14:paraId="34565959"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AE7608"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F314C8"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710A8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ACEC81"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F9CB16"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F0C3A2"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8E2A59" w14:textId="77777777" w:rsidR="00000000" w:rsidRDefault="000A3118">
            <w:pPr>
              <w:rPr>
                <w:rFonts w:eastAsia="Times New Roman"/>
                <w:sz w:val="20"/>
                <w:szCs w:val="20"/>
              </w:rPr>
            </w:pPr>
          </w:p>
        </w:tc>
      </w:tr>
      <w:tr w:rsidR="00000000" w14:paraId="6782A5A5" w14:textId="77777777">
        <w:trPr>
          <w:divId w:val="2055540295"/>
          <w:jc w:val="center"/>
        </w:trPr>
        <w:tc>
          <w:tcPr>
            <w:tcW w:w="0" w:type="auto"/>
            <w:gridSpan w:val="3"/>
            <w:shd w:val="clear" w:color="auto" w:fill="CCEEFF"/>
            <w:tcMar>
              <w:top w:w="30" w:type="dxa"/>
              <w:left w:w="20" w:type="dxa"/>
              <w:bottom w:w="30" w:type="dxa"/>
              <w:right w:w="20" w:type="dxa"/>
            </w:tcMar>
            <w:hideMark/>
          </w:tcPr>
          <w:p w14:paraId="522B31CE" w14:textId="77777777" w:rsidR="00000000" w:rsidRDefault="000A3118">
            <w:pPr>
              <w:rPr>
                <w:rFonts w:eastAsia="Times New Roman"/>
              </w:rPr>
            </w:pPr>
            <w:r>
              <w:rPr>
                <w:rFonts w:eastAsia="Times New Roman"/>
                <w:color w:val="000000"/>
                <w:sz w:val="16"/>
                <w:szCs w:val="16"/>
              </w:rPr>
              <w:t>   </w:t>
            </w:r>
            <w:r>
              <w:rPr>
                <w:rFonts w:eastAsia="Times New Roman"/>
                <w:color w:val="000000"/>
                <w:sz w:val="16"/>
                <w:szCs w:val="16"/>
              </w:rPr>
              <w:t>Commodity contracts</w:t>
            </w:r>
          </w:p>
        </w:tc>
        <w:tc>
          <w:tcPr>
            <w:tcW w:w="0" w:type="auto"/>
            <w:gridSpan w:val="3"/>
            <w:shd w:val="clear" w:color="auto" w:fill="CCEEFF"/>
            <w:tcMar>
              <w:top w:w="30" w:type="dxa"/>
              <w:left w:w="20" w:type="dxa"/>
              <w:bottom w:w="30" w:type="dxa"/>
              <w:right w:w="20" w:type="dxa"/>
            </w:tcMar>
            <w:hideMark/>
          </w:tcPr>
          <w:p w14:paraId="5E22987B" w14:textId="77777777" w:rsidR="00000000" w:rsidRDefault="000A3118">
            <w:pPr>
              <w:rPr>
                <w:rFonts w:eastAsia="Times New Roman"/>
              </w:rPr>
            </w:pPr>
            <w:r>
              <w:rPr>
                <w:rFonts w:eastAsia="Times New Roman"/>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14:paraId="70408F0E"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77BD0D42" w14:textId="77777777" w:rsidR="00000000" w:rsidRDefault="000A3118">
            <w:pPr>
              <w:jc w:val="right"/>
              <w:rPr>
                <w:rFonts w:eastAsia="Times New Roman"/>
              </w:rPr>
            </w:pPr>
            <w:r>
              <w:rPr>
                <w:rFonts w:eastAsia="Times New Roman"/>
                <w:color w:val="000000"/>
                <w:sz w:val="16"/>
                <w:szCs w:val="16"/>
              </w:rPr>
              <w:t>236.3 </w:t>
            </w:r>
          </w:p>
        </w:tc>
        <w:tc>
          <w:tcPr>
            <w:tcW w:w="0" w:type="auto"/>
            <w:shd w:val="clear" w:color="auto" w:fill="CCEEFF"/>
            <w:tcMar>
              <w:top w:w="30" w:type="dxa"/>
              <w:left w:w="0" w:type="dxa"/>
              <w:bottom w:w="30" w:type="dxa"/>
              <w:right w:w="20" w:type="dxa"/>
            </w:tcMar>
            <w:hideMark/>
          </w:tcPr>
          <w:p w14:paraId="2AB2A2E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F35A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2593B8E" w14:textId="77777777" w:rsidR="00000000" w:rsidRDefault="000A3118">
            <w:pPr>
              <w:jc w:val="right"/>
              <w:rPr>
                <w:rFonts w:eastAsia="Times New Roman"/>
              </w:rPr>
            </w:pPr>
            <w:r>
              <w:rPr>
                <w:rFonts w:eastAsia="Times New Roman"/>
                <w:color w:val="000000"/>
                <w:sz w:val="16"/>
                <w:szCs w:val="16"/>
              </w:rPr>
              <w:t>65.7 </w:t>
            </w:r>
          </w:p>
        </w:tc>
        <w:tc>
          <w:tcPr>
            <w:tcW w:w="0" w:type="auto"/>
            <w:shd w:val="clear" w:color="auto" w:fill="CCEEFF"/>
            <w:tcMar>
              <w:top w:w="30" w:type="dxa"/>
              <w:left w:w="0" w:type="dxa"/>
              <w:bottom w:w="30" w:type="dxa"/>
              <w:right w:w="20" w:type="dxa"/>
            </w:tcMar>
            <w:hideMark/>
          </w:tcPr>
          <w:p w14:paraId="544E76C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0637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865F4DA" w14:textId="77777777" w:rsidR="00000000" w:rsidRDefault="000A3118">
            <w:pPr>
              <w:jc w:val="right"/>
              <w:rPr>
                <w:rFonts w:eastAsia="Times New Roman"/>
              </w:rPr>
            </w:pPr>
            <w:r>
              <w:rPr>
                <w:rFonts w:eastAsia="Times New Roman"/>
                <w:color w:val="000000"/>
                <w:sz w:val="16"/>
                <w:szCs w:val="16"/>
              </w:rPr>
              <w:t>164.0 </w:t>
            </w:r>
          </w:p>
        </w:tc>
        <w:tc>
          <w:tcPr>
            <w:tcW w:w="0" w:type="auto"/>
            <w:shd w:val="clear" w:color="auto" w:fill="CCEEFF"/>
            <w:tcMar>
              <w:top w:w="30" w:type="dxa"/>
              <w:left w:w="0" w:type="dxa"/>
              <w:bottom w:w="30" w:type="dxa"/>
              <w:right w:w="20" w:type="dxa"/>
            </w:tcMar>
            <w:hideMark/>
          </w:tcPr>
          <w:p w14:paraId="1A6F106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D45A7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AA053EA" w14:textId="77777777" w:rsidR="00000000" w:rsidRDefault="000A3118">
            <w:pPr>
              <w:jc w:val="right"/>
              <w:rPr>
                <w:rFonts w:eastAsia="Times New Roman"/>
              </w:rPr>
            </w:pPr>
            <w:r>
              <w:rPr>
                <w:rFonts w:eastAsia="Times New Roman"/>
                <w:color w:val="000000"/>
                <w:sz w:val="16"/>
                <w:szCs w:val="16"/>
              </w:rPr>
              <w:t>7.2 </w:t>
            </w:r>
          </w:p>
        </w:tc>
        <w:tc>
          <w:tcPr>
            <w:tcW w:w="0" w:type="auto"/>
            <w:shd w:val="clear" w:color="auto" w:fill="CCEEFF"/>
            <w:tcMar>
              <w:top w:w="30" w:type="dxa"/>
              <w:left w:w="0" w:type="dxa"/>
              <w:bottom w:w="30" w:type="dxa"/>
              <w:right w:w="20" w:type="dxa"/>
            </w:tcMar>
            <w:hideMark/>
          </w:tcPr>
          <w:p w14:paraId="33BFFE11" w14:textId="77777777" w:rsidR="00000000" w:rsidRDefault="000A3118">
            <w:pPr>
              <w:jc w:val="right"/>
              <w:rPr>
                <w:rFonts w:eastAsia="Times New Roman"/>
              </w:rPr>
            </w:pPr>
          </w:p>
        </w:tc>
      </w:tr>
      <w:tr w:rsidR="00000000" w14:paraId="416C16F6" w14:textId="77777777">
        <w:trPr>
          <w:divId w:val="2055540295"/>
          <w:jc w:val="center"/>
        </w:trPr>
        <w:tc>
          <w:tcPr>
            <w:tcW w:w="0" w:type="auto"/>
            <w:gridSpan w:val="3"/>
            <w:shd w:val="clear" w:color="auto" w:fill="FFFFFF"/>
            <w:tcMar>
              <w:top w:w="0" w:type="dxa"/>
              <w:left w:w="20" w:type="dxa"/>
              <w:bottom w:w="0" w:type="dxa"/>
              <w:right w:w="20" w:type="dxa"/>
            </w:tcMar>
            <w:vAlign w:val="center"/>
            <w:hideMark/>
          </w:tcPr>
          <w:p w14:paraId="1A19921F" w14:textId="77777777" w:rsidR="00000000" w:rsidRDefault="000A311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6207674E" w14:textId="77777777" w:rsidR="00000000" w:rsidRDefault="000A3118">
            <w:pPr>
              <w:rPr>
                <w:rFonts w:eastAsia="Times New Roman"/>
              </w:rPr>
            </w:pPr>
            <w:r>
              <w:rPr>
                <w:rFonts w:eastAsia="Times New Roman"/>
                <w:color w:val="000000"/>
                <w:sz w:val="16"/>
                <w:szCs w:val="16"/>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14:paraId="5113167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hideMark/>
          </w:tcPr>
          <w:p w14:paraId="6450D799" w14:textId="77777777" w:rsidR="00000000" w:rsidRDefault="000A3118">
            <w:pPr>
              <w:jc w:val="right"/>
              <w:rPr>
                <w:rFonts w:eastAsia="Times New Roman"/>
              </w:rPr>
            </w:pPr>
            <w:r>
              <w:rPr>
                <w:rFonts w:eastAsia="Times New Roman"/>
                <w:color w:val="000000"/>
                <w:sz w:val="16"/>
                <w:szCs w:val="16"/>
              </w:rPr>
              <w:t>32.1 </w:t>
            </w:r>
          </w:p>
        </w:tc>
        <w:tc>
          <w:tcPr>
            <w:tcW w:w="0" w:type="auto"/>
            <w:shd w:val="clear" w:color="auto" w:fill="FFFFFF"/>
            <w:tcMar>
              <w:top w:w="30" w:type="dxa"/>
              <w:left w:w="0" w:type="dxa"/>
              <w:bottom w:w="30" w:type="dxa"/>
              <w:right w:w="20" w:type="dxa"/>
            </w:tcMar>
            <w:hideMark/>
          </w:tcPr>
          <w:p w14:paraId="0C6BEDA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89478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4891B45" w14:textId="77777777" w:rsidR="00000000" w:rsidRDefault="000A3118">
            <w:pPr>
              <w:jc w:val="right"/>
              <w:rPr>
                <w:rFonts w:eastAsia="Times New Roman"/>
              </w:rPr>
            </w:pPr>
            <w:r>
              <w:rPr>
                <w:rFonts w:eastAsia="Times New Roman"/>
                <w:color w:val="000000"/>
                <w:sz w:val="16"/>
                <w:szCs w:val="16"/>
              </w:rPr>
              <w:t>23.0 </w:t>
            </w:r>
          </w:p>
        </w:tc>
        <w:tc>
          <w:tcPr>
            <w:tcW w:w="0" w:type="auto"/>
            <w:shd w:val="clear" w:color="auto" w:fill="FFFFFF"/>
            <w:tcMar>
              <w:top w:w="30" w:type="dxa"/>
              <w:left w:w="0" w:type="dxa"/>
              <w:bottom w:w="30" w:type="dxa"/>
              <w:right w:w="20" w:type="dxa"/>
            </w:tcMar>
            <w:hideMark/>
          </w:tcPr>
          <w:p w14:paraId="7AE8061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FCE3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4D71707" w14:textId="77777777" w:rsidR="00000000" w:rsidRDefault="000A3118">
            <w:pPr>
              <w:jc w:val="right"/>
              <w:rPr>
                <w:rFonts w:eastAsia="Times New Roman"/>
              </w:rPr>
            </w:pPr>
            <w:r>
              <w:rPr>
                <w:rFonts w:eastAsia="Times New Roman"/>
                <w:color w:val="000000"/>
                <w:sz w:val="16"/>
                <w:szCs w:val="16"/>
              </w:rPr>
              <w:t>9.3 </w:t>
            </w:r>
          </w:p>
        </w:tc>
        <w:tc>
          <w:tcPr>
            <w:tcW w:w="0" w:type="auto"/>
            <w:shd w:val="clear" w:color="auto" w:fill="FFFFFF"/>
            <w:tcMar>
              <w:top w:w="30" w:type="dxa"/>
              <w:left w:w="0" w:type="dxa"/>
              <w:bottom w:w="30" w:type="dxa"/>
              <w:right w:w="20" w:type="dxa"/>
            </w:tcMar>
            <w:hideMark/>
          </w:tcPr>
          <w:p w14:paraId="5A9B5BD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ED0A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A364039" w14:textId="77777777" w:rsidR="00000000" w:rsidRDefault="000A3118">
            <w:pPr>
              <w:jc w:val="right"/>
              <w:rPr>
                <w:rFonts w:eastAsia="Times New Roman"/>
              </w:rPr>
            </w:pPr>
            <w:r>
              <w:rPr>
                <w:rFonts w:eastAsia="Times New Roman"/>
                <w:color w:val="000000"/>
                <w:sz w:val="16"/>
                <w:szCs w:val="16"/>
              </w:rPr>
              <w:t>4.8 </w:t>
            </w:r>
          </w:p>
        </w:tc>
        <w:tc>
          <w:tcPr>
            <w:tcW w:w="0" w:type="auto"/>
            <w:shd w:val="clear" w:color="auto" w:fill="FFFFFF"/>
            <w:tcMar>
              <w:top w:w="30" w:type="dxa"/>
              <w:left w:w="0" w:type="dxa"/>
              <w:bottom w:w="30" w:type="dxa"/>
              <w:right w:w="20" w:type="dxa"/>
            </w:tcMar>
            <w:hideMark/>
          </w:tcPr>
          <w:p w14:paraId="6E4AAA17" w14:textId="77777777" w:rsidR="00000000" w:rsidRDefault="000A3118">
            <w:pPr>
              <w:jc w:val="right"/>
              <w:rPr>
                <w:rFonts w:eastAsia="Times New Roman"/>
              </w:rPr>
            </w:pPr>
          </w:p>
        </w:tc>
      </w:tr>
      <w:tr w:rsidR="00000000" w14:paraId="7E79636F" w14:textId="77777777">
        <w:trPr>
          <w:divId w:val="2055540295"/>
          <w:jc w:val="center"/>
        </w:trPr>
        <w:tc>
          <w:tcPr>
            <w:tcW w:w="0" w:type="auto"/>
            <w:gridSpan w:val="3"/>
            <w:shd w:val="clear" w:color="auto" w:fill="CCEEFF"/>
            <w:tcMar>
              <w:top w:w="0" w:type="dxa"/>
              <w:left w:w="20" w:type="dxa"/>
              <w:bottom w:w="0" w:type="dxa"/>
              <w:right w:w="20" w:type="dxa"/>
            </w:tcMar>
            <w:vAlign w:val="center"/>
            <w:hideMark/>
          </w:tcPr>
          <w:p w14:paraId="6AB9B6B4" w14:textId="77777777" w:rsidR="00000000" w:rsidRDefault="000A311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1A30156" w14:textId="77777777" w:rsidR="00000000" w:rsidRDefault="000A3118">
            <w:pPr>
              <w:rPr>
                <w:rFonts w:eastAsia="Times New Roman"/>
              </w:rPr>
            </w:pPr>
            <w:r>
              <w:rPr>
                <w:rFonts w:eastAsia="Times New Roman"/>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14:paraId="15773A4E"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1A0471C5" w14:textId="77777777" w:rsidR="00000000" w:rsidRDefault="000A3118">
            <w:pPr>
              <w:jc w:val="right"/>
              <w:rPr>
                <w:rFonts w:eastAsia="Times New Roman"/>
              </w:rPr>
            </w:pPr>
            <w:r>
              <w:rPr>
                <w:rFonts w:eastAsia="Times New Roman"/>
                <w:color w:val="000000"/>
                <w:sz w:val="16"/>
                <w:szCs w:val="16"/>
              </w:rPr>
              <w:t>10.3 </w:t>
            </w:r>
          </w:p>
        </w:tc>
        <w:tc>
          <w:tcPr>
            <w:tcW w:w="0" w:type="auto"/>
            <w:shd w:val="clear" w:color="auto" w:fill="CCEEFF"/>
            <w:tcMar>
              <w:top w:w="30" w:type="dxa"/>
              <w:left w:w="0" w:type="dxa"/>
              <w:bottom w:w="30" w:type="dxa"/>
              <w:right w:w="20" w:type="dxa"/>
            </w:tcMar>
            <w:hideMark/>
          </w:tcPr>
          <w:p w14:paraId="378D453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5471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CA51DB6" w14:textId="77777777" w:rsidR="00000000" w:rsidRDefault="000A3118">
            <w:pPr>
              <w:jc w:val="right"/>
              <w:rPr>
                <w:rFonts w:eastAsia="Times New Roman"/>
              </w:rPr>
            </w:pPr>
            <w:r>
              <w:rPr>
                <w:rFonts w:eastAsia="Times New Roman"/>
                <w:color w:val="000000"/>
                <w:sz w:val="16"/>
                <w:szCs w:val="16"/>
              </w:rPr>
              <w:t>161.0 </w:t>
            </w:r>
          </w:p>
        </w:tc>
        <w:tc>
          <w:tcPr>
            <w:tcW w:w="0" w:type="auto"/>
            <w:shd w:val="clear" w:color="auto" w:fill="CCEEFF"/>
            <w:tcMar>
              <w:top w:w="30" w:type="dxa"/>
              <w:left w:w="0" w:type="dxa"/>
              <w:bottom w:w="30" w:type="dxa"/>
              <w:right w:w="20" w:type="dxa"/>
            </w:tcMar>
            <w:hideMark/>
          </w:tcPr>
          <w:p w14:paraId="6571BF9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FA9B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4ADE116" w14:textId="77777777" w:rsidR="00000000" w:rsidRDefault="000A3118">
            <w:pPr>
              <w:jc w:val="right"/>
              <w:rPr>
                <w:rFonts w:eastAsia="Times New Roman"/>
              </w:rPr>
            </w:pPr>
            <w:r>
              <w:rPr>
                <w:rFonts w:eastAsia="Times New Roman"/>
                <w:color w:val="000000"/>
                <w:sz w:val="16"/>
                <w:szCs w:val="16"/>
              </w:rPr>
              <w:t>63.6 </w:t>
            </w:r>
          </w:p>
        </w:tc>
        <w:tc>
          <w:tcPr>
            <w:tcW w:w="0" w:type="auto"/>
            <w:shd w:val="clear" w:color="auto" w:fill="CCEEFF"/>
            <w:tcMar>
              <w:top w:w="30" w:type="dxa"/>
              <w:left w:w="0" w:type="dxa"/>
              <w:bottom w:w="30" w:type="dxa"/>
              <w:right w:w="20" w:type="dxa"/>
            </w:tcMar>
            <w:hideMark/>
          </w:tcPr>
          <w:p w14:paraId="2DA0F78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4335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A7310F0" w14:textId="77777777" w:rsidR="00000000" w:rsidRDefault="000A3118">
            <w:pPr>
              <w:jc w:val="right"/>
              <w:rPr>
                <w:rFonts w:eastAsia="Times New Roman"/>
              </w:rPr>
            </w:pPr>
            <w:r>
              <w:rPr>
                <w:rFonts w:eastAsia="Times New Roman"/>
                <w:color w:val="000000"/>
                <w:sz w:val="16"/>
                <w:szCs w:val="16"/>
              </w:rPr>
              <w:t>203.4 </w:t>
            </w:r>
          </w:p>
        </w:tc>
        <w:tc>
          <w:tcPr>
            <w:tcW w:w="0" w:type="auto"/>
            <w:shd w:val="clear" w:color="auto" w:fill="CCEEFF"/>
            <w:tcMar>
              <w:top w:w="30" w:type="dxa"/>
              <w:left w:w="0" w:type="dxa"/>
              <w:bottom w:w="30" w:type="dxa"/>
              <w:right w:w="20" w:type="dxa"/>
            </w:tcMar>
            <w:hideMark/>
          </w:tcPr>
          <w:p w14:paraId="6B5D89B9" w14:textId="77777777" w:rsidR="00000000" w:rsidRDefault="000A3118">
            <w:pPr>
              <w:jc w:val="right"/>
              <w:rPr>
                <w:rFonts w:eastAsia="Times New Roman"/>
              </w:rPr>
            </w:pPr>
          </w:p>
        </w:tc>
      </w:tr>
      <w:tr w:rsidR="00000000" w14:paraId="53EF21DE" w14:textId="77777777">
        <w:trPr>
          <w:divId w:val="2055540295"/>
          <w:jc w:val="center"/>
        </w:trPr>
        <w:tc>
          <w:tcPr>
            <w:tcW w:w="0" w:type="auto"/>
            <w:gridSpan w:val="3"/>
            <w:shd w:val="clear" w:color="auto" w:fill="FFFFFF"/>
            <w:tcMar>
              <w:top w:w="0" w:type="dxa"/>
              <w:left w:w="20" w:type="dxa"/>
              <w:bottom w:w="0" w:type="dxa"/>
              <w:right w:w="20" w:type="dxa"/>
            </w:tcMar>
            <w:vAlign w:val="center"/>
            <w:hideMark/>
          </w:tcPr>
          <w:p w14:paraId="11E88274" w14:textId="77777777" w:rsidR="00000000" w:rsidRDefault="000A311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1FE149A0" w14:textId="77777777" w:rsidR="00000000" w:rsidRDefault="000A3118">
            <w:pPr>
              <w:rPr>
                <w:rFonts w:eastAsia="Times New Roman"/>
              </w:rPr>
            </w:pPr>
            <w:r>
              <w:rPr>
                <w:rFonts w:eastAsia="Times New Roman"/>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14:paraId="20D23C6B"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hideMark/>
          </w:tcPr>
          <w:p w14:paraId="3C649EAD" w14:textId="77777777" w:rsidR="00000000" w:rsidRDefault="000A3118">
            <w:pPr>
              <w:jc w:val="right"/>
              <w:rPr>
                <w:rFonts w:eastAsia="Times New Roman"/>
              </w:rPr>
            </w:pPr>
            <w:r>
              <w:rPr>
                <w:rFonts w:eastAsia="Times New Roman"/>
                <w:color w:val="000000"/>
                <w:sz w:val="16"/>
                <w:szCs w:val="16"/>
              </w:rPr>
              <w:t>22.7 </w:t>
            </w:r>
          </w:p>
        </w:tc>
        <w:tc>
          <w:tcPr>
            <w:tcW w:w="0" w:type="auto"/>
            <w:shd w:val="clear" w:color="auto" w:fill="FFFFFF"/>
            <w:tcMar>
              <w:top w:w="30" w:type="dxa"/>
              <w:left w:w="0" w:type="dxa"/>
              <w:bottom w:w="30" w:type="dxa"/>
              <w:right w:w="20" w:type="dxa"/>
            </w:tcMar>
            <w:hideMark/>
          </w:tcPr>
          <w:p w14:paraId="7B28297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B932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2D9C9D6" w14:textId="77777777" w:rsidR="00000000" w:rsidRDefault="000A3118">
            <w:pPr>
              <w:jc w:val="right"/>
              <w:rPr>
                <w:rFonts w:eastAsia="Times New Roman"/>
              </w:rPr>
            </w:pPr>
            <w:r>
              <w:rPr>
                <w:rFonts w:eastAsia="Times New Roman"/>
                <w:color w:val="000000"/>
                <w:sz w:val="16"/>
                <w:szCs w:val="16"/>
              </w:rPr>
              <w:t>7.7 </w:t>
            </w:r>
          </w:p>
        </w:tc>
        <w:tc>
          <w:tcPr>
            <w:tcW w:w="0" w:type="auto"/>
            <w:shd w:val="clear" w:color="auto" w:fill="FFFFFF"/>
            <w:tcMar>
              <w:top w:w="30" w:type="dxa"/>
              <w:left w:w="0" w:type="dxa"/>
              <w:bottom w:w="30" w:type="dxa"/>
              <w:right w:w="20" w:type="dxa"/>
            </w:tcMar>
            <w:hideMark/>
          </w:tcPr>
          <w:p w14:paraId="2821023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5DD79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C2366E9" w14:textId="77777777" w:rsidR="00000000" w:rsidRDefault="000A3118">
            <w:pPr>
              <w:jc w:val="right"/>
              <w:rPr>
                <w:rFonts w:eastAsia="Times New Roman"/>
              </w:rPr>
            </w:pPr>
            <w:r>
              <w:rPr>
                <w:rFonts w:eastAsia="Times New Roman"/>
                <w:color w:val="000000"/>
                <w:sz w:val="16"/>
                <w:szCs w:val="16"/>
              </w:rPr>
              <w:t>36.2 </w:t>
            </w:r>
          </w:p>
        </w:tc>
        <w:tc>
          <w:tcPr>
            <w:tcW w:w="0" w:type="auto"/>
            <w:shd w:val="clear" w:color="auto" w:fill="FFFFFF"/>
            <w:tcMar>
              <w:top w:w="30" w:type="dxa"/>
              <w:left w:w="0" w:type="dxa"/>
              <w:bottom w:w="30" w:type="dxa"/>
              <w:right w:w="20" w:type="dxa"/>
            </w:tcMar>
            <w:hideMark/>
          </w:tcPr>
          <w:p w14:paraId="052FC9F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62FF7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1EF34B3" w14:textId="77777777" w:rsidR="00000000" w:rsidRDefault="000A3118">
            <w:pPr>
              <w:jc w:val="right"/>
              <w:rPr>
                <w:rFonts w:eastAsia="Times New Roman"/>
              </w:rPr>
            </w:pPr>
            <w:r>
              <w:rPr>
                <w:rFonts w:eastAsia="Times New Roman"/>
                <w:color w:val="000000"/>
                <w:sz w:val="16"/>
                <w:szCs w:val="16"/>
              </w:rPr>
              <w:t>19.7 </w:t>
            </w:r>
          </w:p>
        </w:tc>
        <w:tc>
          <w:tcPr>
            <w:tcW w:w="0" w:type="auto"/>
            <w:shd w:val="clear" w:color="auto" w:fill="FFFFFF"/>
            <w:tcMar>
              <w:top w:w="30" w:type="dxa"/>
              <w:left w:w="0" w:type="dxa"/>
              <w:bottom w:w="30" w:type="dxa"/>
              <w:right w:w="20" w:type="dxa"/>
            </w:tcMar>
            <w:hideMark/>
          </w:tcPr>
          <w:p w14:paraId="20C580E9" w14:textId="77777777" w:rsidR="00000000" w:rsidRDefault="000A3118">
            <w:pPr>
              <w:jc w:val="right"/>
              <w:rPr>
                <w:rFonts w:eastAsia="Times New Roman"/>
              </w:rPr>
            </w:pPr>
          </w:p>
        </w:tc>
      </w:tr>
      <w:tr w:rsidR="00000000" w14:paraId="7083838F" w14:textId="77777777">
        <w:trPr>
          <w:divId w:val="2055540295"/>
          <w:jc w:val="center"/>
        </w:trPr>
        <w:tc>
          <w:tcPr>
            <w:tcW w:w="0" w:type="auto"/>
            <w:gridSpan w:val="3"/>
            <w:shd w:val="clear" w:color="auto" w:fill="CCEEFF"/>
            <w:tcMar>
              <w:top w:w="0" w:type="dxa"/>
              <w:left w:w="20" w:type="dxa"/>
              <w:bottom w:w="0" w:type="dxa"/>
              <w:right w:w="20" w:type="dxa"/>
            </w:tcMar>
            <w:vAlign w:val="center"/>
            <w:hideMark/>
          </w:tcPr>
          <w:p w14:paraId="17F31678" w14:textId="77777777" w:rsidR="00000000" w:rsidRDefault="000A311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B1C4BF"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D5B458" w14:textId="77777777" w:rsidR="00000000" w:rsidRDefault="000A3118">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62746F74" w14:textId="77777777" w:rsidR="00000000" w:rsidRDefault="000A3118">
            <w:pPr>
              <w:jc w:val="right"/>
              <w:rPr>
                <w:rFonts w:eastAsia="Times New Roman"/>
              </w:rPr>
            </w:pPr>
            <w:r>
              <w:rPr>
                <w:rFonts w:eastAsia="Times New Roman"/>
                <w:color w:val="000000"/>
                <w:sz w:val="16"/>
                <w:szCs w:val="16"/>
              </w:rPr>
              <w:t>301.4 </w:t>
            </w:r>
          </w:p>
        </w:tc>
        <w:tc>
          <w:tcPr>
            <w:tcW w:w="0" w:type="auto"/>
            <w:tcBorders>
              <w:top w:val="single" w:sz="8" w:space="0" w:color="000000"/>
            </w:tcBorders>
            <w:shd w:val="clear" w:color="auto" w:fill="CCEEFF"/>
            <w:tcMar>
              <w:top w:w="30" w:type="dxa"/>
              <w:left w:w="0" w:type="dxa"/>
              <w:bottom w:w="30" w:type="dxa"/>
              <w:right w:w="20" w:type="dxa"/>
            </w:tcMar>
            <w:hideMark/>
          </w:tcPr>
          <w:p w14:paraId="27E4AD07"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CEB100"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3668FD1B" w14:textId="77777777" w:rsidR="00000000" w:rsidRDefault="000A3118">
            <w:pPr>
              <w:jc w:val="right"/>
              <w:rPr>
                <w:rFonts w:eastAsia="Times New Roman"/>
              </w:rPr>
            </w:pPr>
            <w:r>
              <w:rPr>
                <w:rFonts w:eastAsia="Times New Roman"/>
                <w:color w:val="000000"/>
                <w:sz w:val="16"/>
                <w:szCs w:val="16"/>
              </w:rPr>
              <w:t>257.3 </w:t>
            </w:r>
          </w:p>
        </w:tc>
        <w:tc>
          <w:tcPr>
            <w:tcW w:w="0" w:type="auto"/>
            <w:tcBorders>
              <w:top w:val="single" w:sz="8" w:space="0" w:color="000000"/>
            </w:tcBorders>
            <w:shd w:val="clear" w:color="auto" w:fill="CCEEFF"/>
            <w:tcMar>
              <w:top w:w="30" w:type="dxa"/>
              <w:left w:w="0" w:type="dxa"/>
              <w:bottom w:w="30" w:type="dxa"/>
              <w:right w:w="20" w:type="dxa"/>
            </w:tcMar>
            <w:hideMark/>
          </w:tcPr>
          <w:p w14:paraId="74C2BFCF"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456195"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76BD74DB" w14:textId="77777777" w:rsidR="00000000" w:rsidRDefault="000A3118">
            <w:pPr>
              <w:jc w:val="right"/>
              <w:rPr>
                <w:rFonts w:eastAsia="Times New Roman"/>
              </w:rPr>
            </w:pPr>
            <w:r>
              <w:rPr>
                <w:rFonts w:eastAsia="Times New Roman"/>
                <w:color w:val="000000"/>
                <w:sz w:val="16"/>
                <w:szCs w:val="16"/>
              </w:rPr>
              <w:t>273.1 </w:t>
            </w:r>
          </w:p>
        </w:tc>
        <w:tc>
          <w:tcPr>
            <w:tcW w:w="0" w:type="auto"/>
            <w:tcBorders>
              <w:top w:val="single" w:sz="8" w:space="0" w:color="000000"/>
            </w:tcBorders>
            <w:shd w:val="clear" w:color="auto" w:fill="CCEEFF"/>
            <w:tcMar>
              <w:top w:w="30" w:type="dxa"/>
              <w:left w:w="0" w:type="dxa"/>
              <w:bottom w:w="30" w:type="dxa"/>
              <w:right w:w="20" w:type="dxa"/>
            </w:tcMar>
            <w:hideMark/>
          </w:tcPr>
          <w:p w14:paraId="5D38ECC5"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E01B1A"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0F7CB6F9" w14:textId="77777777" w:rsidR="00000000" w:rsidRDefault="000A3118">
            <w:pPr>
              <w:jc w:val="right"/>
              <w:rPr>
                <w:rFonts w:eastAsia="Times New Roman"/>
              </w:rPr>
            </w:pPr>
            <w:r>
              <w:rPr>
                <w:rFonts w:eastAsia="Times New Roman"/>
                <w:color w:val="000000"/>
                <w:sz w:val="16"/>
                <w:szCs w:val="16"/>
              </w:rPr>
              <w:t>235.0 </w:t>
            </w:r>
          </w:p>
        </w:tc>
        <w:tc>
          <w:tcPr>
            <w:tcW w:w="0" w:type="auto"/>
            <w:tcBorders>
              <w:top w:val="single" w:sz="8" w:space="0" w:color="000000"/>
            </w:tcBorders>
            <w:shd w:val="clear" w:color="auto" w:fill="CCEEFF"/>
            <w:tcMar>
              <w:top w:w="30" w:type="dxa"/>
              <w:left w:w="0" w:type="dxa"/>
              <w:bottom w:w="30" w:type="dxa"/>
              <w:right w:w="20" w:type="dxa"/>
            </w:tcMar>
            <w:hideMark/>
          </w:tcPr>
          <w:p w14:paraId="3E84321E" w14:textId="77777777" w:rsidR="00000000" w:rsidRDefault="000A3118">
            <w:pPr>
              <w:jc w:val="right"/>
              <w:rPr>
                <w:rFonts w:eastAsia="Times New Roman"/>
              </w:rPr>
            </w:pPr>
          </w:p>
        </w:tc>
      </w:tr>
      <w:tr w:rsidR="00000000" w14:paraId="6F976B9B" w14:textId="77777777">
        <w:trPr>
          <w:divId w:val="2055540295"/>
          <w:trHeight w:val="240"/>
          <w:jc w:val="center"/>
        </w:trPr>
        <w:tc>
          <w:tcPr>
            <w:tcW w:w="0" w:type="auto"/>
            <w:gridSpan w:val="3"/>
            <w:shd w:val="clear" w:color="auto" w:fill="FFFFFF"/>
            <w:tcMar>
              <w:top w:w="0" w:type="dxa"/>
              <w:left w:w="20" w:type="dxa"/>
              <w:bottom w:w="0" w:type="dxa"/>
              <w:right w:w="20" w:type="dxa"/>
            </w:tcMar>
            <w:vAlign w:val="center"/>
            <w:hideMark/>
          </w:tcPr>
          <w:p w14:paraId="005AFCEA" w14:textId="77777777" w:rsidR="00000000" w:rsidRDefault="000A311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A54924"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F3C366"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9BCF57"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6DE153"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69E0C8"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8E111E7"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D789C10"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7080727"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072807" w14:textId="77777777" w:rsidR="00000000" w:rsidRDefault="000A3118">
            <w:pPr>
              <w:rPr>
                <w:rFonts w:eastAsia="Times New Roman"/>
                <w:sz w:val="20"/>
                <w:szCs w:val="20"/>
              </w:rPr>
            </w:pPr>
          </w:p>
        </w:tc>
      </w:tr>
      <w:tr w:rsidR="00000000" w14:paraId="0E19EB80" w14:textId="77777777">
        <w:trPr>
          <w:divId w:val="2055540295"/>
          <w:jc w:val="center"/>
        </w:trPr>
        <w:tc>
          <w:tcPr>
            <w:tcW w:w="0" w:type="auto"/>
            <w:gridSpan w:val="3"/>
            <w:shd w:val="clear" w:color="auto" w:fill="CCEEFF"/>
            <w:tcMar>
              <w:top w:w="30" w:type="dxa"/>
              <w:left w:w="20" w:type="dxa"/>
              <w:bottom w:w="30" w:type="dxa"/>
              <w:right w:w="20" w:type="dxa"/>
            </w:tcMar>
            <w:hideMark/>
          </w:tcPr>
          <w:p w14:paraId="1F081C10" w14:textId="77777777" w:rsidR="00000000" w:rsidRDefault="000A3118">
            <w:pPr>
              <w:rPr>
                <w:rFonts w:eastAsia="Times New Roman"/>
              </w:rPr>
            </w:pPr>
            <w:r>
              <w:rPr>
                <w:rFonts w:eastAsia="Times New Roman"/>
                <w:color w:val="000000"/>
                <w:sz w:val="16"/>
                <w:szCs w:val="16"/>
              </w:rPr>
              <w:t>   Foreign currency contracts</w:t>
            </w:r>
          </w:p>
        </w:tc>
        <w:tc>
          <w:tcPr>
            <w:tcW w:w="0" w:type="auto"/>
            <w:gridSpan w:val="3"/>
            <w:shd w:val="clear" w:color="auto" w:fill="CCEEFF"/>
            <w:tcMar>
              <w:top w:w="30" w:type="dxa"/>
              <w:left w:w="20" w:type="dxa"/>
              <w:bottom w:w="30" w:type="dxa"/>
              <w:right w:w="20" w:type="dxa"/>
            </w:tcMar>
            <w:hideMark/>
          </w:tcPr>
          <w:p w14:paraId="152943F1" w14:textId="77777777" w:rsidR="00000000" w:rsidRDefault="000A3118">
            <w:pPr>
              <w:rPr>
                <w:rFonts w:eastAsia="Times New Roman"/>
              </w:rPr>
            </w:pPr>
            <w:r>
              <w:rPr>
                <w:rFonts w:eastAsia="Times New Roman"/>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14:paraId="6B203BE1"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4EA623F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56BDC27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A615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CD52815" w14:textId="77777777" w:rsidR="00000000" w:rsidRDefault="000A3118">
            <w:pPr>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hideMark/>
          </w:tcPr>
          <w:p w14:paraId="186FB9E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B613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E0DE28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hideMark/>
          </w:tcPr>
          <w:p w14:paraId="65B7796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95F0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47E6322" w14:textId="77777777" w:rsidR="00000000" w:rsidRDefault="000A3118">
            <w:pPr>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hideMark/>
          </w:tcPr>
          <w:p w14:paraId="3FADEAEA" w14:textId="77777777" w:rsidR="00000000" w:rsidRDefault="000A3118">
            <w:pPr>
              <w:jc w:val="right"/>
              <w:rPr>
                <w:rFonts w:eastAsia="Times New Roman"/>
              </w:rPr>
            </w:pPr>
          </w:p>
        </w:tc>
      </w:tr>
      <w:tr w:rsidR="00000000" w14:paraId="77845405" w14:textId="77777777">
        <w:trPr>
          <w:divId w:val="2055540295"/>
          <w:jc w:val="center"/>
        </w:trPr>
        <w:tc>
          <w:tcPr>
            <w:tcW w:w="0" w:type="auto"/>
            <w:gridSpan w:val="3"/>
            <w:shd w:val="clear" w:color="auto" w:fill="FFFFFF"/>
            <w:tcMar>
              <w:top w:w="0" w:type="dxa"/>
              <w:left w:w="20" w:type="dxa"/>
              <w:bottom w:w="0" w:type="dxa"/>
              <w:right w:w="20" w:type="dxa"/>
            </w:tcMar>
            <w:vAlign w:val="center"/>
            <w:hideMark/>
          </w:tcPr>
          <w:p w14:paraId="136C54D6" w14:textId="77777777" w:rsidR="00000000" w:rsidRDefault="000A311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3DFF4639" w14:textId="77777777" w:rsidR="00000000" w:rsidRDefault="000A3118">
            <w:pPr>
              <w:rPr>
                <w:rFonts w:eastAsia="Times New Roman"/>
              </w:rPr>
            </w:pPr>
            <w:r>
              <w:rPr>
                <w:rFonts w:eastAsia="Times New Roman"/>
                <w:color w:val="000000"/>
                <w:sz w:val="16"/>
                <w:szCs w:val="16"/>
              </w:rPr>
              <w:t>Identifiable intangible and other non-current assets</w:t>
            </w:r>
          </w:p>
        </w:tc>
        <w:tc>
          <w:tcPr>
            <w:tcW w:w="0" w:type="auto"/>
            <w:gridSpan w:val="3"/>
            <w:shd w:val="clear" w:color="auto" w:fill="FFFFFF"/>
            <w:tcMar>
              <w:top w:w="0" w:type="dxa"/>
              <w:left w:w="20" w:type="dxa"/>
              <w:bottom w:w="0" w:type="dxa"/>
              <w:right w:w="20" w:type="dxa"/>
            </w:tcMar>
            <w:vAlign w:val="center"/>
            <w:hideMark/>
          </w:tcPr>
          <w:p w14:paraId="0535C03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hideMark/>
          </w:tcPr>
          <w:p w14:paraId="7A1AD63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7298E19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12F6A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88D69A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141B887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FBBD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0E5E2D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7E3B89A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1C8CB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B4EC8B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78769022" w14:textId="77777777" w:rsidR="00000000" w:rsidRDefault="000A3118">
            <w:pPr>
              <w:jc w:val="right"/>
              <w:rPr>
                <w:rFonts w:eastAsia="Times New Roman"/>
              </w:rPr>
            </w:pPr>
          </w:p>
        </w:tc>
      </w:tr>
      <w:tr w:rsidR="00000000" w14:paraId="130008DA" w14:textId="77777777">
        <w:trPr>
          <w:divId w:val="2055540295"/>
          <w:jc w:val="center"/>
        </w:trPr>
        <w:tc>
          <w:tcPr>
            <w:tcW w:w="0" w:type="auto"/>
            <w:gridSpan w:val="3"/>
            <w:shd w:val="clear" w:color="auto" w:fill="CCEEFF"/>
            <w:tcMar>
              <w:top w:w="0" w:type="dxa"/>
              <w:left w:w="20" w:type="dxa"/>
              <w:bottom w:w="0" w:type="dxa"/>
              <w:right w:w="20" w:type="dxa"/>
            </w:tcMar>
            <w:vAlign w:val="center"/>
            <w:hideMark/>
          </w:tcPr>
          <w:p w14:paraId="2A9844C5" w14:textId="77777777" w:rsidR="00000000" w:rsidRDefault="000A311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2E930445" w14:textId="77777777" w:rsidR="00000000" w:rsidRDefault="000A3118">
            <w:pPr>
              <w:rPr>
                <w:rFonts w:eastAsia="Times New Roman"/>
              </w:rPr>
            </w:pPr>
            <w:r>
              <w:rPr>
                <w:rFonts w:eastAsia="Times New Roman"/>
                <w:color w:val="000000"/>
                <w:sz w:val="16"/>
                <w:szCs w:val="16"/>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14:paraId="5917A893"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7BAB039D" w14:textId="77777777" w:rsidR="00000000" w:rsidRDefault="000A3118">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hideMark/>
          </w:tcPr>
          <w:p w14:paraId="6AB693A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4C0E3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5CA40EC" w14:textId="77777777" w:rsidR="00000000" w:rsidRDefault="000A3118">
            <w:pPr>
              <w:jc w:val="right"/>
              <w:rPr>
                <w:rFonts w:eastAsia="Times New Roman"/>
              </w:rPr>
            </w:pPr>
            <w:r>
              <w:rPr>
                <w:rFonts w:eastAsia="Times New Roman"/>
                <w:color w:val="000000"/>
                <w:sz w:val="16"/>
                <w:szCs w:val="16"/>
              </w:rPr>
              <w:t>0.9 </w:t>
            </w:r>
          </w:p>
        </w:tc>
        <w:tc>
          <w:tcPr>
            <w:tcW w:w="0" w:type="auto"/>
            <w:shd w:val="clear" w:color="auto" w:fill="CCEEFF"/>
            <w:tcMar>
              <w:top w:w="30" w:type="dxa"/>
              <w:left w:w="0" w:type="dxa"/>
              <w:bottom w:w="30" w:type="dxa"/>
              <w:right w:w="20" w:type="dxa"/>
            </w:tcMar>
            <w:hideMark/>
          </w:tcPr>
          <w:p w14:paraId="6B29A22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3DCAB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895C822" w14:textId="77777777" w:rsidR="00000000" w:rsidRDefault="000A3118">
            <w:pPr>
              <w:jc w:val="right"/>
              <w:rPr>
                <w:rFonts w:eastAsia="Times New Roman"/>
              </w:rPr>
            </w:pPr>
            <w:r>
              <w:rPr>
                <w:rFonts w:eastAsia="Times New Roman"/>
                <w:color w:val="000000"/>
                <w:sz w:val="16"/>
                <w:szCs w:val="16"/>
              </w:rPr>
              <w:t>10.3 </w:t>
            </w:r>
          </w:p>
        </w:tc>
        <w:tc>
          <w:tcPr>
            <w:tcW w:w="0" w:type="auto"/>
            <w:shd w:val="clear" w:color="auto" w:fill="CCEEFF"/>
            <w:tcMar>
              <w:top w:w="30" w:type="dxa"/>
              <w:left w:w="0" w:type="dxa"/>
              <w:bottom w:w="30" w:type="dxa"/>
              <w:right w:w="20" w:type="dxa"/>
            </w:tcMar>
            <w:hideMark/>
          </w:tcPr>
          <w:p w14:paraId="052BA66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BA66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C4B3686" w14:textId="77777777" w:rsidR="00000000" w:rsidRDefault="000A3118">
            <w:pPr>
              <w:jc w:val="right"/>
              <w:rPr>
                <w:rFonts w:eastAsia="Times New Roman"/>
              </w:rPr>
            </w:pPr>
            <w:r>
              <w:rPr>
                <w:rFonts w:eastAsia="Times New Roman"/>
                <w:color w:val="000000"/>
                <w:sz w:val="16"/>
                <w:szCs w:val="16"/>
              </w:rPr>
              <w:t>11.4 </w:t>
            </w:r>
          </w:p>
        </w:tc>
        <w:tc>
          <w:tcPr>
            <w:tcW w:w="0" w:type="auto"/>
            <w:shd w:val="clear" w:color="auto" w:fill="CCEEFF"/>
            <w:tcMar>
              <w:top w:w="30" w:type="dxa"/>
              <w:left w:w="0" w:type="dxa"/>
              <w:bottom w:w="30" w:type="dxa"/>
              <w:right w:w="20" w:type="dxa"/>
            </w:tcMar>
            <w:hideMark/>
          </w:tcPr>
          <w:p w14:paraId="7C77979B" w14:textId="77777777" w:rsidR="00000000" w:rsidRDefault="000A3118">
            <w:pPr>
              <w:jc w:val="right"/>
              <w:rPr>
                <w:rFonts w:eastAsia="Times New Roman"/>
              </w:rPr>
            </w:pPr>
          </w:p>
        </w:tc>
      </w:tr>
      <w:tr w:rsidR="00000000" w14:paraId="432365A5" w14:textId="77777777">
        <w:trPr>
          <w:divId w:val="2055540295"/>
          <w:jc w:val="center"/>
        </w:trPr>
        <w:tc>
          <w:tcPr>
            <w:tcW w:w="0" w:type="auto"/>
            <w:gridSpan w:val="3"/>
            <w:shd w:val="clear" w:color="auto" w:fill="FFFFFF"/>
            <w:tcMar>
              <w:top w:w="0" w:type="dxa"/>
              <w:left w:w="20" w:type="dxa"/>
              <w:bottom w:w="0" w:type="dxa"/>
              <w:right w:w="20" w:type="dxa"/>
            </w:tcMar>
            <w:vAlign w:val="center"/>
            <w:hideMark/>
          </w:tcPr>
          <w:p w14:paraId="03604A46" w14:textId="77777777" w:rsidR="00000000" w:rsidRDefault="000A311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200DFFF3" w14:textId="77777777" w:rsidR="00000000" w:rsidRDefault="000A3118">
            <w:pPr>
              <w:rPr>
                <w:rFonts w:eastAsia="Times New Roman"/>
              </w:rPr>
            </w:pPr>
            <w:r>
              <w:rPr>
                <w:rFonts w:eastAsia="Times New Roman"/>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14:paraId="5420E0AC"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hideMark/>
          </w:tcPr>
          <w:p w14:paraId="0C5806B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280596D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83DB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4E5B67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4B9579E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724CC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BF7B75E" w14:textId="77777777" w:rsidR="00000000" w:rsidRDefault="000A3118">
            <w:pPr>
              <w:jc w:val="right"/>
              <w:rPr>
                <w:rFonts w:eastAsia="Times New Roman"/>
              </w:rPr>
            </w:pPr>
            <w:r>
              <w:rPr>
                <w:rFonts w:eastAsia="Times New Roman"/>
                <w:color w:val="000000"/>
                <w:sz w:val="16"/>
                <w:szCs w:val="16"/>
              </w:rPr>
              <w:t>0.1 </w:t>
            </w:r>
          </w:p>
        </w:tc>
        <w:tc>
          <w:tcPr>
            <w:tcW w:w="0" w:type="auto"/>
            <w:shd w:val="clear" w:color="auto" w:fill="FFFFFF"/>
            <w:tcMar>
              <w:top w:w="30" w:type="dxa"/>
              <w:left w:w="0" w:type="dxa"/>
              <w:bottom w:w="30" w:type="dxa"/>
              <w:right w:w="20" w:type="dxa"/>
            </w:tcMar>
            <w:hideMark/>
          </w:tcPr>
          <w:p w14:paraId="69428BE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D24F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27FAC4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57005756" w14:textId="77777777" w:rsidR="00000000" w:rsidRDefault="000A3118">
            <w:pPr>
              <w:jc w:val="right"/>
              <w:rPr>
                <w:rFonts w:eastAsia="Times New Roman"/>
              </w:rPr>
            </w:pPr>
          </w:p>
        </w:tc>
      </w:tr>
      <w:tr w:rsidR="00000000" w14:paraId="6ED42989" w14:textId="77777777">
        <w:trPr>
          <w:divId w:val="2055540295"/>
          <w:jc w:val="center"/>
        </w:trPr>
        <w:tc>
          <w:tcPr>
            <w:tcW w:w="0" w:type="auto"/>
            <w:gridSpan w:val="3"/>
            <w:shd w:val="clear" w:color="auto" w:fill="CCEEFF"/>
            <w:tcMar>
              <w:top w:w="0" w:type="dxa"/>
              <w:left w:w="20" w:type="dxa"/>
              <w:bottom w:w="0" w:type="dxa"/>
              <w:right w:w="20" w:type="dxa"/>
            </w:tcMar>
            <w:vAlign w:val="center"/>
            <w:hideMark/>
          </w:tcPr>
          <w:p w14:paraId="3FFF37E5" w14:textId="77777777" w:rsidR="00000000" w:rsidRDefault="000A3118">
            <w:pPr>
              <w:jc w:val="right"/>
              <w:rPr>
                <w:rFonts w:eastAsia="Times New Roman"/>
                <w:sz w:val="20"/>
                <w:szCs w:val="20"/>
              </w:rPr>
            </w:pP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14:paraId="3D101493"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F210B6" w14:textId="77777777" w:rsidR="00000000" w:rsidRDefault="000A3118">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5D77F0A1" w14:textId="77777777" w:rsidR="00000000" w:rsidRDefault="000A3118">
            <w:pPr>
              <w:jc w:val="right"/>
              <w:rPr>
                <w:rFonts w:eastAsia="Times New Roman"/>
              </w:rPr>
            </w:pPr>
            <w:r>
              <w:rPr>
                <w:rFonts w:eastAsia="Times New Roman"/>
                <w:color w:val="000000"/>
                <w:sz w:val="16"/>
                <w:szCs w:val="16"/>
              </w:rPr>
              <w:t>1.6 </w:t>
            </w:r>
          </w:p>
        </w:tc>
        <w:tc>
          <w:tcPr>
            <w:tcW w:w="0" w:type="auto"/>
            <w:tcBorders>
              <w:top w:val="single" w:sz="8" w:space="0" w:color="000000"/>
            </w:tcBorders>
            <w:shd w:val="clear" w:color="auto" w:fill="CCEEFF"/>
            <w:tcMar>
              <w:top w:w="30" w:type="dxa"/>
              <w:left w:w="0" w:type="dxa"/>
              <w:bottom w:w="30" w:type="dxa"/>
              <w:right w:w="20" w:type="dxa"/>
            </w:tcMar>
            <w:hideMark/>
          </w:tcPr>
          <w:p w14:paraId="5D573A83"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6C8E40"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3D9A2536" w14:textId="77777777" w:rsidR="00000000" w:rsidRDefault="000A3118">
            <w:pPr>
              <w:jc w:val="right"/>
              <w:rPr>
                <w:rFonts w:eastAsia="Times New Roman"/>
              </w:rPr>
            </w:pPr>
            <w:r>
              <w:rPr>
                <w:rFonts w:eastAsia="Times New Roman"/>
                <w:color w:val="000000"/>
                <w:sz w:val="16"/>
                <w:szCs w:val="16"/>
              </w:rPr>
              <w:t>2.0 </w:t>
            </w:r>
          </w:p>
        </w:tc>
        <w:tc>
          <w:tcPr>
            <w:tcW w:w="0" w:type="auto"/>
            <w:tcBorders>
              <w:top w:val="single" w:sz="8" w:space="0" w:color="000000"/>
            </w:tcBorders>
            <w:shd w:val="clear" w:color="auto" w:fill="CCEEFF"/>
            <w:tcMar>
              <w:top w:w="30" w:type="dxa"/>
              <w:left w:w="0" w:type="dxa"/>
              <w:bottom w:w="30" w:type="dxa"/>
              <w:right w:w="20" w:type="dxa"/>
            </w:tcMar>
            <w:hideMark/>
          </w:tcPr>
          <w:p w14:paraId="5D925B1D"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BE40D9"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67CAB273" w14:textId="77777777" w:rsidR="00000000" w:rsidRDefault="000A3118">
            <w:pPr>
              <w:jc w:val="right"/>
              <w:rPr>
                <w:rFonts w:eastAsia="Times New Roman"/>
              </w:rPr>
            </w:pPr>
            <w:r>
              <w:rPr>
                <w:rFonts w:eastAsia="Times New Roman"/>
                <w:color w:val="000000"/>
                <w:sz w:val="16"/>
                <w:szCs w:val="16"/>
              </w:rPr>
              <w:t>10.4 </w:t>
            </w:r>
          </w:p>
        </w:tc>
        <w:tc>
          <w:tcPr>
            <w:tcW w:w="0" w:type="auto"/>
            <w:tcBorders>
              <w:top w:val="single" w:sz="8" w:space="0" w:color="000000"/>
            </w:tcBorders>
            <w:shd w:val="clear" w:color="auto" w:fill="CCEEFF"/>
            <w:tcMar>
              <w:top w:w="30" w:type="dxa"/>
              <w:left w:w="0" w:type="dxa"/>
              <w:bottom w:w="30" w:type="dxa"/>
              <w:right w:w="20" w:type="dxa"/>
            </w:tcMar>
            <w:hideMark/>
          </w:tcPr>
          <w:p w14:paraId="662CDC03"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01510E"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678F6A7D" w14:textId="77777777" w:rsidR="00000000" w:rsidRDefault="000A3118">
            <w:pPr>
              <w:jc w:val="right"/>
              <w:rPr>
                <w:rFonts w:eastAsia="Times New Roman"/>
              </w:rPr>
            </w:pPr>
            <w:r>
              <w:rPr>
                <w:rFonts w:eastAsia="Times New Roman"/>
                <w:color w:val="000000"/>
                <w:sz w:val="16"/>
                <w:szCs w:val="16"/>
              </w:rPr>
              <w:t>11.6 </w:t>
            </w:r>
          </w:p>
        </w:tc>
        <w:tc>
          <w:tcPr>
            <w:tcW w:w="0" w:type="auto"/>
            <w:tcBorders>
              <w:top w:val="single" w:sz="8" w:space="0" w:color="000000"/>
            </w:tcBorders>
            <w:shd w:val="clear" w:color="auto" w:fill="CCEEFF"/>
            <w:tcMar>
              <w:top w:w="30" w:type="dxa"/>
              <w:left w:w="0" w:type="dxa"/>
              <w:bottom w:w="30" w:type="dxa"/>
              <w:right w:w="20" w:type="dxa"/>
            </w:tcMar>
            <w:hideMark/>
          </w:tcPr>
          <w:p w14:paraId="03F5268A" w14:textId="77777777" w:rsidR="00000000" w:rsidRDefault="000A3118">
            <w:pPr>
              <w:jc w:val="right"/>
              <w:rPr>
                <w:rFonts w:eastAsia="Times New Roman"/>
              </w:rPr>
            </w:pPr>
          </w:p>
        </w:tc>
      </w:tr>
      <w:tr w:rsidR="00000000" w14:paraId="4A1CDD5E" w14:textId="77777777">
        <w:trPr>
          <w:divId w:val="2055540295"/>
          <w:jc w:val="center"/>
        </w:trPr>
        <w:tc>
          <w:tcPr>
            <w:tcW w:w="0" w:type="auto"/>
            <w:gridSpan w:val="6"/>
            <w:tcBorders>
              <w:top w:val="single" w:sz="8" w:space="0" w:color="000000"/>
            </w:tcBorders>
            <w:shd w:val="clear" w:color="auto" w:fill="FFFFFF"/>
            <w:tcMar>
              <w:top w:w="30" w:type="dxa"/>
              <w:left w:w="20" w:type="dxa"/>
              <w:bottom w:w="30" w:type="dxa"/>
              <w:right w:w="20" w:type="dxa"/>
            </w:tcMar>
            <w:hideMark/>
          </w:tcPr>
          <w:p w14:paraId="5C4A6FD1" w14:textId="77777777" w:rsidR="00000000" w:rsidRDefault="000A3118">
            <w:pPr>
              <w:rPr>
                <w:rFonts w:eastAsia="Times New Roman"/>
              </w:rPr>
            </w:pPr>
            <w:r>
              <w:rPr>
                <w:rFonts w:eastAsia="Times New Roman"/>
                <w:b/>
                <w:bCs/>
                <w:color w:val="000000"/>
                <w:sz w:val="16"/>
                <w:szCs w:val="16"/>
              </w:rPr>
              <w:t>Total derivatives not designated as hedging instruments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EB0994A"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47F58918" w14:textId="77777777" w:rsidR="00000000" w:rsidRDefault="000A3118">
            <w:pPr>
              <w:jc w:val="right"/>
              <w:rPr>
                <w:rFonts w:eastAsia="Times New Roman"/>
              </w:rPr>
            </w:pPr>
            <w:r>
              <w:rPr>
                <w:rFonts w:eastAsia="Times New Roman"/>
                <w:color w:val="000000"/>
                <w:sz w:val="16"/>
                <w:szCs w:val="16"/>
              </w:rPr>
              <w:t>303.1 </w:t>
            </w:r>
          </w:p>
        </w:tc>
        <w:tc>
          <w:tcPr>
            <w:tcW w:w="0" w:type="auto"/>
            <w:tcBorders>
              <w:top w:val="single" w:sz="8" w:space="0" w:color="000000"/>
            </w:tcBorders>
            <w:shd w:val="clear" w:color="auto" w:fill="FFFFFF"/>
            <w:tcMar>
              <w:top w:w="30" w:type="dxa"/>
              <w:left w:w="0" w:type="dxa"/>
              <w:bottom w:w="30" w:type="dxa"/>
              <w:right w:w="20" w:type="dxa"/>
            </w:tcMar>
            <w:hideMark/>
          </w:tcPr>
          <w:p w14:paraId="3199360F"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BBBD35"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6567957" w14:textId="77777777" w:rsidR="00000000" w:rsidRDefault="000A3118">
            <w:pPr>
              <w:jc w:val="right"/>
              <w:rPr>
                <w:rFonts w:eastAsia="Times New Roman"/>
              </w:rPr>
            </w:pPr>
            <w:r>
              <w:rPr>
                <w:rFonts w:eastAsia="Times New Roman"/>
                <w:color w:val="000000"/>
                <w:sz w:val="16"/>
                <w:szCs w:val="16"/>
              </w:rPr>
              <w:t>259.4 </w:t>
            </w:r>
          </w:p>
        </w:tc>
        <w:tc>
          <w:tcPr>
            <w:tcW w:w="0" w:type="auto"/>
            <w:tcBorders>
              <w:top w:val="single" w:sz="8" w:space="0" w:color="000000"/>
            </w:tcBorders>
            <w:shd w:val="clear" w:color="auto" w:fill="FFFFFF"/>
            <w:tcMar>
              <w:top w:w="30" w:type="dxa"/>
              <w:left w:w="0" w:type="dxa"/>
              <w:bottom w:w="30" w:type="dxa"/>
              <w:right w:w="20" w:type="dxa"/>
            </w:tcMar>
            <w:hideMark/>
          </w:tcPr>
          <w:p w14:paraId="3E79C557"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946010"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7362E43" w14:textId="77777777" w:rsidR="00000000" w:rsidRDefault="000A3118">
            <w:pPr>
              <w:jc w:val="right"/>
              <w:rPr>
                <w:rFonts w:eastAsia="Times New Roman"/>
              </w:rPr>
            </w:pPr>
            <w:r>
              <w:rPr>
                <w:rFonts w:eastAsia="Times New Roman"/>
                <w:color w:val="000000"/>
                <w:sz w:val="16"/>
                <w:szCs w:val="16"/>
              </w:rPr>
              <w:t>283.6 </w:t>
            </w:r>
          </w:p>
        </w:tc>
        <w:tc>
          <w:tcPr>
            <w:tcW w:w="0" w:type="auto"/>
            <w:tcBorders>
              <w:top w:val="single" w:sz="8" w:space="0" w:color="000000"/>
            </w:tcBorders>
            <w:shd w:val="clear" w:color="auto" w:fill="FFFFFF"/>
            <w:tcMar>
              <w:top w:w="30" w:type="dxa"/>
              <w:left w:w="0" w:type="dxa"/>
              <w:bottom w:w="30" w:type="dxa"/>
              <w:right w:w="20" w:type="dxa"/>
            </w:tcMar>
            <w:hideMark/>
          </w:tcPr>
          <w:p w14:paraId="3499A21F"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ED5AAE"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20BC6967" w14:textId="77777777" w:rsidR="00000000" w:rsidRDefault="000A3118">
            <w:pPr>
              <w:jc w:val="right"/>
              <w:rPr>
                <w:rFonts w:eastAsia="Times New Roman"/>
              </w:rPr>
            </w:pPr>
            <w:r>
              <w:rPr>
                <w:rFonts w:eastAsia="Times New Roman"/>
                <w:color w:val="000000"/>
                <w:sz w:val="16"/>
                <w:szCs w:val="16"/>
              </w:rPr>
              <w:t>246.6 </w:t>
            </w:r>
          </w:p>
        </w:tc>
        <w:tc>
          <w:tcPr>
            <w:tcW w:w="0" w:type="auto"/>
            <w:tcBorders>
              <w:top w:val="single" w:sz="8" w:space="0" w:color="000000"/>
            </w:tcBorders>
            <w:shd w:val="clear" w:color="auto" w:fill="FFFFFF"/>
            <w:tcMar>
              <w:top w:w="30" w:type="dxa"/>
              <w:left w:w="0" w:type="dxa"/>
              <w:bottom w:w="30" w:type="dxa"/>
              <w:right w:w="20" w:type="dxa"/>
            </w:tcMar>
            <w:hideMark/>
          </w:tcPr>
          <w:p w14:paraId="772463FD" w14:textId="77777777" w:rsidR="00000000" w:rsidRDefault="000A3118">
            <w:pPr>
              <w:jc w:val="right"/>
              <w:rPr>
                <w:rFonts w:eastAsia="Times New Roman"/>
              </w:rPr>
            </w:pPr>
          </w:p>
        </w:tc>
      </w:tr>
      <w:tr w:rsidR="00000000" w14:paraId="2461AAB0" w14:textId="77777777">
        <w:trPr>
          <w:divId w:val="2055540295"/>
          <w:trHeight w:val="240"/>
          <w:jc w:val="center"/>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652DBF"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98E6F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E208E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7D0220"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C76EE6"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F64F43"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4B91C8"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249AB2"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4F6DD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3690E7" w14:textId="77777777" w:rsidR="00000000" w:rsidRDefault="000A3118">
            <w:pPr>
              <w:rPr>
                <w:rFonts w:eastAsia="Times New Roman"/>
                <w:sz w:val="20"/>
                <w:szCs w:val="20"/>
              </w:rPr>
            </w:pPr>
          </w:p>
        </w:tc>
      </w:tr>
      <w:tr w:rsidR="00000000" w14:paraId="1F8B37D7" w14:textId="77777777">
        <w:trPr>
          <w:divId w:val="2055540295"/>
          <w:jc w:val="center"/>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hideMark/>
          </w:tcPr>
          <w:p w14:paraId="51DDE153" w14:textId="77777777" w:rsidR="00000000" w:rsidRDefault="000A3118">
            <w:pPr>
              <w:rPr>
                <w:rFonts w:eastAsia="Times New Roman"/>
              </w:rPr>
            </w:pPr>
            <w:r>
              <w:rPr>
                <w:rFonts w:eastAsia="Times New Roman"/>
                <w:b/>
                <w:bCs/>
                <w:color w:val="000000"/>
                <w:sz w:val="16"/>
                <w:szCs w:val="16"/>
              </w:rPr>
              <w:t>Total derivatives</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81A209E" w14:textId="77777777" w:rsidR="00000000" w:rsidRDefault="000A3118">
            <w:pPr>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D6223B8"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290106E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2772F3E9" w14:textId="77777777" w:rsidR="00000000" w:rsidRDefault="000A3118">
            <w:pPr>
              <w:jc w:val="right"/>
              <w:rPr>
                <w:rFonts w:eastAsia="Times New Roman"/>
              </w:rPr>
            </w:pPr>
            <w:r>
              <w:rPr>
                <w:rFonts w:eastAsia="Times New Roman"/>
                <w:color w:val="000000"/>
                <w:sz w:val="16"/>
                <w:szCs w:val="16"/>
              </w:rPr>
              <w:t>445.5 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0003EE44"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1D85828"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53BACBE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402C33C5" w14:textId="77777777" w:rsidR="00000000" w:rsidRDefault="000A3118">
            <w:pPr>
              <w:jc w:val="right"/>
              <w:rPr>
                <w:rFonts w:eastAsia="Times New Roman"/>
              </w:rPr>
            </w:pPr>
            <w:r>
              <w:rPr>
                <w:rFonts w:eastAsia="Times New Roman"/>
                <w:color w:val="000000"/>
                <w:sz w:val="16"/>
                <w:szCs w:val="16"/>
              </w:rPr>
              <w:t>261.1 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7ACAD133"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1C87A0D"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12FF2D8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6283321E" w14:textId="77777777" w:rsidR="00000000" w:rsidRDefault="000A3118">
            <w:pPr>
              <w:jc w:val="right"/>
              <w:rPr>
                <w:rFonts w:eastAsia="Times New Roman"/>
              </w:rPr>
            </w:pPr>
            <w:r>
              <w:rPr>
                <w:rFonts w:eastAsia="Times New Roman"/>
                <w:color w:val="000000"/>
                <w:sz w:val="16"/>
                <w:szCs w:val="16"/>
              </w:rPr>
              <w:t>400.7 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5E269611"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957FCF8"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0F90741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33C1459B" w14:textId="77777777" w:rsidR="00000000" w:rsidRDefault="000A3118">
            <w:pPr>
              <w:jc w:val="right"/>
              <w:rPr>
                <w:rFonts w:eastAsia="Times New Roman"/>
              </w:rPr>
            </w:pPr>
            <w:r>
              <w:rPr>
                <w:rFonts w:eastAsia="Times New Roman"/>
                <w:color w:val="000000"/>
                <w:sz w:val="16"/>
                <w:szCs w:val="16"/>
              </w:rPr>
              <w:t>266.6 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18982334" w14:textId="77777777" w:rsidR="00000000" w:rsidRDefault="000A3118">
            <w:pPr>
              <w:jc w:val="right"/>
              <w:rPr>
                <w:rFonts w:eastAsia="Times New Roman"/>
              </w:rPr>
            </w:pPr>
          </w:p>
        </w:tc>
      </w:tr>
    </w:tbl>
    <w:p w14:paraId="3AEA048E" w14:textId="77777777" w:rsidR="00000000" w:rsidRDefault="000A3118">
      <w:pPr>
        <w:ind w:firstLine="360"/>
        <w:jc w:val="both"/>
        <w:divId w:val="916325924"/>
        <w:rPr>
          <w:rFonts w:eastAsia="Times New Roman"/>
        </w:rPr>
      </w:pPr>
      <w:r>
        <w:rPr>
          <w:rFonts w:eastAsia="Times New Roman"/>
          <w:color w:val="000000"/>
          <w:sz w:val="20"/>
          <w:szCs w:val="20"/>
        </w:rPr>
        <w:t>For information regarding our derivative instruments measured at fair value after netting and collateral, see No</w:t>
      </w:r>
      <w:r>
        <w:rPr>
          <w:rFonts w:eastAsia="Times New Roman"/>
          <w:color w:val="000000"/>
          <w:sz w:val="20"/>
          <w:szCs w:val="20"/>
        </w:rPr>
        <w:t>te 7. Fair Value Measurements.</w:t>
      </w:r>
    </w:p>
    <w:p w14:paraId="3EBD8012" w14:textId="77777777" w:rsidR="00000000" w:rsidRDefault="000A3118">
      <w:pPr>
        <w:ind w:firstLine="360"/>
        <w:jc w:val="both"/>
        <w:rPr>
          <w:rFonts w:eastAsia="Times New Roman"/>
        </w:rPr>
      </w:pPr>
    </w:p>
    <w:p w14:paraId="06E70D22" w14:textId="77777777" w:rsidR="00000000" w:rsidRDefault="000A3118">
      <w:pPr>
        <w:ind w:firstLine="360"/>
        <w:jc w:val="both"/>
        <w:rPr>
          <w:rFonts w:eastAsia="Times New Roman"/>
        </w:rPr>
      </w:pPr>
      <w:r>
        <w:rPr>
          <w:rFonts w:eastAsia="Times New Roman"/>
          <w:color w:val="000000"/>
          <w:sz w:val="20"/>
          <w:szCs w:val="20"/>
        </w:rPr>
        <w:t>The following table summarizes the gross notional values of our commodity and foreign currency exchange derivative contracts used for risk management purposes that were outstanding as of September 30, 2020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5470"/>
        <w:gridCol w:w="36"/>
        <w:gridCol w:w="36"/>
        <w:gridCol w:w="36"/>
        <w:gridCol w:w="36"/>
        <w:gridCol w:w="42"/>
        <w:gridCol w:w="1184"/>
        <w:gridCol w:w="37"/>
        <w:gridCol w:w="37"/>
        <w:gridCol w:w="36"/>
        <w:gridCol w:w="36"/>
        <w:gridCol w:w="42"/>
        <w:gridCol w:w="1184"/>
        <w:gridCol w:w="36"/>
      </w:tblGrid>
      <w:tr w:rsidR="00000000" w14:paraId="7FA6BC5D" w14:textId="77777777">
        <w:trPr>
          <w:divId w:val="927807743"/>
          <w:jc w:val="center"/>
        </w:trPr>
        <w:tc>
          <w:tcPr>
            <w:tcW w:w="50" w:type="pct"/>
            <w:vAlign w:val="center"/>
            <w:hideMark/>
          </w:tcPr>
          <w:p w14:paraId="68EF759D" w14:textId="77777777" w:rsidR="00000000" w:rsidRDefault="000A3118">
            <w:pPr>
              <w:ind w:firstLine="360"/>
              <w:jc w:val="both"/>
              <w:rPr>
                <w:rFonts w:eastAsia="Times New Roman"/>
              </w:rPr>
            </w:pPr>
          </w:p>
        </w:tc>
        <w:tc>
          <w:tcPr>
            <w:tcW w:w="3307" w:type="pct"/>
            <w:vAlign w:val="center"/>
            <w:hideMark/>
          </w:tcPr>
          <w:p w14:paraId="458004F1" w14:textId="77777777" w:rsidR="00000000" w:rsidRDefault="000A3118">
            <w:pPr>
              <w:rPr>
                <w:rFonts w:eastAsia="Times New Roman"/>
                <w:sz w:val="20"/>
                <w:szCs w:val="20"/>
              </w:rPr>
            </w:pPr>
          </w:p>
        </w:tc>
        <w:tc>
          <w:tcPr>
            <w:tcW w:w="5" w:type="pct"/>
            <w:vAlign w:val="center"/>
            <w:hideMark/>
          </w:tcPr>
          <w:p w14:paraId="5B4A6385" w14:textId="77777777" w:rsidR="00000000" w:rsidRDefault="000A3118">
            <w:pPr>
              <w:rPr>
                <w:rFonts w:eastAsia="Times New Roman"/>
                <w:sz w:val="20"/>
                <w:szCs w:val="20"/>
              </w:rPr>
            </w:pPr>
          </w:p>
        </w:tc>
        <w:tc>
          <w:tcPr>
            <w:tcW w:w="5" w:type="pct"/>
            <w:vAlign w:val="center"/>
            <w:hideMark/>
          </w:tcPr>
          <w:p w14:paraId="4FD8DA94" w14:textId="77777777" w:rsidR="00000000" w:rsidRDefault="000A3118">
            <w:pPr>
              <w:rPr>
                <w:rFonts w:eastAsia="Times New Roman"/>
                <w:sz w:val="20"/>
                <w:szCs w:val="20"/>
              </w:rPr>
            </w:pPr>
          </w:p>
        </w:tc>
        <w:tc>
          <w:tcPr>
            <w:tcW w:w="26" w:type="pct"/>
            <w:vAlign w:val="center"/>
            <w:hideMark/>
          </w:tcPr>
          <w:p w14:paraId="4D4643DF" w14:textId="77777777" w:rsidR="00000000" w:rsidRDefault="000A3118">
            <w:pPr>
              <w:rPr>
                <w:rFonts w:eastAsia="Times New Roman"/>
                <w:sz w:val="20"/>
                <w:szCs w:val="20"/>
              </w:rPr>
            </w:pPr>
          </w:p>
        </w:tc>
        <w:tc>
          <w:tcPr>
            <w:tcW w:w="5" w:type="pct"/>
            <w:vAlign w:val="center"/>
            <w:hideMark/>
          </w:tcPr>
          <w:p w14:paraId="1BA68F44" w14:textId="77777777" w:rsidR="00000000" w:rsidRDefault="000A3118">
            <w:pPr>
              <w:rPr>
                <w:rFonts w:eastAsia="Times New Roman"/>
                <w:sz w:val="20"/>
                <w:szCs w:val="20"/>
              </w:rPr>
            </w:pPr>
          </w:p>
        </w:tc>
        <w:tc>
          <w:tcPr>
            <w:tcW w:w="50" w:type="pct"/>
            <w:vAlign w:val="center"/>
            <w:hideMark/>
          </w:tcPr>
          <w:p w14:paraId="5FD2E198" w14:textId="77777777" w:rsidR="00000000" w:rsidRDefault="000A3118">
            <w:pPr>
              <w:rPr>
                <w:rFonts w:eastAsia="Times New Roman"/>
                <w:sz w:val="20"/>
                <w:szCs w:val="20"/>
              </w:rPr>
            </w:pPr>
          </w:p>
        </w:tc>
        <w:tc>
          <w:tcPr>
            <w:tcW w:w="727" w:type="pct"/>
            <w:vAlign w:val="center"/>
            <w:hideMark/>
          </w:tcPr>
          <w:p w14:paraId="38255F68" w14:textId="77777777" w:rsidR="00000000" w:rsidRDefault="000A3118">
            <w:pPr>
              <w:rPr>
                <w:rFonts w:eastAsia="Times New Roman"/>
                <w:sz w:val="20"/>
                <w:szCs w:val="20"/>
              </w:rPr>
            </w:pPr>
          </w:p>
        </w:tc>
        <w:tc>
          <w:tcPr>
            <w:tcW w:w="5" w:type="pct"/>
            <w:vAlign w:val="center"/>
            <w:hideMark/>
          </w:tcPr>
          <w:p w14:paraId="0CC9F4CC" w14:textId="77777777" w:rsidR="00000000" w:rsidRDefault="000A3118">
            <w:pPr>
              <w:rPr>
                <w:rFonts w:eastAsia="Times New Roman"/>
                <w:sz w:val="20"/>
                <w:szCs w:val="20"/>
              </w:rPr>
            </w:pPr>
          </w:p>
        </w:tc>
        <w:tc>
          <w:tcPr>
            <w:tcW w:w="5" w:type="pct"/>
            <w:vAlign w:val="center"/>
            <w:hideMark/>
          </w:tcPr>
          <w:p w14:paraId="3AC0EBAF" w14:textId="77777777" w:rsidR="00000000" w:rsidRDefault="000A3118">
            <w:pPr>
              <w:rPr>
                <w:rFonts w:eastAsia="Times New Roman"/>
                <w:sz w:val="20"/>
                <w:szCs w:val="20"/>
              </w:rPr>
            </w:pPr>
          </w:p>
        </w:tc>
        <w:tc>
          <w:tcPr>
            <w:tcW w:w="26" w:type="pct"/>
            <w:vAlign w:val="center"/>
            <w:hideMark/>
          </w:tcPr>
          <w:p w14:paraId="161E6D8C" w14:textId="77777777" w:rsidR="00000000" w:rsidRDefault="000A3118">
            <w:pPr>
              <w:rPr>
                <w:rFonts w:eastAsia="Times New Roman"/>
                <w:sz w:val="20"/>
                <w:szCs w:val="20"/>
              </w:rPr>
            </w:pPr>
          </w:p>
        </w:tc>
        <w:tc>
          <w:tcPr>
            <w:tcW w:w="5" w:type="pct"/>
            <w:vAlign w:val="center"/>
            <w:hideMark/>
          </w:tcPr>
          <w:p w14:paraId="285D4696" w14:textId="77777777" w:rsidR="00000000" w:rsidRDefault="000A3118">
            <w:pPr>
              <w:rPr>
                <w:rFonts w:eastAsia="Times New Roman"/>
                <w:sz w:val="20"/>
                <w:szCs w:val="20"/>
              </w:rPr>
            </w:pPr>
          </w:p>
        </w:tc>
        <w:tc>
          <w:tcPr>
            <w:tcW w:w="50" w:type="pct"/>
            <w:vAlign w:val="center"/>
            <w:hideMark/>
          </w:tcPr>
          <w:p w14:paraId="1D69C136" w14:textId="77777777" w:rsidR="00000000" w:rsidRDefault="000A3118">
            <w:pPr>
              <w:rPr>
                <w:rFonts w:eastAsia="Times New Roman"/>
                <w:sz w:val="20"/>
                <w:szCs w:val="20"/>
              </w:rPr>
            </w:pPr>
          </w:p>
        </w:tc>
        <w:tc>
          <w:tcPr>
            <w:tcW w:w="727" w:type="pct"/>
            <w:vAlign w:val="center"/>
            <w:hideMark/>
          </w:tcPr>
          <w:p w14:paraId="7D25EA7D" w14:textId="77777777" w:rsidR="00000000" w:rsidRDefault="000A3118">
            <w:pPr>
              <w:rPr>
                <w:rFonts w:eastAsia="Times New Roman"/>
                <w:sz w:val="20"/>
                <w:szCs w:val="20"/>
              </w:rPr>
            </w:pPr>
          </w:p>
        </w:tc>
        <w:tc>
          <w:tcPr>
            <w:tcW w:w="5" w:type="pct"/>
            <w:vAlign w:val="center"/>
            <w:hideMark/>
          </w:tcPr>
          <w:p w14:paraId="32A1AE41" w14:textId="77777777" w:rsidR="00000000" w:rsidRDefault="000A3118">
            <w:pPr>
              <w:rPr>
                <w:rFonts w:eastAsia="Times New Roman"/>
                <w:sz w:val="20"/>
                <w:szCs w:val="20"/>
              </w:rPr>
            </w:pPr>
          </w:p>
        </w:tc>
      </w:tr>
      <w:tr w:rsidR="00000000" w14:paraId="31F8BA0D" w14:textId="77777777">
        <w:trPr>
          <w:divId w:val="927807743"/>
          <w:jc w:val="center"/>
        </w:trPr>
        <w:tc>
          <w:tcPr>
            <w:tcW w:w="0" w:type="auto"/>
            <w:gridSpan w:val="3"/>
            <w:tcMar>
              <w:top w:w="0" w:type="dxa"/>
              <w:left w:w="20" w:type="dxa"/>
              <w:bottom w:w="0" w:type="dxa"/>
              <w:right w:w="20" w:type="dxa"/>
            </w:tcMar>
            <w:vAlign w:val="center"/>
            <w:hideMark/>
          </w:tcPr>
          <w:p w14:paraId="3A954A4D"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0C503209"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hideMark/>
          </w:tcPr>
          <w:p w14:paraId="7B9C3060" w14:textId="77777777" w:rsidR="00000000" w:rsidRDefault="000A3118">
            <w:pPr>
              <w:jc w:val="center"/>
              <w:rPr>
                <w:rFonts w:eastAsia="Times New Roman"/>
              </w:rPr>
            </w:pPr>
            <w:r>
              <w:rPr>
                <w:rFonts w:eastAsia="Times New Roman"/>
                <w:b/>
                <w:bCs/>
                <w:color w:val="000000"/>
                <w:sz w:val="16"/>
                <w:szCs w:val="16"/>
              </w:rPr>
              <w:t>As of September 30,</w:t>
            </w:r>
          </w:p>
        </w:tc>
      </w:tr>
      <w:tr w:rsidR="00000000" w14:paraId="05577485" w14:textId="77777777">
        <w:trPr>
          <w:divId w:val="927807743"/>
          <w:jc w:val="center"/>
        </w:trPr>
        <w:tc>
          <w:tcPr>
            <w:tcW w:w="0" w:type="auto"/>
            <w:gridSpan w:val="3"/>
            <w:tcMar>
              <w:top w:w="30" w:type="dxa"/>
              <w:left w:w="20" w:type="dxa"/>
              <w:bottom w:w="30" w:type="dxa"/>
              <w:right w:w="20" w:type="dxa"/>
            </w:tcMar>
            <w:hideMark/>
          </w:tcPr>
          <w:p w14:paraId="2E066335" w14:textId="77777777" w:rsidR="00000000" w:rsidRDefault="000A3118">
            <w:pPr>
              <w:rPr>
                <w:rFonts w:eastAsia="Times New Roman"/>
              </w:rPr>
            </w:pPr>
            <w:r>
              <w:rPr>
                <w:rFonts w:eastAsia="Times New Roman"/>
                <w:b/>
                <w:bCs/>
                <w:color w:val="333333"/>
                <w:sz w:val="16"/>
                <w:szCs w:val="16"/>
              </w:rPr>
              <w:t>Derivative Instruments</w:t>
            </w:r>
          </w:p>
        </w:tc>
        <w:tc>
          <w:tcPr>
            <w:tcW w:w="0" w:type="auto"/>
            <w:gridSpan w:val="3"/>
            <w:tcMar>
              <w:top w:w="0" w:type="dxa"/>
              <w:left w:w="20" w:type="dxa"/>
              <w:bottom w:w="0" w:type="dxa"/>
              <w:right w:w="20" w:type="dxa"/>
            </w:tcMar>
            <w:vAlign w:val="center"/>
            <w:hideMark/>
          </w:tcPr>
          <w:p w14:paraId="4618C3F7" w14:textId="77777777" w:rsidR="00000000" w:rsidRDefault="000A311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3F22C128" w14:textId="77777777" w:rsidR="00000000" w:rsidRDefault="000A3118">
            <w:pPr>
              <w:jc w:val="center"/>
              <w:rPr>
                <w:rFonts w:eastAsia="Times New Roman"/>
              </w:rPr>
            </w:pPr>
            <w:r>
              <w:rPr>
                <w:rFonts w:eastAsia="Times New Roman"/>
                <w:b/>
                <w:bCs/>
                <w:color w:val="333333"/>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14:paraId="335900FC"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8879B23" w14:textId="77777777" w:rsidR="00000000" w:rsidRDefault="000A3118">
            <w:pPr>
              <w:jc w:val="center"/>
              <w:rPr>
                <w:rFonts w:eastAsia="Times New Roman"/>
              </w:rPr>
            </w:pPr>
            <w:r>
              <w:rPr>
                <w:rFonts w:eastAsia="Times New Roman"/>
                <w:b/>
                <w:bCs/>
                <w:color w:val="000000"/>
                <w:sz w:val="16"/>
                <w:szCs w:val="16"/>
              </w:rPr>
              <w:t>2020</w:t>
            </w:r>
          </w:p>
        </w:tc>
      </w:tr>
      <w:tr w:rsidR="00000000" w14:paraId="574B5FD5" w14:textId="77777777">
        <w:trPr>
          <w:divId w:val="927807743"/>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071DCDE3" w14:textId="77777777" w:rsidR="00000000" w:rsidRDefault="000A3118">
            <w:pPr>
              <w:rPr>
                <w:rFonts w:eastAsia="Times New Roman"/>
              </w:rPr>
            </w:pPr>
            <w:r>
              <w:rPr>
                <w:rFonts w:eastAsia="Times New Roman"/>
                <w:b/>
                <w:bCs/>
                <w:color w:val="000000"/>
                <w:sz w:val="16"/>
                <w:szCs w:val="16"/>
              </w:rPr>
              <w:t>Commodity contracts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704074"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656473"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CB8677"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F25247" w14:textId="77777777" w:rsidR="00000000" w:rsidRDefault="000A3118">
            <w:pPr>
              <w:rPr>
                <w:rFonts w:eastAsia="Times New Roman"/>
                <w:sz w:val="20"/>
                <w:szCs w:val="20"/>
              </w:rPr>
            </w:pPr>
          </w:p>
        </w:tc>
      </w:tr>
      <w:tr w:rsidR="00000000" w14:paraId="70415C7B" w14:textId="77777777">
        <w:trPr>
          <w:divId w:val="927807743"/>
          <w:jc w:val="center"/>
        </w:trPr>
        <w:tc>
          <w:tcPr>
            <w:tcW w:w="0" w:type="auto"/>
            <w:gridSpan w:val="3"/>
            <w:shd w:val="clear" w:color="auto" w:fill="FFFFFF"/>
            <w:tcMar>
              <w:top w:w="30" w:type="dxa"/>
              <w:left w:w="20" w:type="dxa"/>
              <w:bottom w:w="30" w:type="dxa"/>
              <w:right w:w="20" w:type="dxa"/>
            </w:tcMar>
            <w:hideMark/>
          </w:tcPr>
          <w:p w14:paraId="01A859C1" w14:textId="77777777" w:rsidR="00000000" w:rsidRDefault="000A3118">
            <w:pPr>
              <w:rPr>
                <w:rFonts w:eastAsia="Times New Roman"/>
              </w:rPr>
            </w:pPr>
            <w:r>
              <w:rPr>
                <w:rFonts w:eastAsia="Times New Roman"/>
                <w:color w:val="000000"/>
                <w:sz w:val="16"/>
                <w:szCs w:val="16"/>
              </w:rPr>
              <w:t>Long</w:t>
            </w:r>
          </w:p>
        </w:tc>
        <w:tc>
          <w:tcPr>
            <w:tcW w:w="0" w:type="auto"/>
            <w:gridSpan w:val="3"/>
            <w:shd w:val="clear" w:color="auto" w:fill="FFFFFF"/>
            <w:tcMar>
              <w:top w:w="0" w:type="dxa"/>
              <w:left w:w="20" w:type="dxa"/>
              <w:bottom w:w="0" w:type="dxa"/>
              <w:right w:w="20" w:type="dxa"/>
            </w:tcMar>
            <w:vAlign w:val="center"/>
            <w:hideMark/>
          </w:tcPr>
          <w:p w14:paraId="3287FFC1" w14:textId="77777777" w:rsidR="00000000" w:rsidRDefault="000A3118">
            <w:pPr>
              <w:rPr>
                <w:rFonts w:eastAsia="Times New Roman"/>
              </w:rPr>
            </w:pPr>
          </w:p>
        </w:tc>
        <w:tc>
          <w:tcPr>
            <w:tcW w:w="0" w:type="auto"/>
            <w:gridSpan w:val="3"/>
            <w:shd w:val="clear" w:color="auto" w:fill="FFFFFF"/>
            <w:tcMar>
              <w:top w:w="30" w:type="dxa"/>
              <w:left w:w="20" w:type="dxa"/>
              <w:bottom w:w="30" w:type="dxa"/>
              <w:right w:w="20" w:type="dxa"/>
            </w:tcMar>
            <w:hideMark/>
          </w:tcPr>
          <w:p w14:paraId="266B6343" w14:textId="77777777" w:rsidR="00000000" w:rsidRDefault="000A3118">
            <w:pPr>
              <w:jc w:val="center"/>
              <w:rPr>
                <w:rFonts w:eastAsia="Times New Roman"/>
              </w:rPr>
            </w:pPr>
            <w:r>
              <w:rPr>
                <w:rFonts w:eastAsia="Times New Roman"/>
                <w:color w:val="000000"/>
                <w:sz w:val="16"/>
                <w:szCs w:val="16"/>
              </w:rPr>
              <w:t>BBL</w:t>
            </w:r>
          </w:p>
        </w:tc>
        <w:tc>
          <w:tcPr>
            <w:tcW w:w="0" w:type="auto"/>
            <w:gridSpan w:val="3"/>
            <w:shd w:val="clear" w:color="auto" w:fill="FFFFFF"/>
            <w:tcMar>
              <w:top w:w="0" w:type="dxa"/>
              <w:left w:w="20" w:type="dxa"/>
              <w:bottom w:w="0" w:type="dxa"/>
              <w:right w:w="20" w:type="dxa"/>
            </w:tcMar>
            <w:vAlign w:val="center"/>
            <w:hideMark/>
          </w:tcPr>
          <w:p w14:paraId="00CBBFA6" w14:textId="77777777" w:rsidR="00000000" w:rsidRDefault="000A3118">
            <w:pPr>
              <w:jc w:val="center"/>
              <w:rPr>
                <w:rFonts w:eastAsia="Times New Roman"/>
              </w:rPr>
            </w:pPr>
          </w:p>
        </w:tc>
        <w:tc>
          <w:tcPr>
            <w:tcW w:w="0" w:type="auto"/>
            <w:gridSpan w:val="2"/>
            <w:shd w:val="clear" w:color="auto" w:fill="FFFFFF"/>
            <w:tcMar>
              <w:top w:w="30" w:type="dxa"/>
              <w:left w:w="20" w:type="dxa"/>
              <w:bottom w:w="30" w:type="dxa"/>
              <w:right w:w="0" w:type="dxa"/>
            </w:tcMar>
            <w:hideMark/>
          </w:tcPr>
          <w:p w14:paraId="2383E4E9" w14:textId="77777777" w:rsidR="00000000" w:rsidRDefault="000A3118">
            <w:pPr>
              <w:jc w:val="right"/>
              <w:rPr>
                <w:rFonts w:eastAsia="Times New Roman"/>
              </w:rPr>
            </w:pPr>
            <w:r>
              <w:rPr>
                <w:rFonts w:eastAsia="Times New Roman"/>
                <w:color w:val="000000"/>
                <w:sz w:val="16"/>
                <w:szCs w:val="16"/>
              </w:rPr>
              <w:t>61.4 </w:t>
            </w:r>
          </w:p>
        </w:tc>
        <w:tc>
          <w:tcPr>
            <w:tcW w:w="0" w:type="auto"/>
            <w:shd w:val="clear" w:color="auto" w:fill="FFFFFF"/>
            <w:tcMar>
              <w:top w:w="30" w:type="dxa"/>
              <w:left w:w="0" w:type="dxa"/>
              <w:bottom w:w="30" w:type="dxa"/>
              <w:right w:w="20" w:type="dxa"/>
            </w:tcMar>
            <w:hideMark/>
          </w:tcPr>
          <w:p w14:paraId="15F1972D" w14:textId="77777777" w:rsidR="00000000" w:rsidRDefault="000A3118">
            <w:pPr>
              <w:jc w:val="right"/>
              <w:rPr>
                <w:rFonts w:eastAsia="Times New Roman"/>
              </w:rPr>
            </w:pPr>
          </w:p>
        </w:tc>
      </w:tr>
      <w:tr w:rsidR="00000000" w14:paraId="68F97170" w14:textId="77777777">
        <w:trPr>
          <w:divId w:val="927807743"/>
          <w:jc w:val="center"/>
        </w:trPr>
        <w:tc>
          <w:tcPr>
            <w:tcW w:w="0" w:type="auto"/>
            <w:gridSpan w:val="3"/>
            <w:shd w:val="clear" w:color="auto" w:fill="CCEEFF"/>
            <w:tcMar>
              <w:top w:w="30" w:type="dxa"/>
              <w:left w:w="20" w:type="dxa"/>
              <w:bottom w:w="30" w:type="dxa"/>
              <w:right w:w="20" w:type="dxa"/>
            </w:tcMar>
            <w:hideMark/>
          </w:tcPr>
          <w:p w14:paraId="1685D14C" w14:textId="77777777" w:rsidR="00000000" w:rsidRDefault="000A3118">
            <w:pPr>
              <w:rPr>
                <w:rFonts w:eastAsia="Times New Roman"/>
              </w:rPr>
            </w:pPr>
            <w:r>
              <w:rPr>
                <w:rFonts w:eastAsia="Times New Roman"/>
                <w:color w:val="000000"/>
                <w:sz w:val="16"/>
                <w:szCs w:val="16"/>
              </w:rPr>
              <w:t>Short</w:t>
            </w:r>
          </w:p>
        </w:tc>
        <w:tc>
          <w:tcPr>
            <w:tcW w:w="0" w:type="auto"/>
            <w:gridSpan w:val="3"/>
            <w:shd w:val="clear" w:color="auto" w:fill="CCEEFF"/>
            <w:tcMar>
              <w:top w:w="0" w:type="dxa"/>
              <w:left w:w="20" w:type="dxa"/>
              <w:bottom w:w="0" w:type="dxa"/>
              <w:right w:w="20" w:type="dxa"/>
            </w:tcMar>
            <w:vAlign w:val="center"/>
            <w:hideMark/>
          </w:tcPr>
          <w:p w14:paraId="26BB18C4" w14:textId="77777777" w:rsidR="00000000" w:rsidRDefault="000A3118">
            <w:pPr>
              <w:rPr>
                <w:rFonts w:eastAsia="Times New Roman"/>
              </w:rPr>
            </w:pPr>
          </w:p>
        </w:tc>
        <w:tc>
          <w:tcPr>
            <w:tcW w:w="0" w:type="auto"/>
            <w:gridSpan w:val="3"/>
            <w:shd w:val="clear" w:color="auto" w:fill="CCEEFF"/>
            <w:tcMar>
              <w:top w:w="30" w:type="dxa"/>
              <w:left w:w="20" w:type="dxa"/>
              <w:bottom w:w="30" w:type="dxa"/>
              <w:right w:w="20" w:type="dxa"/>
            </w:tcMar>
            <w:hideMark/>
          </w:tcPr>
          <w:p w14:paraId="72B1EDF8" w14:textId="77777777" w:rsidR="00000000" w:rsidRDefault="000A3118">
            <w:pPr>
              <w:jc w:val="center"/>
              <w:rPr>
                <w:rFonts w:eastAsia="Times New Roman"/>
              </w:rPr>
            </w:pPr>
            <w:r>
              <w:rPr>
                <w:rFonts w:eastAsia="Times New Roman"/>
                <w:color w:val="000000"/>
                <w:sz w:val="16"/>
                <w:szCs w:val="16"/>
              </w:rPr>
              <w:t>BBL</w:t>
            </w:r>
          </w:p>
        </w:tc>
        <w:tc>
          <w:tcPr>
            <w:tcW w:w="0" w:type="auto"/>
            <w:gridSpan w:val="3"/>
            <w:shd w:val="clear" w:color="auto" w:fill="CCEEFF"/>
            <w:tcMar>
              <w:top w:w="0" w:type="dxa"/>
              <w:left w:w="20" w:type="dxa"/>
              <w:bottom w:w="0" w:type="dxa"/>
              <w:right w:w="20" w:type="dxa"/>
            </w:tcMar>
            <w:vAlign w:val="center"/>
            <w:hideMark/>
          </w:tcPr>
          <w:p w14:paraId="2F0329F9" w14:textId="77777777" w:rsidR="00000000" w:rsidRDefault="000A3118">
            <w:pPr>
              <w:jc w:val="center"/>
              <w:rPr>
                <w:rFonts w:eastAsia="Times New Roman"/>
              </w:rPr>
            </w:pPr>
          </w:p>
        </w:tc>
        <w:tc>
          <w:tcPr>
            <w:tcW w:w="0" w:type="auto"/>
            <w:gridSpan w:val="2"/>
            <w:shd w:val="clear" w:color="auto" w:fill="CCEEFF"/>
            <w:tcMar>
              <w:top w:w="30" w:type="dxa"/>
              <w:left w:w="20" w:type="dxa"/>
              <w:bottom w:w="30" w:type="dxa"/>
              <w:right w:w="0" w:type="dxa"/>
            </w:tcMar>
            <w:hideMark/>
          </w:tcPr>
          <w:p w14:paraId="276DF812" w14:textId="77777777" w:rsidR="00000000" w:rsidRDefault="000A3118">
            <w:pPr>
              <w:jc w:val="right"/>
              <w:rPr>
                <w:rFonts w:eastAsia="Times New Roman"/>
              </w:rPr>
            </w:pPr>
            <w:r>
              <w:rPr>
                <w:rFonts w:eastAsia="Times New Roman"/>
                <w:color w:val="000000"/>
                <w:sz w:val="16"/>
                <w:szCs w:val="16"/>
              </w:rPr>
              <w:t>(47.1)</w:t>
            </w:r>
          </w:p>
        </w:tc>
        <w:tc>
          <w:tcPr>
            <w:tcW w:w="0" w:type="auto"/>
            <w:shd w:val="clear" w:color="auto" w:fill="CCEEFF"/>
            <w:tcMar>
              <w:top w:w="30" w:type="dxa"/>
              <w:left w:w="0" w:type="dxa"/>
              <w:bottom w:w="30" w:type="dxa"/>
              <w:right w:w="20" w:type="dxa"/>
            </w:tcMar>
            <w:hideMark/>
          </w:tcPr>
          <w:p w14:paraId="40D2905F" w14:textId="77777777" w:rsidR="00000000" w:rsidRDefault="000A3118">
            <w:pPr>
              <w:jc w:val="right"/>
              <w:rPr>
                <w:rFonts w:eastAsia="Times New Roman"/>
              </w:rPr>
            </w:pPr>
          </w:p>
        </w:tc>
      </w:tr>
      <w:tr w:rsidR="00000000" w14:paraId="1C183DE6" w14:textId="77777777">
        <w:trPr>
          <w:divId w:val="927807743"/>
          <w:trHeight w:val="240"/>
          <w:jc w:val="center"/>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481C93A"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11935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4EE95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5B96C9"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B47C7A" w14:textId="77777777" w:rsidR="00000000" w:rsidRDefault="000A3118">
            <w:pPr>
              <w:rPr>
                <w:rFonts w:eastAsia="Times New Roman"/>
                <w:sz w:val="20"/>
                <w:szCs w:val="20"/>
              </w:rPr>
            </w:pPr>
          </w:p>
        </w:tc>
      </w:tr>
      <w:tr w:rsidR="00000000" w14:paraId="64B027A1" w14:textId="77777777">
        <w:trPr>
          <w:divId w:val="927807743"/>
          <w:jc w:val="center"/>
        </w:trPr>
        <w:tc>
          <w:tcPr>
            <w:tcW w:w="0" w:type="auto"/>
            <w:gridSpan w:val="3"/>
            <w:shd w:val="clear" w:color="auto" w:fill="CCEEFF"/>
            <w:tcMar>
              <w:top w:w="30" w:type="dxa"/>
              <w:left w:w="20" w:type="dxa"/>
              <w:bottom w:w="30" w:type="dxa"/>
              <w:right w:w="20" w:type="dxa"/>
            </w:tcMar>
            <w:hideMark/>
          </w:tcPr>
          <w:p w14:paraId="690B517B" w14:textId="77777777" w:rsidR="00000000" w:rsidRDefault="000A3118">
            <w:pPr>
              <w:rPr>
                <w:rFonts w:eastAsia="Times New Roman"/>
              </w:rPr>
            </w:pPr>
            <w:r>
              <w:rPr>
                <w:rFonts w:eastAsia="Times New Roman"/>
                <w:b/>
                <w:bCs/>
                <w:color w:val="000000"/>
                <w:sz w:val="16"/>
                <w:szCs w:val="16"/>
              </w:rPr>
              <w:t>Foreign currency exchange contracts</w:t>
            </w:r>
          </w:p>
        </w:tc>
        <w:tc>
          <w:tcPr>
            <w:tcW w:w="0" w:type="auto"/>
            <w:gridSpan w:val="3"/>
            <w:shd w:val="clear" w:color="auto" w:fill="CCEEFF"/>
            <w:tcMar>
              <w:top w:w="0" w:type="dxa"/>
              <w:left w:w="20" w:type="dxa"/>
              <w:bottom w:w="0" w:type="dxa"/>
              <w:right w:w="20" w:type="dxa"/>
            </w:tcMar>
            <w:vAlign w:val="center"/>
            <w:hideMark/>
          </w:tcPr>
          <w:p w14:paraId="7241CCF9" w14:textId="77777777" w:rsidR="00000000" w:rsidRDefault="000A3118">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15EDF"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8178EF"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09668E" w14:textId="77777777" w:rsidR="00000000" w:rsidRDefault="000A3118">
            <w:pPr>
              <w:rPr>
                <w:rFonts w:eastAsia="Times New Roman"/>
                <w:sz w:val="20"/>
                <w:szCs w:val="20"/>
              </w:rPr>
            </w:pPr>
          </w:p>
        </w:tc>
      </w:tr>
      <w:tr w:rsidR="00000000" w14:paraId="2828746C" w14:textId="77777777">
        <w:trPr>
          <w:divId w:val="927807743"/>
          <w:jc w:val="center"/>
        </w:trPr>
        <w:tc>
          <w:tcPr>
            <w:tcW w:w="0" w:type="auto"/>
            <w:gridSpan w:val="3"/>
            <w:shd w:val="clear" w:color="auto" w:fill="FFFFFF"/>
            <w:tcMar>
              <w:top w:w="30" w:type="dxa"/>
              <w:left w:w="20" w:type="dxa"/>
              <w:bottom w:w="30" w:type="dxa"/>
              <w:right w:w="20" w:type="dxa"/>
            </w:tcMar>
            <w:hideMark/>
          </w:tcPr>
          <w:p w14:paraId="54ED47B8" w14:textId="77777777" w:rsidR="00000000" w:rsidRDefault="000A3118">
            <w:pPr>
              <w:rPr>
                <w:rFonts w:eastAsia="Times New Roman"/>
              </w:rPr>
            </w:pPr>
            <w:r>
              <w:rPr>
                <w:rFonts w:eastAsia="Times New Roman"/>
                <w:color w:val="000000"/>
                <w:sz w:val="16"/>
                <w:szCs w:val="16"/>
              </w:rPr>
              <w:t>Sell U.S. dollar, buy other currencies</w:t>
            </w:r>
          </w:p>
        </w:tc>
        <w:tc>
          <w:tcPr>
            <w:tcW w:w="0" w:type="auto"/>
            <w:gridSpan w:val="3"/>
            <w:shd w:val="clear" w:color="auto" w:fill="FFFFFF"/>
            <w:tcMar>
              <w:top w:w="0" w:type="dxa"/>
              <w:left w:w="20" w:type="dxa"/>
              <w:bottom w:w="0" w:type="dxa"/>
              <w:right w:w="20" w:type="dxa"/>
            </w:tcMar>
            <w:vAlign w:val="center"/>
            <w:hideMark/>
          </w:tcPr>
          <w:p w14:paraId="2DE53DD4" w14:textId="77777777" w:rsidR="00000000" w:rsidRDefault="000A3118">
            <w:pPr>
              <w:rPr>
                <w:rFonts w:eastAsia="Times New Roman"/>
              </w:rPr>
            </w:pPr>
          </w:p>
        </w:tc>
        <w:tc>
          <w:tcPr>
            <w:tcW w:w="0" w:type="auto"/>
            <w:gridSpan w:val="3"/>
            <w:shd w:val="clear" w:color="auto" w:fill="FFFFFF"/>
            <w:tcMar>
              <w:top w:w="30" w:type="dxa"/>
              <w:left w:w="20" w:type="dxa"/>
              <w:bottom w:w="30" w:type="dxa"/>
              <w:right w:w="20" w:type="dxa"/>
            </w:tcMar>
            <w:hideMark/>
          </w:tcPr>
          <w:p w14:paraId="4E81BBA4" w14:textId="77777777" w:rsidR="00000000" w:rsidRDefault="000A3118">
            <w:pPr>
              <w:jc w:val="center"/>
              <w:rPr>
                <w:rFonts w:eastAsia="Times New Roman"/>
              </w:rPr>
            </w:pPr>
            <w:r>
              <w:rPr>
                <w:rFonts w:eastAsia="Times New Roman"/>
                <w:color w:val="000000"/>
                <w:sz w:val="16"/>
                <w:szCs w:val="16"/>
              </w:rPr>
              <w:t>USD</w:t>
            </w:r>
          </w:p>
        </w:tc>
        <w:tc>
          <w:tcPr>
            <w:tcW w:w="0" w:type="auto"/>
            <w:gridSpan w:val="3"/>
            <w:shd w:val="clear" w:color="auto" w:fill="FFFFFF"/>
            <w:tcMar>
              <w:top w:w="0" w:type="dxa"/>
              <w:left w:w="20" w:type="dxa"/>
              <w:bottom w:w="0" w:type="dxa"/>
              <w:right w:w="20" w:type="dxa"/>
            </w:tcMar>
            <w:vAlign w:val="center"/>
            <w:hideMark/>
          </w:tcPr>
          <w:p w14:paraId="6208634F" w14:textId="77777777" w:rsidR="00000000" w:rsidRDefault="000A3118">
            <w:pPr>
              <w:jc w:val="center"/>
              <w:rPr>
                <w:rFonts w:eastAsia="Times New Roman"/>
              </w:rPr>
            </w:pPr>
          </w:p>
        </w:tc>
        <w:tc>
          <w:tcPr>
            <w:tcW w:w="0" w:type="auto"/>
            <w:gridSpan w:val="2"/>
            <w:shd w:val="clear" w:color="auto" w:fill="FFFFFF"/>
            <w:tcMar>
              <w:top w:w="30" w:type="dxa"/>
              <w:left w:w="20" w:type="dxa"/>
              <w:bottom w:w="30" w:type="dxa"/>
              <w:right w:w="0" w:type="dxa"/>
            </w:tcMar>
            <w:hideMark/>
          </w:tcPr>
          <w:p w14:paraId="76D6BAA4" w14:textId="77777777" w:rsidR="00000000" w:rsidRDefault="000A3118">
            <w:pPr>
              <w:jc w:val="right"/>
              <w:rPr>
                <w:rFonts w:eastAsia="Times New Roman"/>
              </w:rPr>
            </w:pPr>
            <w:r>
              <w:rPr>
                <w:rFonts w:eastAsia="Times New Roman"/>
                <w:color w:val="000000"/>
                <w:sz w:val="16"/>
                <w:szCs w:val="16"/>
              </w:rPr>
              <w:t>(98.1)</w:t>
            </w:r>
          </w:p>
        </w:tc>
        <w:tc>
          <w:tcPr>
            <w:tcW w:w="0" w:type="auto"/>
            <w:shd w:val="clear" w:color="auto" w:fill="FFFFFF"/>
            <w:tcMar>
              <w:top w:w="30" w:type="dxa"/>
              <w:left w:w="0" w:type="dxa"/>
              <w:bottom w:w="30" w:type="dxa"/>
              <w:right w:w="20" w:type="dxa"/>
            </w:tcMar>
            <w:hideMark/>
          </w:tcPr>
          <w:p w14:paraId="26C329D4" w14:textId="77777777" w:rsidR="00000000" w:rsidRDefault="000A3118">
            <w:pPr>
              <w:jc w:val="right"/>
              <w:rPr>
                <w:rFonts w:eastAsia="Times New Roman"/>
              </w:rPr>
            </w:pPr>
          </w:p>
        </w:tc>
      </w:tr>
      <w:tr w:rsidR="00000000" w14:paraId="3FD66D36" w14:textId="77777777">
        <w:trPr>
          <w:divId w:val="927807743"/>
          <w:jc w:val="center"/>
        </w:trPr>
        <w:tc>
          <w:tcPr>
            <w:tcW w:w="0" w:type="auto"/>
            <w:gridSpan w:val="3"/>
            <w:tcBorders>
              <w:bottom w:val="double" w:sz="6" w:space="0" w:color="000000"/>
            </w:tcBorders>
            <w:shd w:val="clear" w:color="auto" w:fill="CCEEFF"/>
            <w:tcMar>
              <w:top w:w="30" w:type="dxa"/>
              <w:left w:w="20" w:type="dxa"/>
              <w:bottom w:w="30" w:type="dxa"/>
              <w:right w:w="20" w:type="dxa"/>
            </w:tcMar>
            <w:hideMark/>
          </w:tcPr>
          <w:p w14:paraId="330714DF" w14:textId="77777777" w:rsidR="00000000" w:rsidRDefault="000A3118">
            <w:pPr>
              <w:rPr>
                <w:rFonts w:eastAsia="Times New Roman"/>
              </w:rPr>
            </w:pPr>
            <w:r>
              <w:rPr>
                <w:rFonts w:eastAsia="Times New Roman"/>
                <w:color w:val="000000"/>
                <w:sz w:val="16"/>
                <w:szCs w:val="16"/>
              </w:rPr>
              <w:t>Buy U.S. dollar, sell other currencies</w:t>
            </w: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31B88D59" w14:textId="77777777" w:rsidR="00000000" w:rsidRDefault="000A3118">
            <w:pPr>
              <w:rPr>
                <w:rFonts w:eastAsia="Times New Roman"/>
              </w:rPr>
            </w:pPr>
          </w:p>
        </w:tc>
        <w:tc>
          <w:tcPr>
            <w:tcW w:w="0" w:type="auto"/>
            <w:gridSpan w:val="3"/>
            <w:tcBorders>
              <w:bottom w:val="double" w:sz="6" w:space="0" w:color="000000"/>
            </w:tcBorders>
            <w:shd w:val="clear" w:color="auto" w:fill="CCEEFF"/>
            <w:tcMar>
              <w:top w:w="30" w:type="dxa"/>
              <w:left w:w="20" w:type="dxa"/>
              <w:bottom w:w="30" w:type="dxa"/>
              <w:right w:w="20" w:type="dxa"/>
            </w:tcMar>
            <w:hideMark/>
          </w:tcPr>
          <w:p w14:paraId="10135D1C" w14:textId="77777777" w:rsidR="00000000" w:rsidRDefault="000A3118">
            <w:pPr>
              <w:jc w:val="center"/>
              <w:rPr>
                <w:rFonts w:eastAsia="Times New Roman"/>
              </w:rPr>
            </w:pPr>
            <w:r>
              <w:rPr>
                <w:rFonts w:eastAsia="Times New Roman"/>
                <w:color w:val="000000"/>
                <w:sz w:val="16"/>
                <w:szCs w:val="16"/>
              </w:rPr>
              <w:t>USD</w:t>
            </w: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51E7C37A" w14:textId="77777777" w:rsidR="00000000" w:rsidRDefault="000A3118">
            <w:pPr>
              <w:jc w:val="center"/>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hideMark/>
          </w:tcPr>
          <w:p w14:paraId="43430406" w14:textId="77777777" w:rsidR="00000000" w:rsidRDefault="000A3118">
            <w:pPr>
              <w:jc w:val="right"/>
              <w:rPr>
                <w:rFonts w:eastAsia="Times New Roman"/>
              </w:rPr>
            </w:pPr>
            <w:r>
              <w:rPr>
                <w:rFonts w:eastAsia="Times New Roman"/>
                <w:color w:val="000000"/>
                <w:sz w:val="16"/>
                <w:szCs w:val="16"/>
              </w:rPr>
              <w:t>401.6 </w:t>
            </w:r>
          </w:p>
        </w:tc>
        <w:tc>
          <w:tcPr>
            <w:tcW w:w="0" w:type="auto"/>
            <w:tcBorders>
              <w:bottom w:val="double" w:sz="6" w:space="0" w:color="000000"/>
            </w:tcBorders>
            <w:shd w:val="clear" w:color="auto" w:fill="CCEEFF"/>
            <w:tcMar>
              <w:top w:w="30" w:type="dxa"/>
              <w:left w:w="0" w:type="dxa"/>
              <w:bottom w:w="30" w:type="dxa"/>
              <w:right w:w="20" w:type="dxa"/>
            </w:tcMar>
            <w:hideMark/>
          </w:tcPr>
          <w:p w14:paraId="7CFE38D0" w14:textId="77777777" w:rsidR="00000000" w:rsidRDefault="000A3118">
            <w:pPr>
              <w:jc w:val="right"/>
              <w:rPr>
                <w:rFonts w:eastAsia="Times New Roman"/>
              </w:rPr>
            </w:pPr>
          </w:p>
        </w:tc>
      </w:tr>
      <w:tr w:rsidR="00000000" w14:paraId="310FBDB5" w14:textId="77777777">
        <w:trPr>
          <w:divId w:val="927807743"/>
          <w:jc w:val="center"/>
        </w:trPr>
        <w:tc>
          <w:tcPr>
            <w:tcW w:w="0" w:type="auto"/>
            <w:gridSpan w:val="3"/>
            <w:vAlign w:val="center"/>
            <w:hideMark/>
          </w:tcPr>
          <w:p w14:paraId="20288EF4" w14:textId="77777777" w:rsidR="00000000" w:rsidRDefault="000A3118">
            <w:pPr>
              <w:jc w:val="right"/>
              <w:rPr>
                <w:rFonts w:eastAsia="Times New Roman"/>
                <w:sz w:val="20"/>
                <w:szCs w:val="20"/>
              </w:rPr>
            </w:pPr>
          </w:p>
        </w:tc>
        <w:tc>
          <w:tcPr>
            <w:tcW w:w="0" w:type="auto"/>
            <w:gridSpan w:val="3"/>
            <w:vAlign w:val="center"/>
            <w:hideMark/>
          </w:tcPr>
          <w:p w14:paraId="4F00F46A" w14:textId="77777777" w:rsidR="00000000" w:rsidRDefault="000A3118">
            <w:pPr>
              <w:rPr>
                <w:rFonts w:eastAsia="Times New Roman"/>
                <w:sz w:val="20"/>
                <w:szCs w:val="20"/>
              </w:rPr>
            </w:pPr>
          </w:p>
        </w:tc>
        <w:tc>
          <w:tcPr>
            <w:tcW w:w="0" w:type="auto"/>
            <w:gridSpan w:val="3"/>
            <w:vAlign w:val="center"/>
            <w:hideMark/>
          </w:tcPr>
          <w:p w14:paraId="72AD752D" w14:textId="77777777" w:rsidR="00000000" w:rsidRDefault="000A3118">
            <w:pPr>
              <w:rPr>
                <w:rFonts w:eastAsia="Times New Roman"/>
                <w:sz w:val="20"/>
                <w:szCs w:val="20"/>
              </w:rPr>
            </w:pPr>
          </w:p>
        </w:tc>
        <w:tc>
          <w:tcPr>
            <w:tcW w:w="0" w:type="auto"/>
            <w:gridSpan w:val="3"/>
            <w:vAlign w:val="center"/>
            <w:hideMark/>
          </w:tcPr>
          <w:p w14:paraId="0375240E" w14:textId="77777777" w:rsidR="00000000" w:rsidRDefault="000A3118">
            <w:pPr>
              <w:rPr>
                <w:rFonts w:eastAsia="Times New Roman"/>
                <w:sz w:val="20"/>
                <w:szCs w:val="20"/>
              </w:rPr>
            </w:pPr>
          </w:p>
        </w:tc>
        <w:tc>
          <w:tcPr>
            <w:tcW w:w="0" w:type="auto"/>
            <w:gridSpan w:val="3"/>
            <w:vAlign w:val="center"/>
            <w:hideMark/>
          </w:tcPr>
          <w:p w14:paraId="3FF4E55B" w14:textId="77777777" w:rsidR="00000000" w:rsidRDefault="000A3118">
            <w:pPr>
              <w:rPr>
                <w:rFonts w:eastAsia="Times New Roman"/>
                <w:sz w:val="20"/>
                <w:szCs w:val="20"/>
              </w:rPr>
            </w:pPr>
          </w:p>
        </w:tc>
      </w:tr>
      <w:tr w:rsidR="00000000" w14:paraId="463E444C" w14:textId="77777777">
        <w:trPr>
          <w:divId w:val="927807743"/>
          <w:jc w:val="center"/>
        </w:trPr>
        <w:tc>
          <w:tcPr>
            <w:tcW w:w="0" w:type="auto"/>
            <w:gridSpan w:val="3"/>
            <w:vAlign w:val="center"/>
            <w:hideMark/>
          </w:tcPr>
          <w:p w14:paraId="43EDA6F0" w14:textId="77777777" w:rsidR="00000000" w:rsidRDefault="000A3118">
            <w:pPr>
              <w:rPr>
                <w:rFonts w:eastAsia="Times New Roman"/>
                <w:sz w:val="20"/>
                <w:szCs w:val="20"/>
              </w:rPr>
            </w:pPr>
          </w:p>
        </w:tc>
        <w:tc>
          <w:tcPr>
            <w:tcW w:w="0" w:type="auto"/>
            <w:gridSpan w:val="3"/>
            <w:vAlign w:val="center"/>
            <w:hideMark/>
          </w:tcPr>
          <w:p w14:paraId="0F2A2B65" w14:textId="77777777" w:rsidR="00000000" w:rsidRDefault="000A3118">
            <w:pPr>
              <w:rPr>
                <w:rFonts w:eastAsia="Times New Roman"/>
                <w:sz w:val="20"/>
                <w:szCs w:val="20"/>
              </w:rPr>
            </w:pPr>
          </w:p>
        </w:tc>
        <w:tc>
          <w:tcPr>
            <w:tcW w:w="0" w:type="auto"/>
            <w:gridSpan w:val="3"/>
            <w:vAlign w:val="center"/>
            <w:hideMark/>
          </w:tcPr>
          <w:p w14:paraId="5FCF6BE0" w14:textId="77777777" w:rsidR="00000000" w:rsidRDefault="000A3118">
            <w:pPr>
              <w:rPr>
                <w:rFonts w:eastAsia="Times New Roman"/>
                <w:sz w:val="20"/>
                <w:szCs w:val="20"/>
              </w:rPr>
            </w:pPr>
          </w:p>
        </w:tc>
        <w:tc>
          <w:tcPr>
            <w:tcW w:w="0" w:type="auto"/>
            <w:gridSpan w:val="3"/>
            <w:vAlign w:val="center"/>
            <w:hideMark/>
          </w:tcPr>
          <w:p w14:paraId="336A5455" w14:textId="77777777" w:rsidR="00000000" w:rsidRDefault="000A3118">
            <w:pPr>
              <w:rPr>
                <w:rFonts w:eastAsia="Times New Roman"/>
                <w:sz w:val="20"/>
                <w:szCs w:val="20"/>
              </w:rPr>
            </w:pPr>
          </w:p>
        </w:tc>
        <w:tc>
          <w:tcPr>
            <w:tcW w:w="0" w:type="auto"/>
            <w:gridSpan w:val="3"/>
            <w:vAlign w:val="center"/>
            <w:hideMark/>
          </w:tcPr>
          <w:p w14:paraId="11320032" w14:textId="77777777" w:rsidR="00000000" w:rsidRDefault="000A3118">
            <w:pPr>
              <w:rPr>
                <w:rFonts w:eastAsia="Times New Roman"/>
                <w:sz w:val="20"/>
                <w:szCs w:val="20"/>
              </w:rPr>
            </w:pPr>
          </w:p>
        </w:tc>
      </w:tr>
      <w:tr w:rsidR="00000000" w14:paraId="419E07B9" w14:textId="77777777">
        <w:trPr>
          <w:divId w:val="927807743"/>
          <w:jc w:val="center"/>
        </w:trPr>
        <w:tc>
          <w:tcPr>
            <w:tcW w:w="0" w:type="auto"/>
            <w:gridSpan w:val="3"/>
            <w:vAlign w:val="center"/>
            <w:hideMark/>
          </w:tcPr>
          <w:p w14:paraId="5DCEF20C" w14:textId="77777777" w:rsidR="00000000" w:rsidRDefault="000A3118">
            <w:pPr>
              <w:rPr>
                <w:rFonts w:eastAsia="Times New Roman"/>
                <w:sz w:val="20"/>
                <w:szCs w:val="20"/>
              </w:rPr>
            </w:pPr>
          </w:p>
        </w:tc>
        <w:tc>
          <w:tcPr>
            <w:tcW w:w="0" w:type="auto"/>
            <w:gridSpan w:val="3"/>
            <w:vAlign w:val="center"/>
            <w:hideMark/>
          </w:tcPr>
          <w:p w14:paraId="6728996A" w14:textId="77777777" w:rsidR="00000000" w:rsidRDefault="000A3118">
            <w:pPr>
              <w:rPr>
                <w:rFonts w:eastAsia="Times New Roman"/>
                <w:sz w:val="20"/>
                <w:szCs w:val="20"/>
              </w:rPr>
            </w:pPr>
          </w:p>
        </w:tc>
        <w:tc>
          <w:tcPr>
            <w:tcW w:w="0" w:type="auto"/>
            <w:gridSpan w:val="3"/>
            <w:vAlign w:val="center"/>
            <w:hideMark/>
          </w:tcPr>
          <w:p w14:paraId="1B92564B" w14:textId="77777777" w:rsidR="00000000" w:rsidRDefault="000A3118">
            <w:pPr>
              <w:rPr>
                <w:rFonts w:eastAsia="Times New Roman"/>
                <w:sz w:val="20"/>
                <w:szCs w:val="20"/>
              </w:rPr>
            </w:pPr>
          </w:p>
        </w:tc>
        <w:tc>
          <w:tcPr>
            <w:tcW w:w="0" w:type="auto"/>
            <w:gridSpan w:val="3"/>
            <w:vAlign w:val="center"/>
            <w:hideMark/>
          </w:tcPr>
          <w:p w14:paraId="58054C78" w14:textId="77777777" w:rsidR="00000000" w:rsidRDefault="000A3118">
            <w:pPr>
              <w:rPr>
                <w:rFonts w:eastAsia="Times New Roman"/>
                <w:sz w:val="20"/>
                <w:szCs w:val="20"/>
              </w:rPr>
            </w:pPr>
          </w:p>
        </w:tc>
        <w:tc>
          <w:tcPr>
            <w:tcW w:w="0" w:type="auto"/>
            <w:gridSpan w:val="3"/>
            <w:vAlign w:val="center"/>
            <w:hideMark/>
          </w:tcPr>
          <w:p w14:paraId="5E536D89" w14:textId="77777777" w:rsidR="00000000" w:rsidRDefault="000A3118">
            <w:pPr>
              <w:rPr>
                <w:rFonts w:eastAsia="Times New Roman"/>
                <w:sz w:val="20"/>
                <w:szCs w:val="20"/>
              </w:rPr>
            </w:pPr>
          </w:p>
        </w:tc>
      </w:tr>
      <w:tr w:rsidR="00000000" w14:paraId="161A9C83" w14:textId="77777777">
        <w:trPr>
          <w:divId w:val="927807743"/>
          <w:jc w:val="center"/>
        </w:trPr>
        <w:tc>
          <w:tcPr>
            <w:tcW w:w="0" w:type="auto"/>
            <w:gridSpan w:val="3"/>
            <w:vAlign w:val="center"/>
            <w:hideMark/>
          </w:tcPr>
          <w:p w14:paraId="669B0DB6" w14:textId="77777777" w:rsidR="00000000" w:rsidRDefault="000A3118">
            <w:pPr>
              <w:rPr>
                <w:rFonts w:eastAsia="Times New Roman"/>
                <w:sz w:val="20"/>
                <w:szCs w:val="20"/>
              </w:rPr>
            </w:pPr>
          </w:p>
        </w:tc>
        <w:tc>
          <w:tcPr>
            <w:tcW w:w="0" w:type="auto"/>
            <w:gridSpan w:val="3"/>
            <w:vAlign w:val="center"/>
            <w:hideMark/>
          </w:tcPr>
          <w:p w14:paraId="6569E039" w14:textId="77777777" w:rsidR="00000000" w:rsidRDefault="000A3118">
            <w:pPr>
              <w:rPr>
                <w:rFonts w:eastAsia="Times New Roman"/>
                <w:sz w:val="20"/>
                <w:szCs w:val="20"/>
              </w:rPr>
            </w:pPr>
          </w:p>
        </w:tc>
        <w:tc>
          <w:tcPr>
            <w:tcW w:w="0" w:type="auto"/>
            <w:gridSpan w:val="3"/>
            <w:vAlign w:val="center"/>
            <w:hideMark/>
          </w:tcPr>
          <w:p w14:paraId="29CBD422" w14:textId="77777777" w:rsidR="00000000" w:rsidRDefault="000A3118">
            <w:pPr>
              <w:rPr>
                <w:rFonts w:eastAsia="Times New Roman"/>
                <w:sz w:val="20"/>
                <w:szCs w:val="20"/>
              </w:rPr>
            </w:pPr>
          </w:p>
        </w:tc>
        <w:tc>
          <w:tcPr>
            <w:tcW w:w="0" w:type="auto"/>
            <w:gridSpan w:val="3"/>
            <w:vAlign w:val="center"/>
            <w:hideMark/>
          </w:tcPr>
          <w:p w14:paraId="0B95E5A3" w14:textId="77777777" w:rsidR="00000000" w:rsidRDefault="000A3118">
            <w:pPr>
              <w:rPr>
                <w:rFonts w:eastAsia="Times New Roman"/>
                <w:sz w:val="20"/>
                <w:szCs w:val="20"/>
              </w:rPr>
            </w:pPr>
          </w:p>
        </w:tc>
        <w:tc>
          <w:tcPr>
            <w:tcW w:w="0" w:type="auto"/>
            <w:gridSpan w:val="3"/>
            <w:vAlign w:val="center"/>
            <w:hideMark/>
          </w:tcPr>
          <w:p w14:paraId="1097440F" w14:textId="77777777" w:rsidR="00000000" w:rsidRDefault="000A3118">
            <w:pPr>
              <w:rPr>
                <w:rFonts w:eastAsia="Times New Roman"/>
                <w:sz w:val="20"/>
                <w:szCs w:val="20"/>
              </w:rPr>
            </w:pPr>
          </w:p>
        </w:tc>
      </w:tr>
      <w:tr w:rsidR="00000000" w14:paraId="3CEA8FEC" w14:textId="77777777">
        <w:trPr>
          <w:divId w:val="927807743"/>
          <w:jc w:val="center"/>
        </w:trPr>
        <w:tc>
          <w:tcPr>
            <w:tcW w:w="0" w:type="auto"/>
            <w:gridSpan w:val="3"/>
            <w:vAlign w:val="center"/>
            <w:hideMark/>
          </w:tcPr>
          <w:p w14:paraId="15F315C0" w14:textId="77777777" w:rsidR="00000000" w:rsidRDefault="000A3118">
            <w:pPr>
              <w:rPr>
                <w:rFonts w:eastAsia="Times New Roman"/>
                <w:sz w:val="20"/>
                <w:szCs w:val="20"/>
              </w:rPr>
            </w:pPr>
          </w:p>
        </w:tc>
        <w:tc>
          <w:tcPr>
            <w:tcW w:w="0" w:type="auto"/>
            <w:gridSpan w:val="3"/>
            <w:vAlign w:val="center"/>
            <w:hideMark/>
          </w:tcPr>
          <w:p w14:paraId="29961728" w14:textId="77777777" w:rsidR="00000000" w:rsidRDefault="000A3118">
            <w:pPr>
              <w:rPr>
                <w:rFonts w:eastAsia="Times New Roman"/>
                <w:sz w:val="20"/>
                <w:szCs w:val="20"/>
              </w:rPr>
            </w:pPr>
          </w:p>
        </w:tc>
        <w:tc>
          <w:tcPr>
            <w:tcW w:w="0" w:type="auto"/>
            <w:gridSpan w:val="3"/>
            <w:vAlign w:val="center"/>
            <w:hideMark/>
          </w:tcPr>
          <w:p w14:paraId="7E031A0B" w14:textId="77777777" w:rsidR="00000000" w:rsidRDefault="000A3118">
            <w:pPr>
              <w:rPr>
                <w:rFonts w:eastAsia="Times New Roman"/>
                <w:sz w:val="20"/>
                <w:szCs w:val="20"/>
              </w:rPr>
            </w:pPr>
          </w:p>
        </w:tc>
        <w:tc>
          <w:tcPr>
            <w:tcW w:w="0" w:type="auto"/>
            <w:gridSpan w:val="3"/>
            <w:vAlign w:val="center"/>
            <w:hideMark/>
          </w:tcPr>
          <w:p w14:paraId="580B00E5" w14:textId="77777777" w:rsidR="00000000" w:rsidRDefault="000A3118">
            <w:pPr>
              <w:rPr>
                <w:rFonts w:eastAsia="Times New Roman"/>
                <w:sz w:val="20"/>
                <w:szCs w:val="20"/>
              </w:rPr>
            </w:pPr>
          </w:p>
        </w:tc>
        <w:tc>
          <w:tcPr>
            <w:tcW w:w="0" w:type="auto"/>
            <w:gridSpan w:val="3"/>
            <w:vAlign w:val="center"/>
            <w:hideMark/>
          </w:tcPr>
          <w:p w14:paraId="392E366C" w14:textId="77777777" w:rsidR="00000000" w:rsidRDefault="000A3118">
            <w:pPr>
              <w:rPr>
                <w:rFonts w:eastAsia="Times New Roman"/>
                <w:sz w:val="20"/>
                <w:szCs w:val="20"/>
              </w:rPr>
            </w:pPr>
          </w:p>
        </w:tc>
      </w:tr>
      <w:tr w:rsidR="00000000" w14:paraId="27559931" w14:textId="77777777">
        <w:trPr>
          <w:divId w:val="927807743"/>
          <w:jc w:val="center"/>
        </w:trPr>
        <w:tc>
          <w:tcPr>
            <w:tcW w:w="0" w:type="auto"/>
            <w:gridSpan w:val="3"/>
            <w:vAlign w:val="center"/>
            <w:hideMark/>
          </w:tcPr>
          <w:p w14:paraId="0DA01D8A" w14:textId="77777777" w:rsidR="00000000" w:rsidRDefault="000A3118">
            <w:pPr>
              <w:rPr>
                <w:rFonts w:eastAsia="Times New Roman"/>
                <w:sz w:val="20"/>
                <w:szCs w:val="20"/>
              </w:rPr>
            </w:pPr>
          </w:p>
        </w:tc>
        <w:tc>
          <w:tcPr>
            <w:tcW w:w="0" w:type="auto"/>
            <w:gridSpan w:val="3"/>
            <w:vAlign w:val="center"/>
            <w:hideMark/>
          </w:tcPr>
          <w:p w14:paraId="5299F193" w14:textId="77777777" w:rsidR="00000000" w:rsidRDefault="000A3118">
            <w:pPr>
              <w:rPr>
                <w:rFonts w:eastAsia="Times New Roman"/>
                <w:sz w:val="20"/>
                <w:szCs w:val="20"/>
              </w:rPr>
            </w:pPr>
          </w:p>
        </w:tc>
        <w:tc>
          <w:tcPr>
            <w:tcW w:w="0" w:type="auto"/>
            <w:gridSpan w:val="3"/>
            <w:vAlign w:val="center"/>
            <w:hideMark/>
          </w:tcPr>
          <w:p w14:paraId="76D58850" w14:textId="77777777" w:rsidR="00000000" w:rsidRDefault="000A3118">
            <w:pPr>
              <w:rPr>
                <w:rFonts w:eastAsia="Times New Roman"/>
                <w:sz w:val="20"/>
                <w:szCs w:val="20"/>
              </w:rPr>
            </w:pPr>
          </w:p>
        </w:tc>
        <w:tc>
          <w:tcPr>
            <w:tcW w:w="0" w:type="auto"/>
            <w:gridSpan w:val="3"/>
            <w:vAlign w:val="center"/>
            <w:hideMark/>
          </w:tcPr>
          <w:p w14:paraId="78DB6530" w14:textId="77777777" w:rsidR="00000000" w:rsidRDefault="000A3118">
            <w:pPr>
              <w:rPr>
                <w:rFonts w:eastAsia="Times New Roman"/>
                <w:sz w:val="20"/>
                <w:szCs w:val="20"/>
              </w:rPr>
            </w:pPr>
          </w:p>
        </w:tc>
        <w:tc>
          <w:tcPr>
            <w:tcW w:w="0" w:type="auto"/>
            <w:gridSpan w:val="3"/>
            <w:vAlign w:val="center"/>
            <w:hideMark/>
          </w:tcPr>
          <w:p w14:paraId="13C5D3A8" w14:textId="77777777" w:rsidR="00000000" w:rsidRDefault="000A3118">
            <w:pPr>
              <w:rPr>
                <w:rFonts w:eastAsia="Times New Roman"/>
                <w:sz w:val="20"/>
                <w:szCs w:val="20"/>
              </w:rPr>
            </w:pPr>
          </w:p>
        </w:tc>
      </w:tr>
      <w:tr w:rsidR="00000000" w14:paraId="76F20864" w14:textId="77777777">
        <w:trPr>
          <w:divId w:val="927807743"/>
          <w:jc w:val="center"/>
        </w:trPr>
        <w:tc>
          <w:tcPr>
            <w:tcW w:w="0" w:type="auto"/>
            <w:gridSpan w:val="3"/>
            <w:vAlign w:val="center"/>
            <w:hideMark/>
          </w:tcPr>
          <w:p w14:paraId="19E2B961" w14:textId="77777777" w:rsidR="00000000" w:rsidRDefault="000A3118">
            <w:pPr>
              <w:rPr>
                <w:rFonts w:eastAsia="Times New Roman"/>
                <w:sz w:val="20"/>
                <w:szCs w:val="20"/>
              </w:rPr>
            </w:pPr>
          </w:p>
        </w:tc>
        <w:tc>
          <w:tcPr>
            <w:tcW w:w="0" w:type="auto"/>
            <w:gridSpan w:val="3"/>
            <w:vAlign w:val="center"/>
            <w:hideMark/>
          </w:tcPr>
          <w:p w14:paraId="29EE8A24" w14:textId="77777777" w:rsidR="00000000" w:rsidRDefault="000A3118">
            <w:pPr>
              <w:rPr>
                <w:rFonts w:eastAsia="Times New Roman"/>
                <w:sz w:val="20"/>
                <w:szCs w:val="20"/>
              </w:rPr>
            </w:pPr>
          </w:p>
        </w:tc>
        <w:tc>
          <w:tcPr>
            <w:tcW w:w="0" w:type="auto"/>
            <w:gridSpan w:val="3"/>
            <w:vAlign w:val="center"/>
            <w:hideMark/>
          </w:tcPr>
          <w:p w14:paraId="3F3660FE" w14:textId="77777777" w:rsidR="00000000" w:rsidRDefault="000A3118">
            <w:pPr>
              <w:rPr>
                <w:rFonts w:eastAsia="Times New Roman"/>
                <w:sz w:val="20"/>
                <w:szCs w:val="20"/>
              </w:rPr>
            </w:pPr>
          </w:p>
        </w:tc>
        <w:tc>
          <w:tcPr>
            <w:tcW w:w="0" w:type="auto"/>
            <w:gridSpan w:val="3"/>
            <w:vAlign w:val="center"/>
            <w:hideMark/>
          </w:tcPr>
          <w:p w14:paraId="2433C8EA" w14:textId="77777777" w:rsidR="00000000" w:rsidRDefault="000A3118">
            <w:pPr>
              <w:rPr>
                <w:rFonts w:eastAsia="Times New Roman"/>
                <w:sz w:val="20"/>
                <w:szCs w:val="20"/>
              </w:rPr>
            </w:pPr>
          </w:p>
        </w:tc>
        <w:tc>
          <w:tcPr>
            <w:tcW w:w="0" w:type="auto"/>
            <w:gridSpan w:val="3"/>
            <w:vAlign w:val="center"/>
            <w:hideMark/>
          </w:tcPr>
          <w:p w14:paraId="71AF8E46" w14:textId="77777777" w:rsidR="00000000" w:rsidRDefault="000A3118">
            <w:pPr>
              <w:rPr>
                <w:rFonts w:eastAsia="Times New Roman"/>
                <w:sz w:val="20"/>
                <w:szCs w:val="20"/>
              </w:rPr>
            </w:pPr>
          </w:p>
        </w:tc>
      </w:tr>
      <w:tr w:rsidR="00000000" w14:paraId="7573162B" w14:textId="77777777">
        <w:trPr>
          <w:divId w:val="927807743"/>
          <w:jc w:val="center"/>
        </w:trPr>
        <w:tc>
          <w:tcPr>
            <w:tcW w:w="0" w:type="auto"/>
            <w:gridSpan w:val="3"/>
            <w:vAlign w:val="center"/>
            <w:hideMark/>
          </w:tcPr>
          <w:p w14:paraId="3E38D2FF" w14:textId="77777777" w:rsidR="00000000" w:rsidRDefault="000A3118">
            <w:pPr>
              <w:rPr>
                <w:rFonts w:eastAsia="Times New Roman"/>
                <w:sz w:val="20"/>
                <w:szCs w:val="20"/>
              </w:rPr>
            </w:pPr>
          </w:p>
        </w:tc>
        <w:tc>
          <w:tcPr>
            <w:tcW w:w="0" w:type="auto"/>
            <w:gridSpan w:val="3"/>
            <w:vAlign w:val="center"/>
            <w:hideMark/>
          </w:tcPr>
          <w:p w14:paraId="2503656B" w14:textId="77777777" w:rsidR="00000000" w:rsidRDefault="000A3118">
            <w:pPr>
              <w:rPr>
                <w:rFonts w:eastAsia="Times New Roman"/>
                <w:sz w:val="20"/>
                <w:szCs w:val="20"/>
              </w:rPr>
            </w:pPr>
          </w:p>
        </w:tc>
        <w:tc>
          <w:tcPr>
            <w:tcW w:w="0" w:type="auto"/>
            <w:gridSpan w:val="3"/>
            <w:vAlign w:val="center"/>
            <w:hideMark/>
          </w:tcPr>
          <w:p w14:paraId="0E56791D" w14:textId="77777777" w:rsidR="00000000" w:rsidRDefault="000A3118">
            <w:pPr>
              <w:rPr>
                <w:rFonts w:eastAsia="Times New Roman"/>
                <w:sz w:val="20"/>
                <w:szCs w:val="20"/>
              </w:rPr>
            </w:pPr>
          </w:p>
        </w:tc>
        <w:tc>
          <w:tcPr>
            <w:tcW w:w="0" w:type="auto"/>
            <w:gridSpan w:val="3"/>
            <w:vAlign w:val="center"/>
            <w:hideMark/>
          </w:tcPr>
          <w:p w14:paraId="26710CB4" w14:textId="77777777" w:rsidR="00000000" w:rsidRDefault="000A3118">
            <w:pPr>
              <w:rPr>
                <w:rFonts w:eastAsia="Times New Roman"/>
                <w:sz w:val="20"/>
                <w:szCs w:val="20"/>
              </w:rPr>
            </w:pPr>
          </w:p>
        </w:tc>
        <w:tc>
          <w:tcPr>
            <w:tcW w:w="0" w:type="auto"/>
            <w:gridSpan w:val="3"/>
            <w:vAlign w:val="center"/>
            <w:hideMark/>
          </w:tcPr>
          <w:p w14:paraId="5A010D96" w14:textId="77777777" w:rsidR="00000000" w:rsidRDefault="000A3118">
            <w:pPr>
              <w:rPr>
                <w:rFonts w:eastAsia="Times New Roman"/>
                <w:sz w:val="20"/>
                <w:szCs w:val="20"/>
              </w:rPr>
            </w:pPr>
          </w:p>
        </w:tc>
      </w:tr>
      <w:tr w:rsidR="00000000" w14:paraId="602AE28E" w14:textId="77777777">
        <w:trPr>
          <w:divId w:val="927807743"/>
          <w:jc w:val="center"/>
        </w:trPr>
        <w:tc>
          <w:tcPr>
            <w:tcW w:w="0" w:type="auto"/>
            <w:gridSpan w:val="3"/>
            <w:vAlign w:val="center"/>
            <w:hideMark/>
          </w:tcPr>
          <w:p w14:paraId="5B26784A" w14:textId="77777777" w:rsidR="00000000" w:rsidRDefault="000A3118">
            <w:pPr>
              <w:rPr>
                <w:rFonts w:eastAsia="Times New Roman"/>
                <w:sz w:val="20"/>
                <w:szCs w:val="20"/>
              </w:rPr>
            </w:pPr>
          </w:p>
        </w:tc>
        <w:tc>
          <w:tcPr>
            <w:tcW w:w="0" w:type="auto"/>
            <w:gridSpan w:val="3"/>
            <w:vAlign w:val="center"/>
            <w:hideMark/>
          </w:tcPr>
          <w:p w14:paraId="6DE194B5" w14:textId="77777777" w:rsidR="00000000" w:rsidRDefault="000A3118">
            <w:pPr>
              <w:rPr>
                <w:rFonts w:eastAsia="Times New Roman"/>
                <w:sz w:val="20"/>
                <w:szCs w:val="20"/>
              </w:rPr>
            </w:pPr>
          </w:p>
        </w:tc>
        <w:tc>
          <w:tcPr>
            <w:tcW w:w="0" w:type="auto"/>
            <w:gridSpan w:val="3"/>
            <w:vAlign w:val="center"/>
            <w:hideMark/>
          </w:tcPr>
          <w:p w14:paraId="0212DE31" w14:textId="77777777" w:rsidR="00000000" w:rsidRDefault="000A3118">
            <w:pPr>
              <w:rPr>
                <w:rFonts w:eastAsia="Times New Roman"/>
                <w:sz w:val="20"/>
                <w:szCs w:val="20"/>
              </w:rPr>
            </w:pPr>
          </w:p>
        </w:tc>
        <w:tc>
          <w:tcPr>
            <w:tcW w:w="0" w:type="auto"/>
            <w:gridSpan w:val="3"/>
            <w:vAlign w:val="center"/>
            <w:hideMark/>
          </w:tcPr>
          <w:p w14:paraId="28E2A9C9" w14:textId="77777777" w:rsidR="00000000" w:rsidRDefault="000A3118">
            <w:pPr>
              <w:rPr>
                <w:rFonts w:eastAsia="Times New Roman"/>
                <w:sz w:val="20"/>
                <w:szCs w:val="20"/>
              </w:rPr>
            </w:pPr>
          </w:p>
        </w:tc>
        <w:tc>
          <w:tcPr>
            <w:tcW w:w="0" w:type="auto"/>
            <w:gridSpan w:val="3"/>
            <w:vAlign w:val="center"/>
            <w:hideMark/>
          </w:tcPr>
          <w:p w14:paraId="1A984F67" w14:textId="77777777" w:rsidR="00000000" w:rsidRDefault="000A3118">
            <w:pPr>
              <w:rPr>
                <w:rFonts w:eastAsia="Times New Roman"/>
                <w:sz w:val="20"/>
                <w:szCs w:val="20"/>
              </w:rPr>
            </w:pPr>
          </w:p>
        </w:tc>
      </w:tr>
      <w:tr w:rsidR="00000000" w14:paraId="3A77D5B6" w14:textId="77777777">
        <w:trPr>
          <w:divId w:val="927807743"/>
          <w:jc w:val="center"/>
        </w:trPr>
        <w:tc>
          <w:tcPr>
            <w:tcW w:w="0" w:type="auto"/>
            <w:gridSpan w:val="3"/>
            <w:vAlign w:val="center"/>
            <w:hideMark/>
          </w:tcPr>
          <w:p w14:paraId="68424E01" w14:textId="77777777" w:rsidR="00000000" w:rsidRDefault="000A3118">
            <w:pPr>
              <w:rPr>
                <w:rFonts w:eastAsia="Times New Roman"/>
                <w:sz w:val="20"/>
                <w:szCs w:val="20"/>
              </w:rPr>
            </w:pPr>
          </w:p>
        </w:tc>
        <w:tc>
          <w:tcPr>
            <w:tcW w:w="0" w:type="auto"/>
            <w:gridSpan w:val="3"/>
            <w:vAlign w:val="center"/>
            <w:hideMark/>
          </w:tcPr>
          <w:p w14:paraId="52B77632" w14:textId="77777777" w:rsidR="00000000" w:rsidRDefault="000A3118">
            <w:pPr>
              <w:rPr>
                <w:rFonts w:eastAsia="Times New Roman"/>
                <w:sz w:val="20"/>
                <w:szCs w:val="20"/>
              </w:rPr>
            </w:pPr>
          </w:p>
        </w:tc>
        <w:tc>
          <w:tcPr>
            <w:tcW w:w="0" w:type="auto"/>
            <w:gridSpan w:val="3"/>
            <w:vAlign w:val="center"/>
            <w:hideMark/>
          </w:tcPr>
          <w:p w14:paraId="633E4357" w14:textId="77777777" w:rsidR="00000000" w:rsidRDefault="000A3118">
            <w:pPr>
              <w:rPr>
                <w:rFonts w:eastAsia="Times New Roman"/>
                <w:sz w:val="20"/>
                <w:szCs w:val="20"/>
              </w:rPr>
            </w:pPr>
          </w:p>
        </w:tc>
        <w:tc>
          <w:tcPr>
            <w:tcW w:w="0" w:type="auto"/>
            <w:gridSpan w:val="3"/>
            <w:vAlign w:val="center"/>
            <w:hideMark/>
          </w:tcPr>
          <w:p w14:paraId="66AA3F03" w14:textId="77777777" w:rsidR="00000000" w:rsidRDefault="000A3118">
            <w:pPr>
              <w:rPr>
                <w:rFonts w:eastAsia="Times New Roman"/>
                <w:sz w:val="20"/>
                <w:szCs w:val="20"/>
              </w:rPr>
            </w:pPr>
          </w:p>
        </w:tc>
        <w:tc>
          <w:tcPr>
            <w:tcW w:w="0" w:type="auto"/>
            <w:gridSpan w:val="3"/>
            <w:vAlign w:val="center"/>
            <w:hideMark/>
          </w:tcPr>
          <w:p w14:paraId="2C405133" w14:textId="77777777" w:rsidR="00000000" w:rsidRDefault="000A3118">
            <w:pPr>
              <w:rPr>
                <w:rFonts w:eastAsia="Times New Roman"/>
                <w:sz w:val="20"/>
                <w:szCs w:val="20"/>
              </w:rPr>
            </w:pPr>
          </w:p>
        </w:tc>
      </w:tr>
      <w:tr w:rsidR="00000000" w14:paraId="0E2E77CA" w14:textId="77777777">
        <w:trPr>
          <w:divId w:val="927807743"/>
          <w:jc w:val="center"/>
        </w:trPr>
        <w:tc>
          <w:tcPr>
            <w:tcW w:w="0" w:type="auto"/>
            <w:gridSpan w:val="3"/>
            <w:vAlign w:val="center"/>
            <w:hideMark/>
          </w:tcPr>
          <w:p w14:paraId="224E8C33" w14:textId="77777777" w:rsidR="00000000" w:rsidRDefault="000A3118">
            <w:pPr>
              <w:rPr>
                <w:rFonts w:eastAsia="Times New Roman"/>
                <w:sz w:val="20"/>
                <w:szCs w:val="20"/>
              </w:rPr>
            </w:pPr>
          </w:p>
        </w:tc>
        <w:tc>
          <w:tcPr>
            <w:tcW w:w="0" w:type="auto"/>
            <w:gridSpan w:val="3"/>
            <w:vAlign w:val="center"/>
            <w:hideMark/>
          </w:tcPr>
          <w:p w14:paraId="3A653547" w14:textId="77777777" w:rsidR="00000000" w:rsidRDefault="000A3118">
            <w:pPr>
              <w:rPr>
                <w:rFonts w:eastAsia="Times New Roman"/>
                <w:sz w:val="20"/>
                <w:szCs w:val="20"/>
              </w:rPr>
            </w:pPr>
          </w:p>
        </w:tc>
        <w:tc>
          <w:tcPr>
            <w:tcW w:w="0" w:type="auto"/>
            <w:gridSpan w:val="3"/>
            <w:vAlign w:val="center"/>
            <w:hideMark/>
          </w:tcPr>
          <w:p w14:paraId="57B9B9D6" w14:textId="77777777" w:rsidR="00000000" w:rsidRDefault="000A3118">
            <w:pPr>
              <w:rPr>
                <w:rFonts w:eastAsia="Times New Roman"/>
                <w:sz w:val="20"/>
                <w:szCs w:val="20"/>
              </w:rPr>
            </w:pPr>
          </w:p>
        </w:tc>
        <w:tc>
          <w:tcPr>
            <w:tcW w:w="0" w:type="auto"/>
            <w:gridSpan w:val="3"/>
            <w:vAlign w:val="center"/>
            <w:hideMark/>
          </w:tcPr>
          <w:p w14:paraId="0B1B26CE" w14:textId="77777777" w:rsidR="00000000" w:rsidRDefault="000A3118">
            <w:pPr>
              <w:rPr>
                <w:rFonts w:eastAsia="Times New Roman"/>
                <w:sz w:val="20"/>
                <w:szCs w:val="20"/>
              </w:rPr>
            </w:pPr>
          </w:p>
        </w:tc>
        <w:tc>
          <w:tcPr>
            <w:tcW w:w="0" w:type="auto"/>
            <w:gridSpan w:val="3"/>
            <w:vAlign w:val="center"/>
            <w:hideMark/>
          </w:tcPr>
          <w:p w14:paraId="2BAC5B11" w14:textId="77777777" w:rsidR="00000000" w:rsidRDefault="000A3118">
            <w:pPr>
              <w:rPr>
                <w:rFonts w:eastAsia="Times New Roman"/>
                <w:sz w:val="20"/>
                <w:szCs w:val="20"/>
              </w:rPr>
            </w:pPr>
          </w:p>
        </w:tc>
      </w:tr>
      <w:tr w:rsidR="00000000" w14:paraId="12837B5B" w14:textId="77777777">
        <w:trPr>
          <w:divId w:val="927807743"/>
          <w:jc w:val="center"/>
        </w:trPr>
        <w:tc>
          <w:tcPr>
            <w:tcW w:w="0" w:type="auto"/>
            <w:gridSpan w:val="3"/>
            <w:vAlign w:val="center"/>
            <w:hideMark/>
          </w:tcPr>
          <w:p w14:paraId="27B64757" w14:textId="77777777" w:rsidR="00000000" w:rsidRDefault="000A3118">
            <w:pPr>
              <w:rPr>
                <w:rFonts w:eastAsia="Times New Roman"/>
                <w:sz w:val="20"/>
                <w:szCs w:val="20"/>
              </w:rPr>
            </w:pPr>
          </w:p>
        </w:tc>
        <w:tc>
          <w:tcPr>
            <w:tcW w:w="0" w:type="auto"/>
            <w:gridSpan w:val="3"/>
            <w:vAlign w:val="center"/>
            <w:hideMark/>
          </w:tcPr>
          <w:p w14:paraId="16DBAEF9" w14:textId="77777777" w:rsidR="00000000" w:rsidRDefault="000A3118">
            <w:pPr>
              <w:rPr>
                <w:rFonts w:eastAsia="Times New Roman"/>
                <w:sz w:val="20"/>
                <w:szCs w:val="20"/>
              </w:rPr>
            </w:pPr>
          </w:p>
        </w:tc>
        <w:tc>
          <w:tcPr>
            <w:tcW w:w="0" w:type="auto"/>
            <w:gridSpan w:val="3"/>
            <w:vAlign w:val="center"/>
            <w:hideMark/>
          </w:tcPr>
          <w:p w14:paraId="04D43C2F" w14:textId="77777777" w:rsidR="00000000" w:rsidRDefault="000A3118">
            <w:pPr>
              <w:rPr>
                <w:rFonts w:eastAsia="Times New Roman"/>
                <w:sz w:val="20"/>
                <w:szCs w:val="20"/>
              </w:rPr>
            </w:pPr>
          </w:p>
        </w:tc>
        <w:tc>
          <w:tcPr>
            <w:tcW w:w="0" w:type="auto"/>
            <w:gridSpan w:val="3"/>
            <w:vAlign w:val="center"/>
            <w:hideMark/>
          </w:tcPr>
          <w:p w14:paraId="5D15939D" w14:textId="77777777" w:rsidR="00000000" w:rsidRDefault="000A3118">
            <w:pPr>
              <w:rPr>
                <w:rFonts w:eastAsia="Times New Roman"/>
                <w:sz w:val="20"/>
                <w:szCs w:val="20"/>
              </w:rPr>
            </w:pPr>
          </w:p>
        </w:tc>
        <w:tc>
          <w:tcPr>
            <w:tcW w:w="0" w:type="auto"/>
            <w:gridSpan w:val="3"/>
            <w:vAlign w:val="center"/>
            <w:hideMark/>
          </w:tcPr>
          <w:p w14:paraId="1FCCE540" w14:textId="77777777" w:rsidR="00000000" w:rsidRDefault="000A3118">
            <w:pPr>
              <w:rPr>
                <w:rFonts w:eastAsia="Times New Roman"/>
                <w:sz w:val="20"/>
                <w:szCs w:val="20"/>
              </w:rPr>
            </w:pPr>
          </w:p>
        </w:tc>
      </w:tr>
      <w:tr w:rsidR="00000000" w14:paraId="676B7CA3" w14:textId="77777777">
        <w:trPr>
          <w:divId w:val="927807743"/>
          <w:jc w:val="center"/>
        </w:trPr>
        <w:tc>
          <w:tcPr>
            <w:tcW w:w="0" w:type="auto"/>
            <w:gridSpan w:val="3"/>
            <w:vAlign w:val="center"/>
            <w:hideMark/>
          </w:tcPr>
          <w:p w14:paraId="592000E3" w14:textId="77777777" w:rsidR="00000000" w:rsidRDefault="000A3118">
            <w:pPr>
              <w:rPr>
                <w:rFonts w:eastAsia="Times New Roman"/>
                <w:sz w:val="20"/>
                <w:szCs w:val="20"/>
              </w:rPr>
            </w:pPr>
          </w:p>
        </w:tc>
        <w:tc>
          <w:tcPr>
            <w:tcW w:w="0" w:type="auto"/>
            <w:gridSpan w:val="3"/>
            <w:vAlign w:val="center"/>
            <w:hideMark/>
          </w:tcPr>
          <w:p w14:paraId="3BCEF276" w14:textId="77777777" w:rsidR="00000000" w:rsidRDefault="000A3118">
            <w:pPr>
              <w:rPr>
                <w:rFonts w:eastAsia="Times New Roman"/>
                <w:sz w:val="20"/>
                <w:szCs w:val="20"/>
              </w:rPr>
            </w:pPr>
          </w:p>
        </w:tc>
        <w:tc>
          <w:tcPr>
            <w:tcW w:w="0" w:type="auto"/>
            <w:gridSpan w:val="3"/>
            <w:vAlign w:val="center"/>
            <w:hideMark/>
          </w:tcPr>
          <w:p w14:paraId="0D386539" w14:textId="77777777" w:rsidR="00000000" w:rsidRDefault="000A3118">
            <w:pPr>
              <w:rPr>
                <w:rFonts w:eastAsia="Times New Roman"/>
                <w:sz w:val="20"/>
                <w:szCs w:val="20"/>
              </w:rPr>
            </w:pPr>
          </w:p>
        </w:tc>
        <w:tc>
          <w:tcPr>
            <w:tcW w:w="0" w:type="auto"/>
            <w:gridSpan w:val="3"/>
            <w:vAlign w:val="center"/>
            <w:hideMark/>
          </w:tcPr>
          <w:p w14:paraId="478FF2B4" w14:textId="77777777" w:rsidR="00000000" w:rsidRDefault="000A3118">
            <w:pPr>
              <w:rPr>
                <w:rFonts w:eastAsia="Times New Roman"/>
                <w:sz w:val="20"/>
                <w:szCs w:val="20"/>
              </w:rPr>
            </w:pPr>
          </w:p>
        </w:tc>
        <w:tc>
          <w:tcPr>
            <w:tcW w:w="0" w:type="auto"/>
            <w:gridSpan w:val="3"/>
            <w:vAlign w:val="center"/>
            <w:hideMark/>
          </w:tcPr>
          <w:p w14:paraId="785EC9AA" w14:textId="77777777" w:rsidR="00000000" w:rsidRDefault="000A3118">
            <w:pPr>
              <w:rPr>
                <w:rFonts w:eastAsia="Times New Roman"/>
                <w:sz w:val="20"/>
                <w:szCs w:val="20"/>
              </w:rPr>
            </w:pPr>
          </w:p>
        </w:tc>
      </w:tr>
      <w:tr w:rsidR="00000000" w14:paraId="32C5098F" w14:textId="77777777">
        <w:trPr>
          <w:divId w:val="927807743"/>
          <w:jc w:val="center"/>
        </w:trPr>
        <w:tc>
          <w:tcPr>
            <w:tcW w:w="0" w:type="auto"/>
            <w:gridSpan w:val="3"/>
            <w:vAlign w:val="center"/>
            <w:hideMark/>
          </w:tcPr>
          <w:p w14:paraId="2199590D" w14:textId="77777777" w:rsidR="00000000" w:rsidRDefault="000A3118">
            <w:pPr>
              <w:rPr>
                <w:rFonts w:eastAsia="Times New Roman"/>
                <w:sz w:val="20"/>
                <w:szCs w:val="20"/>
              </w:rPr>
            </w:pPr>
          </w:p>
        </w:tc>
        <w:tc>
          <w:tcPr>
            <w:tcW w:w="0" w:type="auto"/>
            <w:gridSpan w:val="3"/>
            <w:vAlign w:val="center"/>
            <w:hideMark/>
          </w:tcPr>
          <w:p w14:paraId="12FA076A" w14:textId="77777777" w:rsidR="00000000" w:rsidRDefault="000A3118">
            <w:pPr>
              <w:rPr>
                <w:rFonts w:eastAsia="Times New Roman"/>
                <w:sz w:val="20"/>
                <w:szCs w:val="20"/>
              </w:rPr>
            </w:pPr>
          </w:p>
        </w:tc>
        <w:tc>
          <w:tcPr>
            <w:tcW w:w="0" w:type="auto"/>
            <w:gridSpan w:val="3"/>
            <w:vAlign w:val="center"/>
            <w:hideMark/>
          </w:tcPr>
          <w:p w14:paraId="1CFB301F" w14:textId="77777777" w:rsidR="00000000" w:rsidRDefault="000A3118">
            <w:pPr>
              <w:rPr>
                <w:rFonts w:eastAsia="Times New Roman"/>
                <w:sz w:val="20"/>
                <w:szCs w:val="20"/>
              </w:rPr>
            </w:pPr>
          </w:p>
        </w:tc>
        <w:tc>
          <w:tcPr>
            <w:tcW w:w="0" w:type="auto"/>
            <w:gridSpan w:val="3"/>
            <w:vAlign w:val="center"/>
            <w:hideMark/>
          </w:tcPr>
          <w:p w14:paraId="6B71DB18" w14:textId="77777777" w:rsidR="00000000" w:rsidRDefault="000A3118">
            <w:pPr>
              <w:rPr>
                <w:rFonts w:eastAsia="Times New Roman"/>
                <w:sz w:val="20"/>
                <w:szCs w:val="20"/>
              </w:rPr>
            </w:pPr>
          </w:p>
        </w:tc>
        <w:tc>
          <w:tcPr>
            <w:tcW w:w="0" w:type="auto"/>
            <w:gridSpan w:val="3"/>
            <w:vAlign w:val="center"/>
            <w:hideMark/>
          </w:tcPr>
          <w:p w14:paraId="09EF0CA7" w14:textId="77777777" w:rsidR="00000000" w:rsidRDefault="000A3118">
            <w:pPr>
              <w:rPr>
                <w:rFonts w:eastAsia="Times New Roman"/>
                <w:sz w:val="20"/>
                <w:szCs w:val="20"/>
              </w:rPr>
            </w:pPr>
          </w:p>
        </w:tc>
      </w:tr>
      <w:tr w:rsidR="00000000" w14:paraId="7AAB27E8" w14:textId="77777777">
        <w:trPr>
          <w:divId w:val="927807743"/>
          <w:jc w:val="center"/>
        </w:trPr>
        <w:tc>
          <w:tcPr>
            <w:tcW w:w="0" w:type="auto"/>
            <w:gridSpan w:val="3"/>
            <w:vAlign w:val="center"/>
            <w:hideMark/>
          </w:tcPr>
          <w:p w14:paraId="4C0C70D7" w14:textId="77777777" w:rsidR="00000000" w:rsidRDefault="000A3118">
            <w:pPr>
              <w:rPr>
                <w:rFonts w:eastAsia="Times New Roman"/>
                <w:sz w:val="20"/>
                <w:szCs w:val="20"/>
              </w:rPr>
            </w:pPr>
          </w:p>
        </w:tc>
        <w:tc>
          <w:tcPr>
            <w:tcW w:w="0" w:type="auto"/>
            <w:gridSpan w:val="3"/>
            <w:vAlign w:val="center"/>
            <w:hideMark/>
          </w:tcPr>
          <w:p w14:paraId="1451C34C" w14:textId="77777777" w:rsidR="00000000" w:rsidRDefault="000A3118">
            <w:pPr>
              <w:rPr>
                <w:rFonts w:eastAsia="Times New Roman"/>
                <w:sz w:val="20"/>
                <w:szCs w:val="20"/>
              </w:rPr>
            </w:pPr>
          </w:p>
        </w:tc>
        <w:tc>
          <w:tcPr>
            <w:tcW w:w="0" w:type="auto"/>
            <w:gridSpan w:val="3"/>
            <w:vAlign w:val="center"/>
            <w:hideMark/>
          </w:tcPr>
          <w:p w14:paraId="1FBDF043" w14:textId="77777777" w:rsidR="00000000" w:rsidRDefault="000A3118">
            <w:pPr>
              <w:rPr>
                <w:rFonts w:eastAsia="Times New Roman"/>
                <w:sz w:val="20"/>
                <w:szCs w:val="20"/>
              </w:rPr>
            </w:pPr>
          </w:p>
        </w:tc>
        <w:tc>
          <w:tcPr>
            <w:tcW w:w="0" w:type="auto"/>
            <w:gridSpan w:val="3"/>
            <w:vAlign w:val="center"/>
            <w:hideMark/>
          </w:tcPr>
          <w:p w14:paraId="54B6EFEA" w14:textId="77777777" w:rsidR="00000000" w:rsidRDefault="000A3118">
            <w:pPr>
              <w:rPr>
                <w:rFonts w:eastAsia="Times New Roman"/>
                <w:sz w:val="20"/>
                <w:szCs w:val="20"/>
              </w:rPr>
            </w:pPr>
          </w:p>
        </w:tc>
        <w:tc>
          <w:tcPr>
            <w:tcW w:w="0" w:type="auto"/>
            <w:gridSpan w:val="3"/>
            <w:vAlign w:val="center"/>
            <w:hideMark/>
          </w:tcPr>
          <w:p w14:paraId="091EB8FB" w14:textId="77777777" w:rsidR="00000000" w:rsidRDefault="000A3118">
            <w:pPr>
              <w:rPr>
                <w:rFonts w:eastAsia="Times New Roman"/>
                <w:sz w:val="20"/>
                <w:szCs w:val="20"/>
              </w:rPr>
            </w:pPr>
          </w:p>
        </w:tc>
      </w:tr>
      <w:tr w:rsidR="00000000" w14:paraId="3490CF35" w14:textId="77777777">
        <w:trPr>
          <w:divId w:val="927807743"/>
          <w:jc w:val="center"/>
        </w:trPr>
        <w:tc>
          <w:tcPr>
            <w:tcW w:w="0" w:type="auto"/>
            <w:gridSpan w:val="3"/>
            <w:vAlign w:val="center"/>
            <w:hideMark/>
          </w:tcPr>
          <w:p w14:paraId="1326EE5D" w14:textId="77777777" w:rsidR="00000000" w:rsidRDefault="000A3118">
            <w:pPr>
              <w:rPr>
                <w:rFonts w:eastAsia="Times New Roman"/>
                <w:sz w:val="20"/>
                <w:szCs w:val="20"/>
              </w:rPr>
            </w:pPr>
          </w:p>
        </w:tc>
        <w:tc>
          <w:tcPr>
            <w:tcW w:w="0" w:type="auto"/>
            <w:gridSpan w:val="3"/>
            <w:vAlign w:val="center"/>
            <w:hideMark/>
          </w:tcPr>
          <w:p w14:paraId="57931BA8" w14:textId="77777777" w:rsidR="00000000" w:rsidRDefault="000A3118">
            <w:pPr>
              <w:rPr>
                <w:rFonts w:eastAsia="Times New Roman"/>
                <w:sz w:val="20"/>
                <w:szCs w:val="20"/>
              </w:rPr>
            </w:pPr>
          </w:p>
        </w:tc>
        <w:tc>
          <w:tcPr>
            <w:tcW w:w="0" w:type="auto"/>
            <w:gridSpan w:val="3"/>
            <w:vAlign w:val="center"/>
            <w:hideMark/>
          </w:tcPr>
          <w:p w14:paraId="4198ECE0" w14:textId="77777777" w:rsidR="00000000" w:rsidRDefault="000A3118">
            <w:pPr>
              <w:rPr>
                <w:rFonts w:eastAsia="Times New Roman"/>
                <w:sz w:val="20"/>
                <w:szCs w:val="20"/>
              </w:rPr>
            </w:pPr>
          </w:p>
        </w:tc>
        <w:tc>
          <w:tcPr>
            <w:tcW w:w="0" w:type="auto"/>
            <w:gridSpan w:val="3"/>
            <w:vAlign w:val="center"/>
            <w:hideMark/>
          </w:tcPr>
          <w:p w14:paraId="22C415FC" w14:textId="77777777" w:rsidR="00000000" w:rsidRDefault="000A3118">
            <w:pPr>
              <w:rPr>
                <w:rFonts w:eastAsia="Times New Roman"/>
                <w:sz w:val="20"/>
                <w:szCs w:val="20"/>
              </w:rPr>
            </w:pPr>
          </w:p>
        </w:tc>
        <w:tc>
          <w:tcPr>
            <w:tcW w:w="0" w:type="auto"/>
            <w:gridSpan w:val="3"/>
            <w:vAlign w:val="center"/>
            <w:hideMark/>
          </w:tcPr>
          <w:p w14:paraId="578C1865" w14:textId="77777777" w:rsidR="00000000" w:rsidRDefault="000A3118">
            <w:pPr>
              <w:rPr>
                <w:rFonts w:eastAsia="Times New Roman"/>
                <w:sz w:val="20"/>
                <w:szCs w:val="20"/>
              </w:rPr>
            </w:pPr>
          </w:p>
        </w:tc>
      </w:tr>
      <w:tr w:rsidR="00000000" w14:paraId="34266084" w14:textId="77777777">
        <w:trPr>
          <w:divId w:val="927807743"/>
          <w:jc w:val="center"/>
        </w:trPr>
        <w:tc>
          <w:tcPr>
            <w:tcW w:w="0" w:type="auto"/>
            <w:gridSpan w:val="3"/>
            <w:vAlign w:val="center"/>
            <w:hideMark/>
          </w:tcPr>
          <w:p w14:paraId="3269E90A" w14:textId="77777777" w:rsidR="00000000" w:rsidRDefault="000A3118">
            <w:pPr>
              <w:rPr>
                <w:rFonts w:eastAsia="Times New Roman"/>
                <w:sz w:val="20"/>
                <w:szCs w:val="20"/>
              </w:rPr>
            </w:pPr>
          </w:p>
        </w:tc>
        <w:tc>
          <w:tcPr>
            <w:tcW w:w="0" w:type="auto"/>
            <w:gridSpan w:val="3"/>
            <w:vAlign w:val="center"/>
            <w:hideMark/>
          </w:tcPr>
          <w:p w14:paraId="241DF4BC" w14:textId="77777777" w:rsidR="00000000" w:rsidRDefault="000A3118">
            <w:pPr>
              <w:rPr>
                <w:rFonts w:eastAsia="Times New Roman"/>
                <w:sz w:val="20"/>
                <w:szCs w:val="20"/>
              </w:rPr>
            </w:pPr>
          </w:p>
        </w:tc>
        <w:tc>
          <w:tcPr>
            <w:tcW w:w="0" w:type="auto"/>
            <w:gridSpan w:val="3"/>
            <w:vAlign w:val="center"/>
            <w:hideMark/>
          </w:tcPr>
          <w:p w14:paraId="2C428A71" w14:textId="77777777" w:rsidR="00000000" w:rsidRDefault="000A3118">
            <w:pPr>
              <w:rPr>
                <w:rFonts w:eastAsia="Times New Roman"/>
                <w:sz w:val="20"/>
                <w:szCs w:val="20"/>
              </w:rPr>
            </w:pPr>
          </w:p>
        </w:tc>
        <w:tc>
          <w:tcPr>
            <w:tcW w:w="0" w:type="auto"/>
            <w:gridSpan w:val="3"/>
            <w:vAlign w:val="center"/>
            <w:hideMark/>
          </w:tcPr>
          <w:p w14:paraId="0FC5E918" w14:textId="77777777" w:rsidR="00000000" w:rsidRDefault="000A3118">
            <w:pPr>
              <w:rPr>
                <w:rFonts w:eastAsia="Times New Roman"/>
                <w:sz w:val="20"/>
                <w:szCs w:val="20"/>
              </w:rPr>
            </w:pPr>
          </w:p>
        </w:tc>
        <w:tc>
          <w:tcPr>
            <w:tcW w:w="0" w:type="auto"/>
            <w:gridSpan w:val="3"/>
            <w:vAlign w:val="center"/>
            <w:hideMark/>
          </w:tcPr>
          <w:p w14:paraId="368C019B" w14:textId="77777777" w:rsidR="00000000" w:rsidRDefault="000A3118">
            <w:pPr>
              <w:rPr>
                <w:rFonts w:eastAsia="Times New Roman"/>
                <w:sz w:val="20"/>
                <w:szCs w:val="20"/>
              </w:rPr>
            </w:pPr>
          </w:p>
        </w:tc>
      </w:tr>
      <w:tr w:rsidR="00000000" w14:paraId="544252AB" w14:textId="77777777">
        <w:trPr>
          <w:divId w:val="927807743"/>
          <w:jc w:val="center"/>
        </w:trPr>
        <w:tc>
          <w:tcPr>
            <w:tcW w:w="0" w:type="auto"/>
            <w:gridSpan w:val="3"/>
            <w:vAlign w:val="center"/>
            <w:hideMark/>
          </w:tcPr>
          <w:p w14:paraId="3F516D30" w14:textId="77777777" w:rsidR="00000000" w:rsidRDefault="000A3118">
            <w:pPr>
              <w:rPr>
                <w:rFonts w:eastAsia="Times New Roman"/>
                <w:sz w:val="20"/>
                <w:szCs w:val="20"/>
              </w:rPr>
            </w:pPr>
          </w:p>
        </w:tc>
        <w:tc>
          <w:tcPr>
            <w:tcW w:w="0" w:type="auto"/>
            <w:gridSpan w:val="3"/>
            <w:vAlign w:val="center"/>
            <w:hideMark/>
          </w:tcPr>
          <w:p w14:paraId="31D69DFC" w14:textId="77777777" w:rsidR="00000000" w:rsidRDefault="000A3118">
            <w:pPr>
              <w:rPr>
                <w:rFonts w:eastAsia="Times New Roman"/>
                <w:sz w:val="20"/>
                <w:szCs w:val="20"/>
              </w:rPr>
            </w:pPr>
          </w:p>
        </w:tc>
        <w:tc>
          <w:tcPr>
            <w:tcW w:w="0" w:type="auto"/>
            <w:gridSpan w:val="3"/>
            <w:vAlign w:val="center"/>
            <w:hideMark/>
          </w:tcPr>
          <w:p w14:paraId="11779455" w14:textId="77777777" w:rsidR="00000000" w:rsidRDefault="000A3118">
            <w:pPr>
              <w:rPr>
                <w:rFonts w:eastAsia="Times New Roman"/>
                <w:sz w:val="20"/>
                <w:szCs w:val="20"/>
              </w:rPr>
            </w:pPr>
          </w:p>
        </w:tc>
        <w:tc>
          <w:tcPr>
            <w:tcW w:w="0" w:type="auto"/>
            <w:gridSpan w:val="3"/>
            <w:vAlign w:val="center"/>
            <w:hideMark/>
          </w:tcPr>
          <w:p w14:paraId="338234CE" w14:textId="77777777" w:rsidR="00000000" w:rsidRDefault="000A3118">
            <w:pPr>
              <w:rPr>
                <w:rFonts w:eastAsia="Times New Roman"/>
                <w:sz w:val="20"/>
                <w:szCs w:val="20"/>
              </w:rPr>
            </w:pPr>
          </w:p>
        </w:tc>
        <w:tc>
          <w:tcPr>
            <w:tcW w:w="0" w:type="auto"/>
            <w:gridSpan w:val="3"/>
            <w:vAlign w:val="center"/>
            <w:hideMark/>
          </w:tcPr>
          <w:p w14:paraId="253097F5" w14:textId="77777777" w:rsidR="00000000" w:rsidRDefault="000A3118">
            <w:pPr>
              <w:rPr>
                <w:rFonts w:eastAsia="Times New Roman"/>
                <w:sz w:val="20"/>
                <w:szCs w:val="20"/>
              </w:rPr>
            </w:pPr>
          </w:p>
        </w:tc>
      </w:tr>
      <w:tr w:rsidR="00000000" w14:paraId="79EADC70" w14:textId="77777777">
        <w:trPr>
          <w:divId w:val="927807743"/>
          <w:jc w:val="center"/>
        </w:trPr>
        <w:tc>
          <w:tcPr>
            <w:tcW w:w="0" w:type="auto"/>
            <w:gridSpan w:val="3"/>
            <w:vAlign w:val="center"/>
            <w:hideMark/>
          </w:tcPr>
          <w:p w14:paraId="0F6A3A99" w14:textId="77777777" w:rsidR="00000000" w:rsidRDefault="000A3118">
            <w:pPr>
              <w:rPr>
                <w:rFonts w:eastAsia="Times New Roman"/>
                <w:sz w:val="20"/>
                <w:szCs w:val="20"/>
              </w:rPr>
            </w:pPr>
          </w:p>
        </w:tc>
        <w:tc>
          <w:tcPr>
            <w:tcW w:w="0" w:type="auto"/>
            <w:gridSpan w:val="3"/>
            <w:vAlign w:val="center"/>
            <w:hideMark/>
          </w:tcPr>
          <w:p w14:paraId="7956B634" w14:textId="77777777" w:rsidR="00000000" w:rsidRDefault="000A3118">
            <w:pPr>
              <w:rPr>
                <w:rFonts w:eastAsia="Times New Roman"/>
                <w:sz w:val="20"/>
                <w:szCs w:val="20"/>
              </w:rPr>
            </w:pPr>
          </w:p>
        </w:tc>
        <w:tc>
          <w:tcPr>
            <w:tcW w:w="0" w:type="auto"/>
            <w:gridSpan w:val="3"/>
            <w:vAlign w:val="center"/>
            <w:hideMark/>
          </w:tcPr>
          <w:p w14:paraId="0E98D2B1" w14:textId="77777777" w:rsidR="00000000" w:rsidRDefault="000A3118">
            <w:pPr>
              <w:rPr>
                <w:rFonts w:eastAsia="Times New Roman"/>
                <w:sz w:val="20"/>
                <w:szCs w:val="20"/>
              </w:rPr>
            </w:pPr>
          </w:p>
        </w:tc>
        <w:tc>
          <w:tcPr>
            <w:tcW w:w="0" w:type="auto"/>
            <w:gridSpan w:val="3"/>
            <w:vAlign w:val="center"/>
            <w:hideMark/>
          </w:tcPr>
          <w:p w14:paraId="17D79610" w14:textId="77777777" w:rsidR="00000000" w:rsidRDefault="000A3118">
            <w:pPr>
              <w:rPr>
                <w:rFonts w:eastAsia="Times New Roman"/>
                <w:sz w:val="20"/>
                <w:szCs w:val="20"/>
              </w:rPr>
            </w:pPr>
          </w:p>
        </w:tc>
        <w:tc>
          <w:tcPr>
            <w:tcW w:w="0" w:type="auto"/>
            <w:gridSpan w:val="3"/>
            <w:vAlign w:val="center"/>
            <w:hideMark/>
          </w:tcPr>
          <w:p w14:paraId="44A49B69" w14:textId="77777777" w:rsidR="00000000" w:rsidRDefault="000A3118">
            <w:pPr>
              <w:rPr>
                <w:rFonts w:eastAsia="Times New Roman"/>
                <w:sz w:val="20"/>
                <w:szCs w:val="20"/>
              </w:rPr>
            </w:pPr>
          </w:p>
        </w:tc>
      </w:tr>
      <w:tr w:rsidR="00000000" w14:paraId="657E933F" w14:textId="77777777">
        <w:trPr>
          <w:divId w:val="927807743"/>
          <w:jc w:val="center"/>
        </w:trPr>
        <w:tc>
          <w:tcPr>
            <w:tcW w:w="0" w:type="auto"/>
            <w:gridSpan w:val="3"/>
            <w:vAlign w:val="center"/>
            <w:hideMark/>
          </w:tcPr>
          <w:p w14:paraId="4217B7F6" w14:textId="77777777" w:rsidR="00000000" w:rsidRDefault="000A3118">
            <w:pPr>
              <w:rPr>
                <w:rFonts w:eastAsia="Times New Roman"/>
                <w:sz w:val="20"/>
                <w:szCs w:val="20"/>
              </w:rPr>
            </w:pPr>
          </w:p>
        </w:tc>
        <w:tc>
          <w:tcPr>
            <w:tcW w:w="0" w:type="auto"/>
            <w:gridSpan w:val="3"/>
            <w:vAlign w:val="center"/>
            <w:hideMark/>
          </w:tcPr>
          <w:p w14:paraId="22F93B33" w14:textId="77777777" w:rsidR="00000000" w:rsidRDefault="000A3118">
            <w:pPr>
              <w:rPr>
                <w:rFonts w:eastAsia="Times New Roman"/>
                <w:sz w:val="20"/>
                <w:szCs w:val="20"/>
              </w:rPr>
            </w:pPr>
          </w:p>
        </w:tc>
        <w:tc>
          <w:tcPr>
            <w:tcW w:w="0" w:type="auto"/>
            <w:gridSpan w:val="3"/>
            <w:vAlign w:val="center"/>
            <w:hideMark/>
          </w:tcPr>
          <w:p w14:paraId="4E60DD68" w14:textId="77777777" w:rsidR="00000000" w:rsidRDefault="000A3118">
            <w:pPr>
              <w:rPr>
                <w:rFonts w:eastAsia="Times New Roman"/>
                <w:sz w:val="20"/>
                <w:szCs w:val="20"/>
              </w:rPr>
            </w:pPr>
          </w:p>
        </w:tc>
        <w:tc>
          <w:tcPr>
            <w:tcW w:w="0" w:type="auto"/>
            <w:gridSpan w:val="3"/>
            <w:vAlign w:val="center"/>
            <w:hideMark/>
          </w:tcPr>
          <w:p w14:paraId="751ABC5D" w14:textId="77777777" w:rsidR="00000000" w:rsidRDefault="000A3118">
            <w:pPr>
              <w:rPr>
                <w:rFonts w:eastAsia="Times New Roman"/>
                <w:sz w:val="20"/>
                <w:szCs w:val="20"/>
              </w:rPr>
            </w:pPr>
          </w:p>
        </w:tc>
        <w:tc>
          <w:tcPr>
            <w:tcW w:w="0" w:type="auto"/>
            <w:gridSpan w:val="3"/>
            <w:vAlign w:val="center"/>
            <w:hideMark/>
          </w:tcPr>
          <w:p w14:paraId="1DB936F8" w14:textId="77777777" w:rsidR="00000000" w:rsidRDefault="000A3118">
            <w:pPr>
              <w:rPr>
                <w:rFonts w:eastAsia="Times New Roman"/>
                <w:sz w:val="20"/>
                <w:szCs w:val="20"/>
              </w:rPr>
            </w:pPr>
          </w:p>
        </w:tc>
      </w:tr>
      <w:tr w:rsidR="00000000" w14:paraId="520AEA76" w14:textId="77777777">
        <w:trPr>
          <w:divId w:val="927807743"/>
          <w:jc w:val="center"/>
        </w:trPr>
        <w:tc>
          <w:tcPr>
            <w:tcW w:w="0" w:type="auto"/>
            <w:gridSpan w:val="3"/>
            <w:vAlign w:val="center"/>
            <w:hideMark/>
          </w:tcPr>
          <w:p w14:paraId="43E3B8D8" w14:textId="77777777" w:rsidR="00000000" w:rsidRDefault="000A3118">
            <w:pPr>
              <w:rPr>
                <w:rFonts w:eastAsia="Times New Roman"/>
                <w:sz w:val="20"/>
                <w:szCs w:val="20"/>
              </w:rPr>
            </w:pPr>
          </w:p>
        </w:tc>
        <w:tc>
          <w:tcPr>
            <w:tcW w:w="0" w:type="auto"/>
            <w:gridSpan w:val="3"/>
            <w:vAlign w:val="center"/>
            <w:hideMark/>
          </w:tcPr>
          <w:p w14:paraId="123711F6" w14:textId="77777777" w:rsidR="00000000" w:rsidRDefault="000A3118">
            <w:pPr>
              <w:rPr>
                <w:rFonts w:eastAsia="Times New Roman"/>
                <w:sz w:val="20"/>
                <w:szCs w:val="20"/>
              </w:rPr>
            </w:pPr>
          </w:p>
        </w:tc>
        <w:tc>
          <w:tcPr>
            <w:tcW w:w="0" w:type="auto"/>
            <w:gridSpan w:val="3"/>
            <w:vAlign w:val="center"/>
            <w:hideMark/>
          </w:tcPr>
          <w:p w14:paraId="65B8B586" w14:textId="77777777" w:rsidR="00000000" w:rsidRDefault="000A3118">
            <w:pPr>
              <w:rPr>
                <w:rFonts w:eastAsia="Times New Roman"/>
                <w:sz w:val="20"/>
                <w:szCs w:val="20"/>
              </w:rPr>
            </w:pPr>
          </w:p>
        </w:tc>
        <w:tc>
          <w:tcPr>
            <w:tcW w:w="0" w:type="auto"/>
            <w:gridSpan w:val="3"/>
            <w:vAlign w:val="center"/>
            <w:hideMark/>
          </w:tcPr>
          <w:p w14:paraId="7A18C77E" w14:textId="77777777" w:rsidR="00000000" w:rsidRDefault="000A3118">
            <w:pPr>
              <w:rPr>
                <w:rFonts w:eastAsia="Times New Roman"/>
                <w:sz w:val="20"/>
                <w:szCs w:val="20"/>
              </w:rPr>
            </w:pPr>
          </w:p>
        </w:tc>
        <w:tc>
          <w:tcPr>
            <w:tcW w:w="0" w:type="auto"/>
            <w:gridSpan w:val="3"/>
            <w:vAlign w:val="center"/>
            <w:hideMark/>
          </w:tcPr>
          <w:p w14:paraId="23AA299B" w14:textId="77777777" w:rsidR="00000000" w:rsidRDefault="000A3118">
            <w:pPr>
              <w:rPr>
                <w:rFonts w:eastAsia="Times New Roman"/>
                <w:sz w:val="20"/>
                <w:szCs w:val="20"/>
              </w:rPr>
            </w:pPr>
          </w:p>
        </w:tc>
      </w:tr>
      <w:tr w:rsidR="00000000" w14:paraId="162F1EB0" w14:textId="77777777">
        <w:trPr>
          <w:divId w:val="927807743"/>
          <w:jc w:val="center"/>
        </w:trPr>
        <w:tc>
          <w:tcPr>
            <w:tcW w:w="0" w:type="auto"/>
            <w:gridSpan w:val="3"/>
            <w:vAlign w:val="center"/>
            <w:hideMark/>
          </w:tcPr>
          <w:p w14:paraId="07D191D4" w14:textId="77777777" w:rsidR="00000000" w:rsidRDefault="000A3118">
            <w:pPr>
              <w:rPr>
                <w:rFonts w:eastAsia="Times New Roman"/>
                <w:sz w:val="20"/>
                <w:szCs w:val="20"/>
              </w:rPr>
            </w:pPr>
          </w:p>
        </w:tc>
        <w:tc>
          <w:tcPr>
            <w:tcW w:w="0" w:type="auto"/>
            <w:gridSpan w:val="3"/>
            <w:vAlign w:val="center"/>
            <w:hideMark/>
          </w:tcPr>
          <w:p w14:paraId="0DD42725" w14:textId="77777777" w:rsidR="00000000" w:rsidRDefault="000A3118">
            <w:pPr>
              <w:rPr>
                <w:rFonts w:eastAsia="Times New Roman"/>
                <w:sz w:val="20"/>
                <w:szCs w:val="20"/>
              </w:rPr>
            </w:pPr>
          </w:p>
        </w:tc>
        <w:tc>
          <w:tcPr>
            <w:tcW w:w="0" w:type="auto"/>
            <w:gridSpan w:val="3"/>
            <w:vAlign w:val="center"/>
            <w:hideMark/>
          </w:tcPr>
          <w:p w14:paraId="1EEE619A" w14:textId="77777777" w:rsidR="00000000" w:rsidRDefault="000A3118">
            <w:pPr>
              <w:rPr>
                <w:rFonts w:eastAsia="Times New Roman"/>
                <w:sz w:val="20"/>
                <w:szCs w:val="20"/>
              </w:rPr>
            </w:pPr>
          </w:p>
        </w:tc>
        <w:tc>
          <w:tcPr>
            <w:tcW w:w="0" w:type="auto"/>
            <w:gridSpan w:val="3"/>
            <w:vAlign w:val="center"/>
            <w:hideMark/>
          </w:tcPr>
          <w:p w14:paraId="3A231C66" w14:textId="77777777" w:rsidR="00000000" w:rsidRDefault="000A3118">
            <w:pPr>
              <w:rPr>
                <w:rFonts w:eastAsia="Times New Roman"/>
                <w:sz w:val="20"/>
                <w:szCs w:val="20"/>
              </w:rPr>
            </w:pPr>
          </w:p>
        </w:tc>
        <w:tc>
          <w:tcPr>
            <w:tcW w:w="0" w:type="auto"/>
            <w:gridSpan w:val="3"/>
            <w:vAlign w:val="center"/>
            <w:hideMark/>
          </w:tcPr>
          <w:p w14:paraId="70054B85" w14:textId="77777777" w:rsidR="00000000" w:rsidRDefault="000A3118">
            <w:pPr>
              <w:rPr>
                <w:rFonts w:eastAsia="Times New Roman"/>
                <w:sz w:val="20"/>
                <w:szCs w:val="20"/>
              </w:rPr>
            </w:pPr>
          </w:p>
        </w:tc>
      </w:tr>
      <w:tr w:rsidR="00000000" w14:paraId="63DD2E8E" w14:textId="77777777">
        <w:trPr>
          <w:divId w:val="927807743"/>
          <w:jc w:val="center"/>
        </w:trPr>
        <w:tc>
          <w:tcPr>
            <w:tcW w:w="0" w:type="auto"/>
            <w:gridSpan w:val="3"/>
            <w:vAlign w:val="center"/>
            <w:hideMark/>
          </w:tcPr>
          <w:p w14:paraId="28B8F2AC" w14:textId="77777777" w:rsidR="00000000" w:rsidRDefault="000A3118">
            <w:pPr>
              <w:rPr>
                <w:rFonts w:eastAsia="Times New Roman"/>
                <w:sz w:val="20"/>
                <w:szCs w:val="20"/>
              </w:rPr>
            </w:pPr>
          </w:p>
        </w:tc>
        <w:tc>
          <w:tcPr>
            <w:tcW w:w="0" w:type="auto"/>
            <w:gridSpan w:val="3"/>
            <w:vAlign w:val="center"/>
            <w:hideMark/>
          </w:tcPr>
          <w:p w14:paraId="5A4274D1" w14:textId="77777777" w:rsidR="00000000" w:rsidRDefault="000A3118">
            <w:pPr>
              <w:rPr>
                <w:rFonts w:eastAsia="Times New Roman"/>
                <w:sz w:val="20"/>
                <w:szCs w:val="20"/>
              </w:rPr>
            </w:pPr>
          </w:p>
        </w:tc>
        <w:tc>
          <w:tcPr>
            <w:tcW w:w="0" w:type="auto"/>
            <w:gridSpan w:val="3"/>
            <w:vAlign w:val="center"/>
            <w:hideMark/>
          </w:tcPr>
          <w:p w14:paraId="428868F1" w14:textId="77777777" w:rsidR="00000000" w:rsidRDefault="000A3118">
            <w:pPr>
              <w:rPr>
                <w:rFonts w:eastAsia="Times New Roman"/>
                <w:sz w:val="20"/>
                <w:szCs w:val="20"/>
              </w:rPr>
            </w:pPr>
          </w:p>
        </w:tc>
        <w:tc>
          <w:tcPr>
            <w:tcW w:w="0" w:type="auto"/>
            <w:gridSpan w:val="3"/>
            <w:vAlign w:val="center"/>
            <w:hideMark/>
          </w:tcPr>
          <w:p w14:paraId="062EB86D" w14:textId="77777777" w:rsidR="00000000" w:rsidRDefault="000A3118">
            <w:pPr>
              <w:rPr>
                <w:rFonts w:eastAsia="Times New Roman"/>
                <w:sz w:val="20"/>
                <w:szCs w:val="20"/>
              </w:rPr>
            </w:pPr>
          </w:p>
        </w:tc>
        <w:tc>
          <w:tcPr>
            <w:tcW w:w="0" w:type="auto"/>
            <w:gridSpan w:val="3"/>
            <w:vAlign w:val="center"/>
            <w:hideMark/>
          </w:tcPr>
          <w:p w14:paraId="4965DD07" w14:textId="77777777" w:rsidR="00000000" w:rsidRDefault="000A3118">
            <w:pPr>
              <w:rPr>
                <w:rFonts w:eastAsia="Times New Roman"/>
                <w:sz w:val="20"/>
                <w:szCs w:val="20"/>
              </w:rPr>
            </w:pPr>
          </w:p>
        </w:tc>
      </w:tr>
      <w:tr w:rsidR="00000000" w14:paraId="0EF2071F" w14:textId="77777777">
        <w:trPr>
          <w:divId w:val="927807743"/>
          <w:jc w:val="center"/>
        </w:trPr>
        <w:tc>
          <w:tcPr>
            <w:tcW w:w="0" w:type="auto"/>
            <w:gridSpan w:val="3"/>
            <w:vAlign w:val="center"/>
            <w:hideMark/>
          </w:tcPr>
          <w:p w14:paraId="374FF5B2" w14:textId="77777777" w:rsidR="00000000" w:rsidRDefault="000A3118">
            <w:pPr>
              <w:rPr>
                <w:rFonts w:eastAsia="Times New Roman"/>
                <w:sz w:val="20"/>
                <w:szCs w:val="20"/>
              </w:rPr>
            </w:pPr>
          </w:p>
        </w:tc>
        <w:tc>
          <w:tcPr>
            <w:tcW w:w="0" w:type="auto"/>
            <w:gridSpan w:val="3"/>
            <w:vAlign w:val="center"/>
            <w:hideMark/>
          </w:tcPr>
          <w:p w14:paraId="11918E06" w14:textId="77777777" w:rsidR="00000000" w:rsidRDefault="000A3118">
            <w:pPr>
              <w:rPr>
                <w:rFonts w:eastAsia="Times New Roman"/>
                <w:sz w:val="20"/>
                <w:szCs w:val="20"/>
              </w:rPr>
            </w:pPr>
          </w:p>
        </w:tc>
        <w:tc>
          <w:tcPr>
            <w:tcW w:w="0" w:type="auto"/>
            <w:gridSpan w:val="3"/>
            <w:vAlign w:val="center"/>
            <w:hideMark/>
          </w:tcPr>
          <w:p w14:paraId="18024649" w14:textId="77777777" w:rsidR="00000000" w:rsidRDefault="000A3118">
            <w:pPr>
              <w:rPr>
                <w:rFonts w:eastAsia="Times New Roman"/>
                <w:sz w:val="20"/>
                <w:szCs w:val="20"/>
              </w:rPr>
            </w:pPr>
          </w:p>
        </w:tc>
        <w:tc>
          <w:tcPr>
            <w:tcW w:w="0" w:type="auto"/>
            <w:gridSpan w:val="3"/>
            <w:vAlign w:val="center"/>
            <w:hideMark/>
          </w:tcPr>
          <w:p w14:paraId="2A4F2AA6" w14:textId="77777777" w:rsidR="00000000" w:rsidRDefault="000A3118">
            <w:pPr>
              <w:rPr>
                <w:rFonts w:eastAsia="Times New Roman"/>
                <w:sz w:val="20"/>
                <w:szCs w:val="20"/>
              </w:rPr>
            </w:pPr>
          </w:p>
        </w:tc>
        <w:tc>
          <w:tcPr>
            <w:tcW w:w="0" w:type="auto"/>
            <w:gridSpan w:val="3"/>
            <w:vAlign w:val="center"/>
            <w:hideMark/>
          </w:tcPr>
          <w:p w14:paraId="3A23EAC3" w14:textId="77777777" w:rsidR="00000000" w:rsidRDefault="000A3118">
            <w:pPr>
              <w:rPr>
                <w:rFonts w:eastAsia="Times New Roman"/>
                <w:sz w:val="20"/>
                <w:szCs w:val="20"/>
              </w:rPr>
            </w:pPr>
          </w:p>
        </w:tc>
      </w:tr>
      <w:tr w:rsidR="00000000" w14:paraId="32FE9148" w14:textId="77777777">
        <w:trPr>
          <w:divId w:val="927807743"/>
          <w:jc w:val="center"/>
        </w:trPr>
        <w:tc>
          <w:tcPr>
            <w:tcW w:w="0" w:type="auto"/>
            <w:gridSpan w:val="3"/>
            <w:vAlign w:val="center"/>
            <w:hideMark/>
          </w:tcPr>
          <w:p w14:paraId="7607E04A" w14:textId="77777777" w:rsidR="00000000" w:rsidRDefault="000A3118">
            <w:pPr>
              <w:rPr>
                <w:rFonts w:eastAsia="Times New Roman"/>
                <w:sz w:val="20"/>
                <w:szCs w:val="20"/>
              </w:rPr>
            </w:pPr>
          </w:p>
        </w:tc>
        <w:tc>
          <w:tcPr>
            <w:tcW w:w="0" w:type="auto"/>
            <w:gridSpan w:val="3"/>
            <w:vAlign w:val="center"/>
            <w:hideMark/>
          </w:tcPr>
          <w:p w14:paraId="27346148" w14:textId="77777777" w:rsidR="00000000" w:rsidRDefault="000A3118">
            <w:pPr>
              <w:rPr>
                <w:rFonts w:eastAsia="Times New Roman"/>
                <w:sz w:val="20"/>
                <w:szCs w:val="20"/>
              </w:rPr>
            </w:pPr>
          </w:p>
        </w:tc>
        <w:tc>
          <w:tcPr>
            <w:tcW w:w="0" w:type="auto"/>
            <w:gridSpan w:val="3"/>
            <w:vAlign w:val="center"/>
            <w:hideMark/>
          </w:tcPr>
          <w:p w14:paraId="1F84DE4D" w14:textId="77777777" w:rsidR="00000000" w:rsidRDefault="000A3118">
            <w:pPr>
              <w:rPr>
                <w:rFonts w:eastAsia="Times New Roman"/>
                <w:sz w:val="20"/>
                <w:szCs w:val="20"/>
              </w:rPr>
            </w:pPr>
          </w:p>
        </w:tc>
        <w:tc>
          <w:tcPr>
            <w:tcW w:w="0" w:type="auto"/>
            <w:gridSpan w:val="3"/>
            <w:vAlign w:val="center"/>
            <w:hideMark/>
          </w:tcPr>
          <w:p w14:paraId="4750ECF7" w14:textId="77777777" w:rsidR="00000000" w:rsidRDefault="000A3118">
            <w:pPr>
              <w:rPr>
                <w:rFonts w:eastAsia="Times New Roman"/>
                <w:sz w:val="20"/>
                <w:szCs w:val="20"/>
              </w:rPr>
            </w:pPr>
          </w:p>
        </w:tc>
        <w:tc>
          <w:tcPr>
            <w:tcW w:w="0" w:type="auto"/>
            <w:gridSpan w:val="3"/>
            <w:vAlign w:val="center"/>
            <w:hideMark/>
          </w:tcPr>
          <w:p w14:paraId="069F9407" w14:textId="77777777" w:rsidR="00000000" w:rsidRDefault="000A3118">
            <w:pPr>
              <w:rPr>
                <w:rFonts w:eastAsia="Times New Roman"/>
                <w:sz w:val="20"/>
                <w:szCs w:val="20"/>
              </w:rPr>
            </w:pPr>
          </w:p>
        </w:tc>
      </w:tr>
      <w:tr w:rsidR="00000000" w14:paraId="247C86DE" w14:textId="77777777">
        <w:trPr>
          <w:divId w:val="927807743"/>
          <w:jc w:val="center"/>
        </w:trPr>
        <w:tc>
          <w:tcPr>
            <w:tcW w:w="0" w:type="auto"/>
            <w:gridSpan w:val="3"/>
            <w:vAlign w:val="center"/>
            <w:hideMark/>
          </w:tcPr>
          <w:p w14:paraId="6B184E98" w14:textId="77777777" w:rsidR="00000000" w:rsidRDefault="000A3118">
            <w:pPr>
              <w:rPr>
                <w:rFonts w:eastAsia="Times New Roman"/>
                <w:sz w:val="20"/>
                <w:szCs w:val="20"/>
              </w:rPr>
            </w:pPr>
          </w:p>
        </w:tc>
        <w:tc>
          <w:tcPr>
            <w:tcW w:w="0" w:type="auto"/>
            <w:gridSpan w:val="3"/>
            <w:vAlign w:val="center"/>
            <w:hideMark/>
          </w:tcPr>
          <w:p w14:paraId="1E8C1C73" w14:textId="77777777" w:rsidR="00000000" w:rsidRDefault="000A3118">
            <w:pPr>
              <w:rPr>
                <w:rFonts w:eastAsia="Times New Roman"/>
                <w:sz w:val="20"/>
                <w:szCs w:val="20"/>
              </w:rPr>
            </w:pPr>
          </w:p>
        </w:tc>
        <w:tc>
          <w:tcPr>
            <w:tcW w:w="0" w:type="auto"/>
            <w:gridSpan w:val="3"/>
            <w:vAlign w:val="center"/>
            <w:hideMark/>
          </w:tcPr>
          <w:p w14:paraId="002C2BBE" w14:textId="77777777" w:rsidR="00000000" w:rsidRDefault="000A3118">
            <w:pPr>
              <w:rPr>
                <w:rFonts w:eastAsia="Times New Roman"/>
                <w:sz w:val="20"/>
                <w:szCs w:val="20"/>
              </w:rPr>
            </w:pPr>
          </w:p>
        </w:tc>
        <w:tc>
          <w:tcPr>
            <w:tcW w:w="0" w:type="auto"/>
            <w:gridSpan w:val="3"/>
            <w:vAlign w:val="center"/>
            <w:hideMark/>
          </w:tcPr>
          <w:p w14:paraId="3996C1D6" w14:textId="77777777" w:rsidR="00000000" w:rsidRDefault="000A3118">
            <w:pPr>
              <w:rPr>
                <w:rFonts w:eastAsia="Times New Roman"/>
                <w:sz w:val="20"/>
                <w:szCs w:val="20"/>
              </w:rPr>
            </w:pPr>
          </w:p>
        </w:tc>
        <w:tc>
          <w:tcPr>
            <w:tcW w:w="0" w:type="auto"/>
            <w:gridSpan w:val="3"/>
            <w:vAlign w:val="center"/>
            <w:hideMark/>
          </w:tcPr>
          <w:p w14:paraId="6796EFDB" w14:textId="77777777" w:rsidR="00000000" w:rsidRDefault="000A3118">
            <w:pPr>
              <w:rPr>
                <w:rFonts w:eastAsia="Times New Roman"/>
                <w:sz w:val="20"/>
                <w:szCs w:val="20"/>
              </w:rPr>
            </w:pPr>
          </w:p>
        </w:tc>
      </w:tr>
      <w:tr w:rsidR="00000000" w14:paraId="29D511BD" w14:textId="77777777">
        <w:trPr>
          <w:divId w:val="927807743"/>
          <w:jc w:val="center"/>
        </w:trPr>
        <w:tc>
          <w:tcPr>
            <w:tcW w:w="0" w:type="auto"/>
            <w:gridSpan w:val="3"/>
            <w:vAlign w:val="center"/>
            <w:hideMark/>
          </w:tcPr>
          <w:p w14:paraId="584EB21D" w14:textId="77777777" w:rsidR="00000000" w:rsidRDefault="000A3118">
            <w:pPr>
              <w:rPr>
                <w:rFonts w:eastAsia="Times New Roman"/>
                <w:sz w:val="20"/>
                <w:szCs w:val="20"/>
              </w:rPr>
            </w:pPr>
          </w:p>
        </w:tc>
        <w:tc>
          <w:tcPr>
            <w:tcW w:w="0" w:type="auto"/>
            <w:gridSpan w:val="3"/>
            <w:vAlign w:val="center"/>
            <w:hideMark/>
          </w:tcPr>
          <w:p w14:paraId="5E13D69A" w14:textId="77777777" w:rsidR="00000000" w:rsidRDefault="000A3118">
            <w:pPr>
              <w:rPr>
                <w:rFonts w:eastAsia="Times New Roman"/>
                <w:sz w:val="20"/>
                <w:szCs w:val="20"/>
              </w:rPr>
            </w:pPr>
          </w:p>
        </w:tc>
        <w:tc>
          <w:tcPr>
            <w:tcW w:w="0" w:type="auto"/>
            <w:gridSpan w:val="3"/>
            <w:vAlign w:val="center"/>
            <w:hideMark/>
          </w:tcPr>
          <w:p w14:paraId="3A1CCA81" w14:textId="77777777" w:rsidR="00000000" w:rsidRDefault="000A3118">
            <w:pPr>
              <w:rPr>
                <w:rFonts w:eastAsia="Times New Roman"/>
                <w:sz w:val="20"/>
                <w:szCs w:val="20"/>
              </w:rPr>
            </w:pPr>
          </w:p>
        </w:tc>
        <w:tc>
          <w:tcPr>
            <w:tcW w:w="0" w:type="auto"/>
            <w:gridSpan w:val="3"/>
            <w:vAlign w:val="center"/>
            <w:hideMark/>
          </w:tcPr>
          <w:p w14:paraId="7D919AAA" w14:textId="77777777" w:rsidR="00000000" w:rsidRDefault="000A3118">
            <w:pPr>
              <w:rPr>
                <w:rFonts w:eastAsia="Times New Roman"/>
                <w:sz w:val="20"/>
                <w:szCs w:val="20"/>
              </w:rPr>
            </w:pPr>
          </w:p>
        </w:tc>
        <w:tc>
          <w:tcPr>
            <w:tcW w:w="0" w:type="auto"/>
            <w:gridSpan w:val="3"/>
            <w:vAlign w:val="center"/>
            <w:hideMark/>
          </w:tcPr>
          <w:p w14:paraId="55E769DC" w14:textId="77777777" w:rsidR="00000000" w:rsidRDefault="000A3118">
            <w:pPr>
              <w:rPr>
                <w:rFonts w:eastAsia="Times New Roman"/>
                <w:sz w:val="20"/>
                <w:szCs w:val="20"/>
              </w:rPr>
            </w:pPr>
          </w:p>
        </w:tc>
      </w:tr>
      <w:tr w:rsidR="00000000" w14:paraId="79E71918" w14:textId="77777777">
        <w:trPr>
          <w:divId w:val="927807743"/>
          <w:jc w:val="center"/>
        </w:trPr>
        <w:tc>
          <w:tcPr>
            <w:tcW w:w="0" w:type="auto"/>
            <w:gridSpan w:val="3"/>
            <w:vAlign w:val="center"/>
            <w:hideMark/>
          </w:tcPr>
          <w:p w14:paraId="6E1639F4" w14:textId="77777777" w:rsidR="00000000" w:rsidRDefault="000A3118">
            <w:pPr>
              <w:rPr>
                <w:rFonts w:eastAsia="Times New Roman"/>
                <w:sz w:val="20"/>
                <w:szCs w:val="20"/>
              </w:rPr>
            </w:pPr>
          </w:p>
        </w:tc>
        <w:tc>
          <w:tcPr>
            <w:tcW w:w="0" w:type="auto"/>
            <w:gridSpan w:val="3"/>
            <w:vAlign w:val="center"/>
            <w:hideMark/>
          </w:tcPr>
          <w:p w14:paraId="65BA2B9E" w14:textId="77777777" w:rsidR="00000000" w:rsidRDefault="000A3118">
            <w:pPr>
              <w:rPr>
                <w:rFonts w:eastAsia="Times New Roman"/>
                <w:sz w:val="20"/>
                <w:szCs w:val="20"/>
              </w:rPr>
            </w:pPr>
          </w:p>
        </w:tc>
        <w:tc>
          <w:tcPr>
            <w:tcW w:w="0" w:type="auto"/>
            <w:gridSpan w:val="3"/>
            <w:vAlign w:val="center"/>
            <w:hideMark/>
          </w:tcPr>
          <w:p w14:paraId="32282E7B" w14:textId="77777777" w:rsidR="00000000" w:rsidRDefault="000A3118">
            <w:pPr>
              <w:rPr>
                <w:rFonts w:eastAsia="Times New Roman"/>
                <w:sz w:val="20"/>
                <w:szCs w:val="20"/>
              </w:rPr>
            </w:pPr>
          </w:p>
        </w:tc>
        <w:tc>
          <w:tcPr>
            <w:tcW w:w="0" w:type="auto"/>
            <w:gridSpan w:val="3"/>
            <w:vAlign w:val="center"/>
            <w:hideMark/>
          </w:tcPr>
          <w:p w14:paraId="4A8BF59B" w14:textId="77777777" w:rsidR="00000000" w:rsidRDefault="000A3118">
            <w:pPr>
              <w:rPr>
                <w:rFonts w:eastAsia="Times New Roman"/>
                <w:sz w:val="20"/>
                <w:szCs w:val="20"/>
              </w:rPr>
            </w:pPr>
          </w:p>
        </w:tc>
        <w:tc>
          <w:tcPr>
            <w:tcW w:w="0" w:type="auto"/>
            <w:gridSpan w:val="3"/>
            <w:vAlign w:val="center"/>
            <w:hideMark/>
          </w:tcPr>
          <w:p w14:paraId="765A1BBD" w14:textId="77777777" w:rsidR="00000000" w:rsidRDefault="000A3118">
            <w:pPr>
              <w:rPr>
                <w:rFonts w:eastAsia="Times New Roman"/>
                <w:sz w:val="20"/>
                <w:szCs w:val="20"/>
              </w:rPr>
            </w:pPr>
          </w:p>
        </w:tc>
      </w:tr>
      <w:tr w:rsidR="00000000" w14:paraId="69AB71F0" w14:textId="77777777">
        <w:trPr>
          <w:divId w:val="927807743"/>
          <w:jc w:val="center"/>
        </w:trPr>
        <w:tc>
          <w:tcPr>
            <w:tcW w:w="0" w:type="auto"/>
            <w:gridSpan w:val="3"/>
            <w:vAlign w:val="center"/>
            <w:hideMark/>
          </w:tcPr>
          <w:p w14:paraId="31BA9C3D" w14:textId="77777777" w:rsidR="00000000" w:rsidRDefault="000A3118">
            <w:pPr>
              <w:rPr>
                <w:rFonts w:eastAsia="Times New Roman"/>
                <w:sz w:val="20"/>
                <w:szCs w:val="20"/>
              </w:rPr>
            </w:pPr>
          </w:p>
        </w:tc>
        <w:tc>
          <w:tcPr>
            <w:tcW w:w="0" w:type="auto"/>
            <w:gridSpan w:val="3"/>
            <w:vAlign w:val="center"/>
            <w:hideMark/>
          </w:tcPr>
          <w:p w14:paraId="5F08A700" w14:textId="77777777" w:rsidR="00000000" w:rsidRDefault="000A3118">
            <w:pPr>
              <w:rPr>
                <w:rFonts w:eastAsia="Times New Roman"/>
                <w:sz w:val="20"/>
                <w:szCs w:val="20"/>
              </w:rPr>
            </w:pPr>
          </w:p>
        </w:tc>
        <w:tc>
          <w:tcPr>
            <w:tcW w:w="0" w:type="auto"/>
            <w:gridSpan w:val="3"/>
            <w:vAlign w:val="center"/>
            <w:hideMark/>
          </w:tcPr>
          <w:p w14:paraId="69FB98D8" w14:textId="77777777" w:rsidR="00000000" w:rsidRDefault="000A3118">
            <w:pPr>
              <w:rPr>
                <w:rFonts w:eastAsia="Times New Roman"/>
                <w:sz w:val="20"/>
                <w:szCs w:val="20"/>
              </w:rPr>
            </w:pPr>
          </w:p>
        </w:tc>
        <w:tc>
          <w:tcPr>
            <w:tcW w:w="0" w:type="auto"/>
            <w:gridSpan w:val="3"/>
            <w:vAlign w:val="center"/>
            <w:hideMark/>
          </w:tcPr>
          <w:p w14:paraId="74237B3F" w14:textId="77777777" w:rsidR="00000000" w:rsidRDefault="000A3118">
            <w:pPr>
              <w:rPr>
                <w:rFonts w:eastAsia="Times New Roman"/>
                <w:sz w:val="20"/>
                <w:szCs w:val="20"/>
              </w:rPr>
            </w:pPr>
          </w:p>
        </w:tc>
        <w:tc>
          <w:tcPr>
            <w:tcW w:w="0" w:type="auto"/>
            <w:gridSpan w:val="3"/>
            <w:vAlign w:val="center"/>
            <w:hideMark/>
          </w:tcPr>
          <w:p w14:paraId="103C057E" w14:textId="77777777" w:rsidR="00000000" w:rsidRDefault="000A3118">
            <w:pPr>
              <w:rPr>
                <w:rFonts w:eastAsia="Times New Roman"/>
                <w:sz w:val="20"/>
                <w:szCs w:val="20"/>
              </w:rPr>
            </w:pPr>
          </w:p>
        </w:tc>
      </w:tr>
      <w:tr w:rsidR="00000000" w14:paraId="63D56CCB" w14:textId="77777777">
        <w:trPr>
          <w:divId w:val="927807743"/>
          <w:jc w:val="center"/>
        </w:trPr>
        <w:tc>
          <w:tcPr>
            <w:tcW w:w="0" w:type="auto"/>
            <w:gridSpan w:val="3"/>
            <w:vAlign w:val="center"/>
            <w:hideMark/>
          </w:tcPr>
          <w:p w14:paraId="713EE2BF" w14:textId="77777777" w:rsidR="00000000" w:rsidRDefault="000A3118">
            <w:pPr>
              <w:rPr>
                <w:rFonts w:eastAsia="Times New Roman"/>
                <w:sz w:val="20"/>
                <w:szCs w:val="20"/>
              </w:rPr>
            </w:pPr>
          </w:p>
        </w:tc>
        <w:tc>
          <w:tcPr>
            <w:tcW w:w="0" w:type="auto"/>
            <w:gridSpan w:val="3"/>
            <w:vAlign w:val="center"/>
            <w:hideMark/>
          </w:tcPr>
          <w:p w14:paraId="148D9C12" w14:textId="77777777" w:rsidR="00000000" w:rsidRDefault="000A3118">
            <w:pPr>
              <w:rPr>
                <w:rFonts w:eastAsia="Times New Roman"/>
                <w:sz w:val="20"/>
                <w:szCs w:val="20"/>
              </w:rPr>
            </w:pPr>
          </w:p>
        </w:tc>
        <w:tc>
          <w:tcPr>
            <w:tcW w:w="0" w:type="auto"/>
            <w:gridSpan w:val="3"/>
            <w:vAlign w:val="center"/>
            <w:hideMark/>
          </w:tcPr>
          <w:p w14:paraId="17A91A8F" w14:textId="77777777" w:rsidR="00000000" w:rsidRDefault="000A3118">
            <w:pPr>
              <w:rPr>
                <w:rFonts w:eastAsia="Times New Roman"/>
                <w:sz w:val="20"/>
                <w:szCs w:val="20"/>
              </w:rPr>
            </w:pPr>
          </w:p>
        </w:tc>
        <w:tc>
          <w:tcPr>
            <w:tcW w:w="0" w:type="auto"/>
            <w:gridSpan w:val="3"/>
            <w:vAlign w:val="center"/>
            <w:hideMark/>
          </w:tcPr>
          <w:p w14:paraId="4D6CA662" w14:textId="77777777" w:rsidR="00000000" w:rsidRDefault="000A3118">
            <w:pPr>
              <w:rPr>
                <w:rFonts w:eastAsia="Times New Roman"/>
                <w:sz w:val="20"/>
                <w:szCs w:val="20"/>
              </w:rPr>
            </w:pPr>
          </w:p>
        </w:tc>
        <w:tc>
          <w:tcPr>
            <w:tcW w:w="0" w:type="auto"/>
            <w:gridSpan w:val="3"/>
            <w:vAlign w:val="center"/>
            <w:hideMark/>
          </w:tcPr>
          <w:p w14:paraId="5C37CD8C" w14:textId="77777777" w:rsidR="00000000" w:rsidRDefault="000A3118">
            <w:pPr>
              <w:rPr>
                <w:rFonts w:eastAsia="Times New Roman"/>
                <w:sz w:val="20"/>
                <w:szCs w:val="20"/>
              </w:rPr>
            </w:pPr>
          </w:p>
        </w:tc>
      </w:tr>
      <w:tr w:rsidR="00000000" w14:paraId="31B1F8B8" w14:textId="77777777">
        <w:trPr>
          <w:divId w:val="927807743"/>
          <w:jc w:val="center"/>
        </w:trPr>
        <w:tc>
          <w:tcPr>
            <w:tcW w:w="0" w:type="auto"/>
            <w:gridSpan w:val="3"/>
            <w:vAlign w:val="center"/>
            <w:hideMark/>
          </w:tcPr>
          <w:p w14:paraId="0DBB8808" w14:textId="77777777" w:rsidR="00000000" w:rsidRDefault="000A3118">
            <w:pPr>
              <w:rPr>
                <w:rFonts w:eastAsia="Times New Roman"/>
                <w:sz w:val="20"/>
                <w:szCs w:val="20"/>
              </w:rPr>
            </w:pPr>
          </w:p>
        </w:tc>
        <w:tc>
          <w:tcPr>
            <w:tcW w:w="0" w:type="auto"/>
            <w:gridSpan w:val="3"/>
            <w:vAlign w:val="center"/>
            <w:hideMark/>
          </w:tcPr>
          <w:p w14:paraId="6E5E5E0A" w14:textId="77777777" w:rsidR="00000000" w:rsidRDefault="000A3118">
            <w:pPr>
              <w:rPr>
                <w:rFonts w:eastAsia="Times New Roman"/>
                <w:sz w:val="20"/>
                <w:szCs w:val="20"/>
              </w:rPr>
            </w:pPr>
          </w:p>
        </w:tc>
        <w:tc>
          <w:tcPr>
            <w:tcW w:w="0" w:type="auto"/>
            <w:gridSpan w:val="3"/>
            <w:vAlign w:val="center"/>
            <w:hideMark/>
          </w:tcPr>
          <w:p w14:paraId="354A9C3F" w14:textId="77777777" w:rsidR="00000000" w:rsidRDefault="000A3118">
            <w:pPr>
              <w:rPr>
                <w:rFonts w:eastAsia="Times New Roman"/>
                <w:sz w:val="20"/>
                <w:szCs w:val="20"/>
              </w:rPr>
            </w:pPr>
          </w:p>
        </w:tc>
        <w:tc>
          <w:tcPr>
            <w:tcW w:w="0" w:type="auto"/>
            <w:gridSpan w:val="3"/>
            <w:vAlign w:val="center"/>
            <w:hideMark/>
          </w:tcPr>
          <w:p w14:paraId="0A58E50C" w14:textId="77777777" w:rsidR="00000000" w:rsidRDefault="000A3118">
            <w:pPr>
              <w:rPr>
                <w:rFonts w:eastAsia="Times New Roman"/>
                <w:sz w:val="20"/>
                <w:szCs w:val="20"/>
              </w:rPr>
            </w:pPr>
          </w:p>
        </w:tc>
        <w:tc>
          <w:tcPr>
            <w:tcW w:w="0" w:type="auto"/>
            <w:gridSpan w:val="3"/>
            <w:vAlign w:val="center"/>
            <w:hideMark/>
          </w:tcPr>
          <w:p w14:paraId="0F57ADC4" w14:textId="77777777" w:rsidR="00000000" w:rsidRDefault="000A3118">
            <w:pPr>
              <w:rPr>
                <w:rFonts w:eastAsia="Times New Roman"/>
                <w:sz w:val="20"/>
                <w:szCs w:val="20"/>
              </w:rPr>
            </w:pPr>
          </w:p>
        </w:tc>
      </w:tr>
      <w:tr w:rsidR="00000000" w14:paraId="5733E6FC" w14:textId="77777777">
        <w:trPr>
          <w:divId w:val="927807743"/>
          <w:jc w:val="center"/>
        </w:trPr>
        <w:tc>
          <w:tcPr>
            <w:tcW w:w="0" w:type="auto"/>
            <w:gridSpan w:val="3"/>
            <w:vAlign w:val="center"/>
            <w:hideMark/>
          </w:tcPr>
          <w:p w14:paraId="139F6D62" w14:textId="77777777" w:rsidR="00000000" w:rsidRDefault="000A3118">
            <w:pPr>
              <w:rPr>
                <w:rFonts w:eastAsia="Times New Roman"/>
                <w:sz w:val="20"/>
                <w:szCs w:val="20"/>
              </w:rPr>
            </w:pPr>
          </w:p>
        </w:tc>
        <w:tc>
          <w:tcPr>
            <w:tcW w:w="0" w:type="auto"/>
            <w:gridSpan w:val="3"/>
            <w:vAlign w:val="center"/>
            <w:hideMark/>
          </w:tcPr>
          <w:p w14:paraId="66340777" w14:textId="77777777" w:rsidR="00000000" w:rsidRDefault="000A3118">
            <w:pPr>
              <w:rPr>
                <w:rFonts w:eastAsia="Times New Roman"/>
                <w:sz w:val="20"/>
                <w:szCs w:val="20"/>
              </w:rPr>
            </w:pPr>
          </w:p>
        </w:tc>
        <w:tc>
          <w:tcPr>
            <w:tcW w:w="0" w:type="auto"/>
            <w:gridSpan w:val="3"/>
            <w:vAlign w:val="center"/>
            <w:hideMark/>
          </w:tcPr>
          <w:p w14:paraId="750F4947" w14:textId="77777777" w:rsidR="00000000" w:rsidRDefault="000A3118">
            <w:pPr>
              <w:rPr>
                <w:rFonts w:eastAsia="Times New Roman"/>
                <w:sz w:val="20"/>
                <w:szCs w:val="20"/>
              </w:rPr>
            </w:pPr>
          </w:p>
        </w:tc>
        <w:tc>
          <w:tcPr>
            <w:tcW w:w="0" w:type="auto"/>
            <w:gridSpan w:val="3"/>
            <w:vAlign w:val="center"/>
            <w:hideMark/>
          </w:tcPr>
          <w:p w14:paraId="667B1BF5" w14:textId="77777777" w:rsidR="00000000" w:rsidRDefault="000A3118">
            <w:pPr>
              <w:rPr>
                <w:rFonts w:eastAsia="Times New Roman"/>
                <w:sz w:val="20"/>
                <w:szCs w:val="20"/>
              </w:rPr>
            </w:pPr>
          </w:p>
        </w:tc>
        <w:tc>
          <w:tcPr>
            <w:tcW w:w="0" w:type="auto"/>
            <w:gridSpan w:val="3"/>
            <w:vAlign w:val="center"/>
            <w:hideMark/>
          </w:tcPr>
          <w:p w14:paraId="1BEC66E4" w14:textId="77777777" w:rsidR="00000000" w:rsidRDefault="000A3118">
            <w:pPr>
              <w:rPr>
                <w:rFonts w:eastAsia="Times New Roman"/>
                <w:sz w:val="20"/>
                <w:szCs w:val="20"/>
              </w:rPr>
            </w:pPr>
          </w:p>
        </w:tc>
      </w:tr>
      <w:tr w:rsidR="00000000" w14:paraId="3041D14E" w14:textId="77777777">
        <w:trPr>
          <w:divId w:val="927807743"/>
          <w:jc w:val="center"/>
        </w:trPr>
        <w:tc>
          <w:tcPr>
            <w:tcW w:w="0" w:type="auto"/>
            <w:gridSpan w:val="3"/>
            <w:vAlign w:val="center"/>
            <w:hideMark/>
          </w:tcPr>
          <w:p w14:paraId="7D312730" w14:textId="77777777" w:rsidR="00000000" w:rsidRDefault="000A3118">
            <w:pPr>
              <w:rPr>
                <w:rFonts w:eastAsia="Times New Roman"/>
                <w:sz w:val="20"/>
                <w:szCs w:val="20"/>
              </w:rPr>
            </w:pPr>
          </w:p>
        </w:tc>
        <w:tc>
          <w:tcPr>
            <w:tcW w:w="0" w:type="auto"/>
            <w:gridSpan w:val="3"/>
            <w:vAlign w:val="center"/>
            <w:hideMark/>
          </w:tcPr>
          <w:p w14:paraId="61B94DE1" w14:textId="77777777" w:rsidR="00000000" w:rsidRDefault="000A3118">
            <w:pPr>
              <w:rPr>
                <w:rFonts w:eastAsia="Times New Roman"/>
                <w:sz w:val="20"/>
                <w:szCs w:val="20"/>
              </w:rPr>
            </w:pPr>
          </w:p>
        </w:tc>
        <w:tc>
          <w:tcPr>
            <w:tcW w:w="0" w:type="auto"/>
            <w:gridSpan w:val="3"/>
            <w:vAlign w:val="center"/>
            <w:hideMark/>
          </w:tcPr>
          <w:p w14:paraId="1CED8AE1" w14:textId="77777777" w:rsidR="00000000" w:rsidRDefault="000A3118">
            <w:pPr>
              <w:rPr>
                <w:rFonts w:eastAsia="Times New Roman"/>
                <w:sz w:val="20"/>
                <w:szCs w:val="20"/>
              </w:rPr>
            </w:pPr>
          </w:p>
        </w:tc>
        <w:tc>
          <w:tcPr>
            <w:tcW w:w="0" w:type="auto"/>
            <w:gridSpan w:val="3"/>
            <w:vAlign w:val="center"/>
            <w:hideMark/>
          </w:tcPr>
          <w:p w14:paraId="5FF5A0EB" w14:textId="77777777" w:rsidR="00000000" w:rsidRDefault="000A3118">
            <w:pPr>
              <w:rPr>
                <w:rFonts w:eastAsia="Times New Roman"/>
                <w:sz w:val="20"/>
                <w:szCs w:val="20"/>
              </w:rPr>
            </w:pPr>
          </w:p>
        </w:tc>
        <w:tc>
          <w:tcPr>
            <w:tcW w:w="0" w:type="auto"/>
            <w:gridSpan w:val="3"/>
            <w:vAlign w:val="center"/>
            <w:hideMark/>
          </w:tcPr>
          <w:p w14:paraId="6D2B46A3" w14:textId="77777777" w:rsidR="00000000" w:rsidRDefault="000A3118">
            <w:pPr>
              <w:rPr>
                <w:rFonts w:eastAsia="Times New Roman"/>
                <w:sz w:val="20"/>
                <w:szCs w:val="20"/>
              </w:rPr>
            </w:pPr>
          </w:p>
        </w:tc>
      </w:tr>
      <w:tr w:rsidR="00000000" w14:paraId="2D747ABC" w14:textId="77777777">
        <w:trPr>
          <w:divId w:val="927807743"/>
          <w:jc w:val="center"/>
        </w:trPr>
        <w:tc>
          <w:tcPr>
            <w:tcW w:w="0" w:type="auto"/>
            <w:gridSpan w:val="3"/>
            <w:vAlign w:val="center"/>
            <w:hideMark/>
          </w:tcPr>
          <w:p w14:paraId="68075B00" w14:textId="77777777" w:rsidR="00000000" w:rsidRDefault="000A3118">
            <w:pPr>
              <w:rPr>
                <w:rFonts w:eastAsia="Times New Roman"/>
                <w:sz w:val="20"/>
                <w:szCs w:val="20"/>
              </w:rPr>
            </w:pPr>
          </w:p>
        </w:tc>
        <w:tc>
          <w:tcPr>
            <w:tcW w:w="0" w:type="auto"/>
            <w:gridSpan w:val="3"/>
            <w:vAlign w:val="center"/>
            <w:hideMark/>
          </w:tcPr>
          <w:p w14:paraId="7D3AFBA5" w14:textId="77777777" w:rsidR="00000000" w:rsidRDefault="000A3118">
            <w:pPr>
              <w:rPr>
                <w:rFonts w:eastAsia="Times New Roman"/>
                <w:sz w:val="20"/>
                <w:szCs w:val="20"/>
              </w:rPr>
            </w:pPr>
          </w:p>
        </w:tc>
        <w:tc>
          <w:tcPr>
            <w:tcW w:w="0" w:type="auto"/>
            <w:gridSpan w:val="3"/>
            <w:vAlign w:val="center"/>
            <w:hideMark/>
          </w:tcPr>
          <w:p w14:paraId="5AD4D151" w14:textId="77777777" w:rsidR="00000000" w:rsidRDefault="000A3118">
            <w:pPr>
              <w:rPr>
                <w:rFonts w:eastAsia="Times New Roman"/>
                <w:sz w:val="20"/>
                <w:szCs w:val="20"/>
              </w:rPr>
            </w:pPr>
          </w:p>
        </w:tc>
        <w:tc>
          <w:tcPr>
            <w:tcW w:w="0" w:type="auto"/>
            <w:gridSpan w:val="3"/>
            <w:vAlign w:val="center"/>
            <w:hideMark/>
          </w:tcPr>
          <w:p w14:paraId="316EEB51" w14:textId="77777777" w:rsidR="00000000" w:rsidRDefault="000A3118">
            <w:pPr>
              <w:rPr>
                <w:rFonts w:eastAsia="Times New Roman"/>
                <w:sz w:val="20"/>
                <w:szCs w:val="20"/>
              </w:rPr>
            </w:pPr>
          </w:p>
        </w:tc>
        <w:tc>
          <w:tcPr>
            <w:tcW w:w="0" w:type="auto"/>
            <w:gridSpan w:val="3"/>
            <w:vAlign w:val="center"/>
            <w:hideMark/>
          </w:tcPr>
          <w:p w14:paraId="07464291" w14:textId="77777777" w:rsidR="00000000" w:rsidRDefault="000A3118">
            <w:pPr>
              <w:rPr>
                <w:rFonts w:eastAsia="Times New Roman"/>
                <w:sz w:val="20"/>
                <w:szCs w:val="20"/>
              </w:rPr>
            </w:pPr>
          </w:p>
        </w:tc>
      </w:tr>
      <w:tr w:rsidR="00000000" w14:paraId="1D2E0A5D" w14:textId="77777777">
        <w:trPr>
          <w:divId w:val="927807743"/>
          <w:jc w:val="center"/>
        </w:trPr>
        <w:tc>
          <w:tcPr>
            <w:tcW w:w="0" w:type="auto"/>
            <w:gridSpan w:val="3"/>
            <w:vAlign w:val="center"/>
            <w:hideMark/>
          </w:tcPr>
          <w:p w14:paraId="689551C4" w14:textId="77777777" w:rsidR="00000000" w:rsidRDefault="000A3118">
            <w:pPr>
              <w:rPr>
                <w:rFonts w:eastAsia="Times New Roman"/>
                <w:sz w:val="20"/>
                <w:szCs w:val="20"/>
              </w:rPr>
            </w:pPr>
          </w:p>
        </w:tc>
        <w:tc>
          <w:tcPr>
            <w:tcW w:w="0" w:type="auto"/>
            <w:gridSpan w:val="3"/>
            <w:vAlign w:val="center"/>
            <w:hideMark/>
          </w:tcPr>
          <w:p w14:paraId="436EB361" w14:textId="77777777" w:rsidR="00000000" w:rsidRDefault="000A3118">
            <w:pPr>
              <w:rPr>
                <w:rFonts w:eastAsia="Times New Roman"/>
                <w:sz w:val="20"/>
                <w:szCs w:val="20"/>
              </w:rPr>
            </w:pPr>
          </w:p>
        </w:tc>
        <w:tc>
          <w:tcPr>
            <w:tcW w:w="0" w:type="auto"/>
            <w:gridSpan w:val="3"/>
            <w:vAlign w:val="center"/>
            <w:hideMark/>
          </w:tcPr>
          <w:p w14:paraId="08E46EA7" w14:textId="77777777" w:rsidR="00000000" w:rsidRDefault="000A3118">
            <w:pPr>
              <w:rPr>
                <w:rFonts w:eastAsia="Times New Roman"/>
                <w:sz w:val="20"/>
                <w:szCs w:val="20"/>
              </w:rPr>
            </w:pPr>
          </w:p>
        </w:tc>
        <w:tc>
          <w:tcPr>
            <w:tcW w:w="0" w:type="auto"/>
            <w:gridSpan w:val="3"/>
            <w:vAlign w:val="center"/>
            <w:hideMark/>
          </w:tcPr>
          <w:p w14:paraId="3E75AB0D" w14:textId="77777777" w:rsidR="00000000" w:rsidRDefault="000A3118">
            <w:pPr>
              <w:rPr>
                <w:rFonts w:eastAsia="Times New Roman"/>
                <w:sz w:val="20"/>
                <w:szCs w:val="20"/>
              </w:rPr>
            </w:pPr>
          </w:p>
        </w:tc>
        <w:tc>
          <w:tcPr>
            <w:tcW w:w="0" w:type="auto"/>
            <w:gridSpan w:val="3"/>
            <w:vAlign w:val="center"/>
            <w:hideMark/>
          </w:tcPr>
          <w:p w14:paraId="432FD5E8" w14:textId="77777777" w:rsidR="00000000" w:rsidRDefault="000A3118">
            <w:pPr>
              <w:rPr>
                <w:rFonts w:eastAsia="Times New Roman"/>
                <w:sz w:val="20"/>
                <w:szCs w:val="20"/>
              </w:rPr>
            </w:pPr>
          </w:p>
        </w:tc>
      </w:tr>
      <w:tr w:rsidR="00000000" w14:paraId="41DDC4F1" w14:textId="77777777">
        <w:trPr>
          <w:divId w:val="927807743"/>
          <w:jc w:val="center"/>
        </w:trPr>
        <w:tc>
          <w:tcPr>
            <w:tcW w:w="0" w:type="auto"/>
            <w:gridSpan w:val="3"/>
            <w:vAlign w:val="center"/>
            <w:hideMark/>
          </w:tcPr>
          <w:p w14:paraId="0A50468A" w14:textId="77777777" w:rsidR="00000000" w:rsidRDefault="000A3118">
            <w:pPr>
              <w:rPr>
                <w:rFonts w:eastAsia="Times New Roman"/>
                <w:sz w:val="20"/>
                <w:szCs w:val="20"/>
              </w:rPr>
            </w:pPr>
          </w:p>
        </w:tc>
        <w:tc>
          <w:tcPr>
            <w:tcW w:w="0" w:type="auto"/>
            <w:gridSpan w:val="3"/>
            <w:vAlign w:val="center"/>
            <w:hideMark/>
          </w:tcPr>
          <w:p w14:paraId="44AECAD0" w14:textId="77777777" w:rsidR="00000000" w:rsidRDefault="000A3118">
            <w:pPr>
              <w:rPr>
                <w:rFonts w:eastAsia="Times New Roman"/>
                <w:sz w:val="20"/>
                <w:szCs w:val="20"/>
              </w:rPr>
            </w:pPr>
          </w:p>
        </w:tc>
        <w:tc>
          <w:tcPr>
            <w:tcW w:w="0" w:type="auto"/>
            <w:gridSpan w:val="3"/>
            <w:vAlign w:val="center"/>
            <w:hideMark/>
          </w:tcPr>
          <w:p w14:paraId="00A76DA0" w14:textId="77777777" w:rsidR="00000000" w:rsidRDefault="000A3118">
            <w:pPr>
              <w:rPr>
                <w:rFonts w:eastAsia="Times New Roman"/>
                <w:sz w:val="20"/>
                <w:szCs w:val="20"/>
              </w:rPr>
            </w:pPr>
          </w:p>
        </w:tc>
        <w:tc>
          <w:tcPr>
            <w:tcW w:w="0" w:type="auto"/>
            <w:gridSpan w:val="3"/>
            <w:vAlign w:val="center"/>
            <w:hideMark/>
          </w:tcPr>
          <w:p w14:paraId="3225415B" w14:textId="77777777" w:rsidR="00000000" w:rsidRDefault="000A3118">
            <w:pPr>
              <w:rPr>
                <w:rFonts w:eastAsia="Times New Roman"/>
                <w:sz w:val="20"/>
                <w:szCs w:val="20"/>
              </w:rPr>
            </w:pPr>
          </w:p>
        </w:tc>
        <w:tc>
          <w:tcPr>
            <w:tcW w:w="0" w:type="auto"/>
            <w:gridSpan w:val="3"/>
            <w:vAlign w:val="center"/>
            <w:hideMark/>
          </w:tcPr>
          <w:p w14:paraId="5A491CAB" w14:textId="77777777" w:rsidR="00000000" w:rsidRDefault="000A3118">
            <w:pPr>
              <w:rPr>
                <w:rFonts w:eastAsia="Times New Roman"/>
                <w:sz w:val="20"/>
                <w:szCs w:val="20"/>
              </w:rPr>
            </w:pPr>
          </w:p>
        </w:tc>
      </w:tr>
      <w:tr w:rsidR="00000000" w14:paraId="55E858AF" w14:textId="77777777">
        <w:trPr>
          <w:divId w:val="927807743"/>
          <w:jc w:val="center"/>
        </w:trPr>
        <w:tc>
          <w:tcPr>
            <w:tcW w:w="0" w:type="auto"/>
            <w:gridSpan w:val="3"/>
            <w:vAlign w:val="center"/>
            <w:hideMark/>
          </w:tcPr>
          <w:p w14:paraId="73D93A99" w14:textId="77777777" w:rsidR="00000000" w:rsidRDefault="000A3118">
            <w:pPr>
              <w:rPr>
                <w:rFonts w:eastAsia="Times New Roman"/>
                <w:sz w:val="20"/>
                <w:szCs w:val="20"/>
              </w:rPr>
            </w:pPr>
          </w:p>
        </w:tc>
        <w:tc>
          <w:tcPr>
            <w:tcW w:w="0" w:type="auto"/>
            <w:gridSpan w:val="3"/>
            <w:vAlign w:val="center"/>
            <w:hideMark/>
          </w:tcPr>
          <w:p w14:paraId="6FA9F2BF" w14:textId="77777777" w:rsidR="00000000" w:rsidRDefault="000A3118">
            <w:pPr>
              <w:rPr>
                <w:rFonts w:eastAsia="Times New Roman"/>
                <w:sz w:val="20"/>
                <w:szCs w:val="20"/>
              </w:rPr>
            </w:pPr>
          </w:p>
        </w:tc>
        <w:tc>
          <w:tcPr>
            <w:tcW w:w="0" w:type="auto"/>
            <w:gridSpan w:val="3"/>
            <w:vAlign w:val="center"/>
            <w:hideMark/>
          </w:tcPr>
          <w:p w14:paraId="65D26A44" w14:textId="77777777" w:rsidR="00000000" w:rsidRDefault="000A3118">
            <w:pPr>
              <w:rPr>
                <w:rFonts w:eastAsia="Times New Roman"/>
                <w:sz w:val="20"/>
                <w:szCs w:val="20"/>
              </w:rPr>
            </w:pPr>
          </w:p>
        </w:tc>
        <w:tc>
          <w:tcPr>
            <w:tcW w:w="0" w:type="auto"/>
            <w:gridSpan w:val="3"/>
            <w:vAlign w:val="center"/>
            <w:hideMark/>
          </w:tcPr>
          <w:p w14:paraId="5443ADA9" w14:textId="77777777" w:rsidR="00000000" w:rsidRDefault="000A3118">
            <w:pPr>
              <w:rPr>
                <w:rFonts w:eastAsia="Times New Roman"/>
                <w:sz w:val="20"/>
                <w:szCs w:val="20"/>
              </w:rPr>
            </w:pPr>
          </w:p>
        </w:tc>
        <w:tc>
          <w:tcPr>
            <w:tcW w:w="0" w:type="auto"/>
            <w:gridSpan w:val="3"/>
            <w:vAlign w:val="center"/>
            <w:hideMark/>
          </w:tcPr>
          <w:p w14:paraId="436A0902" w14:textId="77777777" w:rsidR="00000000" w:rsidRDefault="000A3118">
            <w:pPr>
              <w:rPr>
                <w:rFonts w:eastAsia="Times New Roman"/>
                <w:sz w:val="20"/>
                <w:szCs w:val="20"/>
              </w:rPr>
            </w:pPr>
          </w:p>
        </w:tc>
      </w:tr>
      <w:tr w:rsidR="00000000" w14:paraId="2CD3327C" w14:textId="77777777">
        <w:trPr>
          <w:divId w:val="927807743"/>
          <w:jc w:val="center"/>
        </w:trPr>
        <w:tc>
          <w:tcPr>
            <w:tcW w:w="0" w:type="auto"/>
            <w:gridSpan w:val="3"/>
            <w:vAlign w:val="center"/>
            <w:hideMark/>
          </w:tcPr>
          <w:p w14:paraId="4D9F0BF0" w14:textId="77777777" w:rsidR="00000000" w:rsidRDefault="000A3118">
            <w:pPr>
              <w:rPr>
                <w:rFonts w:eastAsia="Times New Roman"/>
                <w:sz w:val="20"/>
                <w:szCs w:val="20"/>
              </w:rPr>
            </w:pPr>
          </w:p>
        </w:tc>
        <w:tc>
          <w:tcPr>
            <w:tcW w:w="0" w:type="auto"/>
            <w:gridSpan w:val="3"/>
            <w:vAlign w:val="center"/>
            <w:hideMark/>
          </w:tcPr>
          <w:p w14:paraId="6999D246" w14:textId="77777777" w:rsidR="00000000" w:rsidRDefault="000A3118">
            <w:pPr>
              <w:rPr>
                <w:rFonts w:eastAsia="Times New Roman"/>
                <w:sz w:val="20"/>
                <w:szCs w:val="20"/>
              </w:rPr>
            </w:pPr>
          </w:p>
        </w:tc>
        <w:tc>
          <w:tcPr>
            <w:tcW w:w="0" w:type="auto"/>
            <w:gridSpan w:val="3"/>
            <w:vAlign w:val="center"/>
            <w:hideMark/>
          </w:tcPr>
          <w:p w14:paraId="4D24AA56" w14:textId="77777777" w:rsidR="00000000" w:rsidRDefault="000A3118">
            <w:pPr>
              <w:rPr>
                <w:rFonts w:eastAsia="Times New Roman"/>
                <w:sz w:val="20"/>
                <w:szCs w:val="20"/>
              </w:rPr>
            </w:pPr>
          </w:p>
        </w:tc>
        <w:tc>
          <w:tcPr>
            <w:tcW w:w="0" w:type="auto"/>
            <w:gridSpan w:val="3"/>
            <w:vAlign w:val="center"/>
            <w:hideMark/>
          </w:tcPr>
          <w:p w14:paraId="12A77618" w14:textId="77777777" w:rsidR="00000000" w:rsidRDefault="000A3118">
            <w:pPr>
              <w:rPr>
                <w:rFonts w:eastAsia="Times New Roman"/>
                <w:sz w:val="20"/>
                <w:szCs w:val="20"/>
              </w:rPr>
            </w:pPr>
          </w:p>
        </w:tc>
        <w:tc>
          <w:tcPr>
            <w:tcW w:w="0" w:type="auto"/>
            <w:gridSpan w:val="3"/>
            <w:vAlign w:val="center"/>
            <w:hideMark/>
          </w:tcPr>
          <w:p w14:paraId="3D6A29D2" w14:textId="77777777" w:rsidR="00000000" w:rsidRDefault="000A3118">
            <w:pPr>
              <w:rPr>
                <w:rFonts w:eastAsia="Times New Roman"/>
                <w:sz w:val="20"/>
                <w:szCs w:val="20"/>
              </w:rPr>
            </w:pPr>
          </w:p>
        </w:tc>
      </w:tr>
      <w:tr w:rsidR="00000000" w14:paraId="4A5CB0E4" w14:textId="77777777">
        <w:trPr>
          <w:divId w:val="927807743"/>
          <w:jc w:val="center"/>
        </w:trPr>
        <w:tc>
          <w:tcPr>
            <w:tcW w:w="0" w:type="auto"/>
            <w:gridSpan w:val="3"/>
            <w:vAlign w:val="center"/>
            <w:hideMark/>
          </w:tcPr>
          <w:p w14:paraId="3D4486AE" w14:textId="77777777" w:rsidR="00000000" w:rsidRDefault="000A3118">
            <w:pPr>
              <w:rPr>
                <w:rFonts w:eastAsia="Times New Roman"/>
                <w:sz w:val="20"/>
                <w:szCs w:val="20"/>
              </w:rPr>
            </w:pPr>
          </w:p>
        </w:tc>
        <w:tc>
          <w:tcPr>
            <w:tcW w:w="0" w:type="auto"/>
            <w:gridSpan w:val="3"/>
            <w:vAlign w:val="center"/>
            <w:hideMark/>
          </w:tcPr>
          <w:p w14:paraId="08EF8D91" w14:textId="77777777" w:rsidR="00000000" w:rsidRDefault="000A3118">
            <w:pPr>
              <w:rPr>
                <w:rFonts w:eastAsia="Times New Roman"/>
                <w:sz w:val="20"/>
                <w:szCs w:val="20"/>
              </w:rPr>
            </w:pPr>
          </w:p>
        </w:tc>
        <w:tc>
          <w:tcPr>
            <w:tcW w:w="0" w:type="auto"/>
            <w:gridSpan w:val="3"/>
            <w:vAlign w:val="center"/>
            <w:hideMark/>
          </w:tcPr>
          <w:p w14:paraId="6916AAAC" w14:textId="77777777" w:rsidR="00000000" w:rsidRDefault="000A3118">
            <w:pPr>
              <w:rPr>
                <w:rFonts w:eastAsia="Times New Roman"/>
                <w:sz w:val="20"/>
                <w:szCs w:val="20"/>
              </w:rPr>
            </w:pPr>
          </w:p>
        </w:tc>
        <w:tc>
          <w:tcPr>
            <w:tcW w:w="0" w:type="auto"/>
            <w:gridSpan w:val="3"/>
            <w:vAlign w:val="center"/>
            <w:hideMark/>
          </w:tcPr>
          <w:p w14:paraId="259E6EC3" w14:textId="77777777" w:rsidR="00000000" w:rsidRDefault="000A3118">
            <w:pPr>
              <w:rPr>
                <w:rFonts w:eastAsia="Times New Roman"/>
                <w:sz w:val="20"/>
                <w:szCs w:val="20"/>
              </w:rPr>
            </w:pPr>
          </w:p>
        </w:tc>
        <w:tc>
          <w:tcPr>
            <w:tcW w:w="0" w:type="auto"/>
            <w:gridSpan w:val="3"/>
            <w:vAlign w:val="center"/>
            <w:hideMark/>
          </w:tcPr>
          <w:p w14:paraId="4A0C065B" w14:textId="77777777" w:rsidR="00000000" w:rsidRDefault="000A3118">
            <w:pPr>
              <w:rPr>
                <w:rFonts w:eastAsia="Times New Roman"/>
                <w:sz w:val="20"/>
                <w:szCs w:val="20"/>
              </w:rPr>
            </w:pPr>
          </w:p>
        </w:tc>
      </w:tr>
      <w:tr w:rsidR="00000000" w14:paraId="41B4A510" w14:textId="77777777">
        <w:trPr>
          <w:divId w:val="927807743"/>
          <w:jc w:val="center"/>
        </w:trPr>
        <w:tc>
          <w:tcPr>
            <w:tcW w:w="0" w:type="auto"/>
            <w:gridSpan w:val="3"/>
            <w:vAlign w:val="center"/>
            <w:hideMark/>
          </w:tcPr>
          <w:p w14:paraId="60FB00E1" w14:textId="77777777" w:rsidR="00000000" w:rsidRDefault="000A3118">
            <w:pPr>
              <w:rPr>
                <w:rFonts w:eastAsia="Times New Roman"/>
                <w:sz w:val="20"/>
                <w:szCs w:val="20"/>
              </w:rPr>
            </w:pPr>
          </w:p>
        </w:tc>
        <w:tc>
          <w:tcPr>
            <w:tcW w:w="0" w:type="auto"/>
            <w:gridSpan w:val="3"/>
            <w:vAlign w:val="center"/>
            <w:hideMark/>
          </w:tcPr>
          <w:p w14:paraId="185DA0B7" w14:textId="77777777" w:rsidR="00000000" w:rsidRDefault="000A3118">
            <w:pPr>
              <w:rPr>
                <w:rFonts w:eastAsia="Times New Roman"/>
                <w:sz w:val="20"/>
                <w:szCs w:val="20"/>
              </w:rPr>
            </w:pPr>
          </w:p>
        </w:tc>
        <w:tc>
          <w:tcPr>
            <w:tcW w:w="0" w:type="auto"/>
            <w:gridSpan w:val="3"/>
            <w:vAlign w:val="center"/>
            <w:hideMark/>
          </w:tcPr>
          <w:p w14:paraId="5AEB5250" w14:textId="77777777" w:rsidR="00000000" w:rsidRDefault="000A3118">
            <w:pPr>
              <w:rPr>
                <w:rFonts w:eastAsia="Times New Roman"/>
                <w:sz w:val="20"/>
                <w:szCs w:val="20"/>
              </w:rPr>
            </w:pPr>
          </w:p>
        </w:tc>
        <w:tc>
          <w:tcPr>
            <w:tcW w:w="0" w:type="auto"/>
            <w:gridSpan w:val="3"/>
            <w:vAlign w:val="center"/>
            <w:hideMark/>
          </w:tcPr>
          <w:p w14:paraId="10C1ABFE" w14:textId="77777777" w:rsidR="00000000" w:rsidRDefault="000A3118">
            <w:pPr>
              <w:rPr>
                <w:rFonts w:eastAsia="Times New Roman"/>
                <w:sz w:val="20"/>
                <w:szCs w:val="20"/>
              </w:rPr>
            </w:pPr>
          </w:p>
        </w:tc>
        <w:tc>
          <w:tcPr>
            <w:tcW w:w="0" w:type="auto"/>
            <w:gridSpan w:val="3"/>
            <w:vAlign w:val="center"/>
            <w:hideMark/>
          </w:tcPr>
          <w:p w14:paraId="70EFFC72" w14:textId="77777777" w:rsidR="00000000" w:rsidRDefault="000A3118">
            <w:pPr>
              <w:rPr>
                <w:rFonts w:eastAsia="Times New Roman"/>
                <w:sz w:val="20"/>
                <w:szCs w:val="20"/>
              </w:rPr>
            </w:pPr>
          </w:p>
        </w:tc>
      </w:tr>
      <w:tr w:rsidR="00000000" w14:paraId="1EFDFAC4" w14:textId="77777777">
        <w:trPr>
          <w:divId w:val="927807743"/>
          <w:jc w:val="center"/>
        </w:trPr>
        <w:tc>
          <w:tcPr>
            <w:tcW w:w="0" w:type="auto"/>
            <w:gridSpan w:val="3"/>
            <w:vAlign w:val="center"/>
            <w:hideMark/>
          </w:tcPr>
          <w:p w14:paraId="4A2D3632" w14:textId="77777777" w:rsidR="00000000" w:rsidRDefault="000A3118">
            <w:pPr>
              <w:rPr>
                <w:rFonts w:eastAsia="Times New Roman"/>
                <w:sz w:val="20"/>
                <w:szCs w:val="20"/>
              </w:rPr>
            </w:pPr>
          </w:p>
        </w:tc>
        <w:tc>
          <w:tcPr>
            <w:tcW w:w="0" w:type="auto"/>
            <w:gridSpan w:val="3"/>
            <w:vAlign w:val="center"/>
            <w:hideMark/>
          </w:tcPr>
          <w:p w14:paraId="4384FEC5" w14:textId="77777777" w:rsidR="00000000" w:rsidRDefault="000A3118">
            <w:pPr>
              <w:rPr>
                <w:rFonts w:eastAsia="Times New Roman"/>
                <w:sz w:val="20"/>
                <w:szCs w:val="20"/>
              </w:rPr>
            </w:pPr>
          </w:p>
        </w:tc>
        <w:tc>
          <w:tcPr>
            <w:tcW w:w="0" w:type="auto"/>
            <w:gridSpan w:val="3"/>
            <w:vAlign w:val="center"/>
            <w:hideMark/>
          </w:tcPr>
          <w:p w14:paraId="602EA6E7" w14:textId="77777777" w:rsidR="00000000" w:rsidRDefault="000A3118">
            <w:pPr>
              <w:rPr>
                <w:rFonts w:eastAsia="Times New Roman"/>
                <w:sz w:val="20"/>
                <w:szCs w:val="20"/>
              </w:rPr>
            </w:pPr>
          </w:p>
        </w:tc>
        <w:tc>
          <w:tcPr>
            <w:tcW w:w="0" w:type="auto"/>
            <w:gridSpan w:val="3"/>
            <w:vAlign w:val="center"/>
            <w:hideMark/>
          </w:tcPr>
          <w:p w14:paraId="78C5D5DD" w14:textId="77777777" w:rsidR="00000000" w:rsidRDefault="000A3118">
            <w:pPr>
              <w:rPr>
                <w:rFonts w:eastAsia="Times New Roman"/>
                <w:sz w:val="20"/>
                <w:szCs w:val="20"/>
              </w:rPr>
            </w:pPr>
          </w:p>
        </w:tc>
        <w:tc>
          <w:tcPr>
            <w:tcW w:w="0" w:type="auto"/>
            <w:gridSpan w:val="3"/>
            <w:vAlign w:val="center"/>
            <w:hideMark/>
          </w:tcPr>
          <w:p w14:paraId="58AA7958" w14:textId="77777777" w:rsidR="00000000" w:rsidRDefault="000A3118">
            <w:pPr>
              <w:rPr>
                <w:rFonts w:eastAsia="Times New Roman"/>
                <w:sz w:val="20"/>
                <w:szCs w:val="20"/>
              </w:rPr>
            </w:pPr>
          </w:p>
        </w:tc>
      </w:tr>
      <w:tr w:rsidR="00000000" w14:paraId="70D3921E" w14:textId="77777777">
        <w:trPr>
          <w:divId w:val="927807743"/>
          <w:jc w:val="center"/>
        </w:trPr>
        <w:tc>
          <w:tcPr>
            <w:tcW w:w="0" w:type="auto"/>
            <w:gridSpan w:val="3"/>
            <w:vAlign w:val="center"/>
            <w:hideMark/>
          </w:tcPr>
          <w:p w14:paraId="1089E3DC" w14:textId="77777777" w:rsidR="00000000" w:rsidRDefault="000A3118">
            <w:pPr>
              <w:rPr>
                <w:rFonts w:eastAsia="Times New Roman"/>
                <w:sz w:val="20"/>
                <w:szCs w:val="20"/>
              </w:rPr>
            </w:pPr>
          </w:p>
        </w:tc>
        <w:tc>
          <w:tcPr>
            <w:tcW w:w="0" w:type="auto"/>
            <w:gridSpan w:val="3"/>
            <w:vAlign w:val="center"/>
            <w:hideMark/>
          </w:tcPr>
          <w:p w14:paraId="14F71A4F" w14:textId="77777777" w:rsidR="00000000" w:rsidRDefault="000A3118">
            <w:pPr>
              <w:rPr>
                <w:rFonts w:eastAsia="Times New Roman"/>
                <w:sz w:val="20"/>
                <w:szCs w:val="20"/>
              </w:rPr>
            </w:pPr>
          </w:p>
        </w:tc>
        <w:tc>
          <w:tcPr>
            <w:tcW w:w="0" w:type="auto"/>
            <w:gridSpan w:val="3"/>
            <w:vAlign w:val="center"/>
            <w:hideMark/>
          </w:tcPr>
          <w:p w14:paraId="66B902B1" w14:textId="77777777" w:rsidR="00000000" w:rsidRDefault="000A3118">
            <w:pPr>
              <w:rPr>
                <w:rFonts w:eastAsia="Times New Roman"/>
                <w:sz w:val="20"/>
                <w:szCs w:val="20"/>
              </w:rPr>
            </w:pPr>
          </w:p>
        </w:tc>
        <w:tc>
          <w:tcPr>
            <w:tcW w:w="0" w:type="auto"/>
            <w:gridSpan w:val="3"/>
            <w:vAlign w:val="center"/>
            <w:hideMark/>
          </w:tcPr>
          <w:p w14:paraId="62A930C4" w14:textId="77777777" w:rsidR="00000000" w:rsidRDefault="000A3118">
            <w:pPr>
              <w:rPr>
                <w:rFonts w:eastAsia="Times New Roman"/>
                <w:sz w:val="20"/>
                <w:szCs w:val="20"/>
              </w:rPr>
            </w:pPr>
          </w:p>
        </w:tc>
        <w:tc>
          <w:tcPr>
            <w:tcW w:w="0" w:type="auto"/>
            <w:gridSpan w:val="3"/>
            <w:vAlign w:val="center"/>
            <w:hideMark/>
          </w:tcPr>
          <w:p w14:paraId="0FC0C1B2" w14:textId="77777777" w:rsidR="00000000" w:rsidRDefault="000A3118">
            <w:pPr>
              <w:rPr>
                <w:rFonts w:eastAsia="Times New Roman"/>
                <w:sz w:val="20"/>
                <w:szCs w:val="20"/>
              </w:rPr>
            </w:pPr>
          </w:p>
        </w:tc>
      </w:tr>
      <w:tr w:rsidR="00000000" w14:paraId="691BAAF3" w14:textId="77777777">
        <w:trPr>
          <w:divId w:val="927807743"/>
          <w:jc w:val="center"/>
        </w:trPr>
        <w:tc>
          <w:tcPr>
            <w:tcW w:w="0" w:type="auto"/>
            <w:gridSpan w:val="3"/>
            <w:vAlign w:val="center"/>
            <w:hideMark/>
          </w:tcPr>
          <w:p w14:paraId="7F997B89" w14:textId="77777777" w:rsidR="00000000" w:rsidRDefault="000A3118">
            <w:pPr>
              <w:rPr>
                <w:rFonts w:eastAsia="Times New Roman"/>
                <w:sz w:val="20"/>
                <w:szCs w:val="20"/>
              </w:rPr>
            </w:pPr>
          </w:p>
        </w:tc>
        <w:tc>
          <w:tcPr>
            <w:tcW w:w="0" w:type="auto"/>
            <w:gridSpan w:val="3"/>
            <w:vAlign w:val="center"/>
            <w:hideMark/>
          </w:tcPr>
          <w:p w14:paraId="3E2533AD" w14:textId="77777777" w:rsidR="00000000" w:rsidRDefault="000A3118">
            <w:pPr>
              <w:rPr>
                <w:rFonts w:eastAsia="Times New Roman"/>
                <w:sz w:val="20"/>
                <w:szCs w:val="20"/>
              </w:rPr>
            </w:pPr>
          </w:p>
        </w:tc>
        <w:tc>
          <w:tcPr>
            <w:tcW w:w="0" w:type="auto"/>
            <w:gridSpan w:val="3"/>
            <w:vAlign w:val="center"/>
            <w:hideMark/>
          </w:tcPr>
          <w:p w14:paraId="343C45E5" w14:textId="77777777" w:rsidR="00000000" w:rsidRDefault="000A3118">
            <w:pPr>
              <w:rPr>
                <w:rFonts w:eastAsia="Times New Roman"/>
                <w:sz w:val="20"/>
                <w:szCs w:val="20"/>
              </w:rPr>
            </w:pPr>
          </w:p>
        </w:tc>
        <w:tc>
          <w:tcPr>
            <w:tcW w:w="0" w:type="auto"/>
            <w:gridSpan w:val="3"/>
            <w:vAlign w:val="center"/>
            <w:hideMark/>
          </w:tcPr>
          <w:p w14:paraId="07523810" w14:textId="77777777" w:rsidR="00000000" w:rsidRDefault="000A3118">
            <w:pPr>
              <w:rPr>
                <w:rFonts w:eastAsia="Times New Roman"/>
                <w:sz w:val="20"/>
                <w:szCs w:val="20"/>
              </w:rPr>
            </w:pPr>
          </w:p>
        </w:tc>
        <w:tc>
          <w:tcPr>
            <w:tcW w:w="0" w:type="auto"/>
            <w:gridSpan w:val="3"/>
            <w:vAlign w:val="center"/>
            <w:hideMark/>
          </w:tcPr>
          <w:p w14:paraId="783D776E" w14:textId="77777777" w:rsidR="00000000" w:rsidRDefault="000A3118">
            <w:pPr>
              <w:rPr>
                <w:rFonts w:eastAsia="Times New Roman"/>
                <w:sz w:val="20"/>
                <w:szCs w:val="20"/>
              </w:rPr>
            </w:pPr>
          </w:p>
        </w:tc>
      </w:tr>
      <w:tr w:rsidR="00000000" w14:paraId="36F5B22C" w14:textId="77777777">
        <w:trPr>
          <w:divId w:val="927807743"/>
          <w:jc w:val="center"/>
        </w:trPr>
        <w:tc>
          <w:tcPr>
            <w:tcW w:w="0" w:type="auto"/>
            <w:gridSpan w:val="3"/>
            <w:vAlign w:val="center"/>
            <w:hideMark/>
          </w:tcPr>
          <w:p w14:paraId="657A0D02" w14:textId="77777777" w:rsidR="00000000" w:rsidRDefault="000A3118">
            <w:pPr>
              <w:rPr>
                <w:rFonts w:eastAsia="Times New Roman"/>
                <w:sz w:val="20"/>
                <w:szCs w:val="20"/>
              </w:rPr>
            </w:pPr>
          </w:p>
        </w:tc>
        <w:tc>
          <w:tcPr>
            <w:tcW w:w="0" w:type="auto"/>
            <w:gridSpan w:val="3"/>
            <w:vAlign w:val="center"/>
            <w:hideMark/>
          </w:tcPr>
          <w:p w14:paraId="1651F2AD" w14:textId="77777777" w:rsidR="00000000" w:rsidRDefault="000A3118">
            <w:pPr>
              <w:rPr>
                <w:rFonts w:eastAsia="Times New Roman"/>
                <w:sz w:val="20"/>
                <w:szCs w:val="20"/>
              </w:rPr>
            </w:pPr>
          </w:p>
        </w:tc>
        <w:tc>
          <w:tcPr>
            <w:tcW w:w="0" w:type="auto"/>
            <w:gridSpan w:val="3"/>
            <w:vAlign w:val="center"/>
            <w:hideMark/>
          </w:tcPr>
          <w:p w14:paraId="60D78E5E" w14:textId="77777777" w:rsidR="00000000" w:rsidRDefault="000A3118">
            <w:pPr>
              <w:rPr>
                <w:rFonts w:eastAsia="Times New Roman"/>
                <w:sz w:val="20"/>
                <w:szCs w:val="20"/>
              </w:rPr>
            </w:pPr>
          </w:p>
        </w:tc>
        <w:tc>
          <w:tcPr>
            <w:tcW w:w="0" w:type="auto"/>
            <w:gridSpan w:val="3"/>
            <w:vAlign w:val="center"/>
            <w:hideMark/>
          </w:tcPr>
          <w:p w14:paraId="487D9CD7" w14:textId="77777777" w:rsidR="00000000" w:rsidRDefault="000A3118">
            <w:pPr>
              <w:rPr>
                <w:rFonts w:eastAsia="Times New Roman"/>
                <w:sz w:val="20"/>
                <w:szCs w:val="20"/>
              </w:rPr>
            </w:pPr>
          </w:p>
        </w:tc>
        <w:tc>
          <w:tcPr>
            <w:tcW w:w="0" w:type="auto"/>
            <w:gridSpan w:val="3"/>
            <w:vAlign w:val="center"/>
            <w:hideMark/>
          </w:tcPr>
          <w:p w14:paraId="15F6C524" w14:textId="77777777" w:rsidR="00000000" w:rsidRDefault="000A3118">
            <w:pPr>
              <w:rPr>
                <w:rFonts w:eastAsia="Times New Roman"/>
                <w:sz w:val="20"/>
                <w:szCs w:val="20"/>
              </w:rPr>
            </w:pPr>
          </w:p>
        </w:tc>
      </w:tr>
    </w:tbl>
    <w:p w14:paraId="0AC10F64" w14:textId="77777777" w:rsidR="00000000" w:rsidRDefault="000A3118">
      <w:pPr>
        <w:ind w:firstLine="360"/>
        <w:jc w:val="both"/>
        <w:rPr>
          <w:rFonts w:eastAsia="Times New Roman"/>
        </w:rPr>
      </w:pPr>
    </w:p>
    <w:p w14:paraId="2B7814CB" w14:textId="77777777" w:rsidR="00000000" w:rsidRDefault="000A3118">
      <w:pPr>
        <w:ind w:firstLine="360"/>
        <w:jc w:val="both"/>
        <w:divId w:val="537473392"/>
        <w:rPr>
          <w:rFonts w:eastAsia="Times New Roman"/>
        </w:rPr>
      </w:pPr>
    </w:p>
    <w:p w14:paraId="38C282B1" w14:textId="77777777" w:rsidR="00000000" w:rsidRDefault="000A3118">
      <w:pPr>
        <w:jc w:val="center"/>
        <w:divId w:val="729039810"/>
        <w:rPr>
          <w:rFonts w:eastAsia="Times New Roman"/>
        </w:rPr>
      </w:pPr>
      <w:r>
        <w:rPr>
          <w:rFonts w:eastAsia="Times New Roman"/>
          <w:color w:val="000000"/>
          <w:sz w:val="20"/>
          <w:szCs w:val="20"/>
        </w:rPr>
        <w:t>12</w:t>
      </w:r>
    </w:p>
    <w:p w14:paraId="191C9D11" w14:textId="77777777" w:rsidR="00000000" w:rsidRDefault="000A3118">
      <w:pPr>
        <w:rPr>
          <w:rFonts w:eastAsia="Times New Roman"/>
        </w:rPr>
      </w:pPr>
      <w:r>
        <w:rPr>
          <w:rFonts w:eastAsia="Times New Roman"/>
        </w:rPr>
        <w:pict w14:anchorId="3AD411FE">
          <v:rect id="_x0000_i1040" style="width:0;height:1.5pt" o:hralign="center" o:hrstd="t" o:hr="t" fillcolor="#a0a0a0" stroked="f"/>
        </w:pict>
      </w:r>
    </w:p>
    <w:p w14:paraId="79C243B4" w14:textId="77777777" w:rsidR="00000000" w:rsidRDefault="000A3118">
      <w:pPr>
        <w:divId w:val="1721247206"/>
        <w:rPr>
          <w:rFonts w:eastAsia="Times New Roman"/>
        </w:rPr>
      </w:pPr>
    </w:p>
    <w:p w14:paraId="2CAC48E0" w14:textId="77777777" w:rsidR="00000000" w:rsidRDefault="000A3118">
      <w:pPr>
        <w:ind w:firstLine="360"/>
        <w:jc w:val="both"/>
        <w:divId w:val="2069500355"/>
        <w:rPr>
          <w:rFonts w:eastAsia="Times New Roman"/>
        </w:rPr>
      </w:pPr>
      <w:r>
        <w:rPr>
          <w:rFonts w:eastAsia="Times New Roman"/>
          <w:color w:val="000000"/>
          <w:sz w:val="20"/>
          <w:szCs w:val="20"/>
        </w:rPr>
        <w:t xml:space="preserve">As of September 30, 2020, and </w:t>
      </w:r>
      <w:r>
        <w:rPr>
          <w:rFonts w:eastAsia="Times New Roman"/>
          <w:color w:val="000000"/>
          <w:sz w:val="20"/>
          <w:szCs w:val="20"/>
          <w:shd w:val="clear" w:color="auto" w:fill="FFFFFF"/>
        </w:rPr>
        <w:t>December 31, 2019</w:t>
      </w:r>
      <w:r>
        <w:rPr>
          <w:rFonts w:eastAsia="Times New Roman"/>
          <w:color w:val="000000"/>
          <w:sz w:val="20"/>
          <w:szCs w:val="20"/>
        </w:rPr>
        <w:t>, the following amounts were recorded on our Consolidated Balance Sheets related to cumulative basis adjustments for fair value hedges (in millions):</w:t>
      </w:r>
    </w:p>
    <w:tbl>
      <w:tblPr>
        <w:tblW w:w="4992" w:type="pct"/>
        <w:tblCellMar>
          <w:top w:w="15" w:type="dxa"/>
          <w:left w:w="15" w:type="dxa"/>
          <w:bottom w:w="15" w:type="dxa"/>
          <w:right w:w="15" w:type="dxa"/>
        </w:tblCellMar>
        <w:tblLook w:val="04A0" w:firstRow="1" w:lastRow="0" w:firstColumn="1" w:lastColumn="0" w:noHBand="0" w:noVBand="1"/>
      </w:tblPr>
      <w:tblGrid>
        <w:gridCol w:w="38"/>
        <w:gridCol w:w="2718"/>
        <w:gridCol w:w="36"/>
        <w:gridCol w:w="36"/>
        <w:gridCol w:w="36"/>
        <w:gridCol w:w="36"/>
        <w:gridCol w:w="102"/>
        <w:gridCol w:w="1128"/>
        <w:gridCol w:w="37"/>
        <w:gridCol w:w="36"/>
        <w:gridCol w:w="36"/>
        <w:gridCol w:w="36"/>
        <w:gridCol w:w="101"/>
        <w:gridCol w:w="1128"/>
        <w:gridCol w:w="37"/>
        <w:gridCol w:w="36"/>
        <w:gridCol w:w="36"/>
        <w:gridCol w:w="36"/>
        <w:gridCol w:w="102"/>
        <w:gridCol w:w="1128"/>
        <w:gridCol w:w="38"/>
        <w:gridCol w:w="37"/>
        <w:gridCol w:w="37"/>
        <w:gridCol w:w="37"/>
        <w:gridCol w:w="101"/>
        <w:gridCol w:w="1127"/>
        <w:gridCol w:w="37"/>
      </w:tblGrid>
      <w:tr w:rsidR="00000000" w14:paraId="68468738" w14:textId="77777777">
        <w:trPr>
          <w:divId w:val="699935313"/>
        </w:trPr>
        <w:tc>
          <w:tcPr>
            <w:tcW w:w="50" w:type="pct"/>
            <w:vAlign w:val="center"/>
            <w:hideMark/>
          </w:tcPr>
          <w:p w14:paraId="68749636" w14:textId="77777777" w:rsidR="00000000" w:rsidRDefault="000A3118">
            <w:pPr>
              <w:ind w:firstLine="360"/>
              <w:jc w:val="both"/>
              <w:rPr>
                <w:rFonts w:eastAsia="Times New Roman"/>
              </w:rPr>
            </w:pPr>
          </w:p>
        </w:tc>
        <w:tc>
          <w:tcPr>
            <w:tcW w:w="1665" w:type="pct"/>
            <w:vAlign w:val="center"/>
            <w:hideMark/>
          </w:tcPr>
          <w:p w14:paraId="5BB3717A" w14:textId="77777777" w:rsidR="00000000" w:rsidRDefault="000A3118">
            <w:pPr>
              <w:rPr>
                <w:rFonts w:eastAsia="Times New Roman"/>
                <w:sz w:val="20"/>
                <w:szCs w:val="20"/>
              </w:rPr>
            </w:pPr>
          </w:p>
        </w:tc>
        <w:tc>
          <w:tcPr>
            <w:tcW w:w="5" w:type="pct"/>
            <w:vAlign w:val="center"/>
            <w:hideMark/>
          </w:tcPr>
          <w:p w14:paraId="0E1549B0" w14:textId="77777777" w:rsidR="00000000" w:rsidRDefault="000A3118">
            <w:pPr>
              <w:rPr>
                <w:rFonts w:eastAsia="Times New Roman"/>
                <w:sz w:val="20"/>
                <w:szCs w:val="20"/>
              </w:rPr>
            </w:pPr>
          </w:p>
        </w:tc>
        <w:tc>
          <w:tcPr>
            <w:tcW w:w="5" w:type="pct"/>
            <w:vAlign w:val="center"/>
            <w:hideMark/>
          </w:tcPr>
          <w:p w14:paraId="61B89BC9" w14:textId="77777777" w:rsidR="00000000" w:rsidRDefault="000A3118">
            <w:pPr>
              <w:rPr>
                <w:rFonts w:eastAsia="Times New Roman"/>
                <w:sz w:val="20"/>
                <w:szCs w:val="20"/>
              </w:rPr>
            </w:pPr>
          </w:p>
        </w:tc>
        <w:tc>
          <w:tcPr>
            <w:tcW w:w="26" w:type="pct"/>
            <w:vAlign w:val="center"/>
            <w:hideMark/>
          </w:tcPr>
          <w:p w14:paraId="023D465D" w14:textId="77777777" w:rsidR="00000000" w:rsidRDefault="000A3118">
            <w:pPr>
              <w:rPr>
                <w:rFonts w:eastAsia="Times New Roman"/>
                <w:sz w:val="20"/>
                <w:szCs w:val="20"/>
              </w:rPr>
            </w:pPr>
          </w:p>
        </w:tc>
        <w:tc>
          <w:tcPr>
            <w:tcW w:w="5" w:type="pct"/>
            <w:vAlign w:val="center"/>
            <w:hideMark/>
          </w:tcPr>
          <w:p w14:paraId="03C1172F" w14:textId="77777777" w:rsidR="00000000" w:rsidRDefault="000A3118">
            <w:pPr>
              <w:rPr>
                <w:rFonts w:eastAsia="Times New Roman"/>
                <w:sz w:val="20"/>
                <w:szCs w:val="20"/>
              </w:rPr>
            </w:pPr>
          </w:p>
        </w:tc>
        <w:tc>
          <w:tcPr>
            <w:tcW w:w="50" w:type="pct"/>
            <w:vAlign w:val="center"/>
            <w:hideMark/>
          </w:tcPr>
          <w:p w14:paraId="21A31ECD" w14:textId="77777777" w:rsidR="00000000" w:rsidRDefault="000A3118">
            <w:pPr>
              <w:rPr>
                <w:rFonts w:eastAsia="Times New Roman"/>
                <w:sz w:val="20"/>
                <w:szCs w:val="20"/>
              </w:rPr>
            </w:pPr>
          </w:p>
        </w:tc>
        <w:tc>
          <w:tcPr>
            <w:tcW w:w="728" w:type="pct"/>
            <w:vAlign w:val="center"/>
            <w:hideMark/>
          </w:tcPr>
          <w:p w14:paraId="09E155D7" w14:textId="77777777" w:rsidR="00000000" w:rsidRDefault="000A3118">
            <w:pPr>
              <w:rPr>
                <w:rFonts w:eastAsia="Times New Roman"/>
                <w:sz w:val="20"/>
                <w:szCs w:val="20"/>
              </w:rPr>
            </w:pPr>
          </w:p>
        </w:tc>
        <w:tc>
          <w:tcPr>
            <w:tcW w:w="5" w:type="pct"/>
            <w:vAlign w:val="center"/>
            <w:hideMark/>
          </w:tcPr>
          <w:p w14:paraId="24A6C640" w14:textId="77777777" w:rsidR="00000000" w:rsidRDefault="000A3118">
            <w:pPr>
              <w:rPr>
                <w:rFonts w:eastAsia="Times New Roman"/>
                <w:sz w:val="20"/>
                <w:szCs w:val="20"/>
              </w:rPr>
            </w:pPr>
          </w:p>
        </w:tc>
        <w:tc>
          <w:tcPr>
            <w:tcW w:w="5" w:type="pct"/>
            <w:vAlign w:val="center"/>
            <w:hideMark/>
          </w:tcPr>
          <w:p w14:paraId="2D105CBB" w14:textId="77777777" w:rsidR="00000000" w:rsidRDefault="000A3118">
            <w:pPr>
              <w:rPr>
                <w:rFonts w:eastAsia="Times New Roman"/>
                <w:sz w:val="20"/>
                <w:szCs w:val="20"/>
              </w:rPr>
            </w:pPr>
          </w:p>
        </w:tc>
        <w:tc>
          <w:tcPr>
            <w:tcW w:w="26" w:type="pct"/>
            <w:vAlign w:val="center"/>
            <w:hideMark/>
          </w:tcPr>
          <w:p w14:paraId="67C23B19" w14:textId="77777777" w:rsidR="00000000" w:rsidRDefault="000A3118">
            <w:pPr>
              <w:rPr>
                <w:rFonts w:eastAsia="Times New Roman"/>
                <w:sz w:val="20"/>
                <w:szCs w:val="20"/>
              </w:rPr>
            </w:pPr>
          </w:p>
        </w:tc>
        <w:tc>
          <w:tcPr>
            <w:tcW w:w="5" w:type="pct"/>
            <w:vAlign w:val="center"/>
            <w:hideMark/>
          </w:tcPr>
          <w:p w14:paraId="21622961" w14:textId="77777777" w:rsidR="00000000" w:rsidRDefault="000A3118">
            <w:pPr>
              <w:rPr>
                <w:rFonts w:eastAsia="Times New Roman"/>
                <w:sz w:val="20"/>
                <w:szCs w:val="20"/>
              </w:rPr>
            </w:pPr>
          </w:p>
        </w:tc>
        <w:tc>
          <w:tcPr>
            <w:tcW w:w="50" w:type="pct"/>
            <w:vAlign w:val="center"/>
            <w:hideMark/>
          </w:tcPr>
          <w:p w14:paraId="4DDA30A0" w14:textId="77777777" w:rsidR="00000000" w:rsidRDefault="000A3118">
            <w:pPr>
              <w:rPr>
                <w:rFonts w:eastAsia="Times New Roman"/>
                <w:sz w:val="20"/>
                <w:szCs w:val="20"/>
              </w:rPr>
            </w:pPr>
          </w:p>
        </w:tc>
        <w:tc>
          <w:tcPr>
            <w:tcW w:w="728" w:type="pct"/>
            <w:vAlign w:val="center"/>
            <w:hideMark/>
          </w:tcPr>
          <w:p w14:paraId="4688416B" w14:textId="77777777" w:rsidR="00000000" w:rsidRDefault="000A3118">
            <w:pPr>
              <w:rPr>
                <w:rFonts w:eastAsia="Times New Roman"/>
                <w:sz w:val="20"/>
                <w:szCs w:val="20"/>
              </w:rPr>
            </w:pPr>
          </w:p>
        </w:tc>
        <w:tc>
          <w:tcPr>
            <w:tcW w:w="5" w:type="pct"/>
            <w:vAlign w:val="center"/>
            <w:hideMark/>
          </w:tcPr>
          <w:p w14:paraId="744270CC" w14:textId="77777777" w:rsidR="00000000" w:rsidRDefault="000A3118">
            <w:pPr>
              <w:rPr>
                <w:rFonts w:eastAsia="Times New Roman"/>
                <w:sz w:val="20"/>
                <w:szCs w:val="20"/>
              </w:rPr>
            </w:pPr>
          </w:p>
        </w:tc>
        <w:tc>
          <w:tcPr>
            <w:tcW w:w="5" w:type="pct"/>
            <w:vAlign w:val="center"/>
            <w:hideMark/>
          </w:tcPr>
          <w:p w14:paraId="33EE3487" w14:textId="77777777" w:rsidR="00000000" w:rsidRDefault="000A3118">
            <w:pPr>
              <w:rPr>
                <w:rFonts w:eastAsia="Times New Roman"/>
                <w:sz w:val="20"/>
                <w:szCs w:val="20"/>
              </w:rPr>
            </w:pPr>
          </w:p>
        </w:tc>
        <w:tc>
          <w:tcPr>
            <w:tcW w:w="26" w:type="pct"/>
            <w:vAlign w:val="center"/>
            <w:hideMark/>
          </w:tcPr>
          <w:p w14:paraId="5461E09B" w14:textId="77777777" w:rsidR="00000000" w:rsidRDefault="000A3118">
            <w:pPr>
              <w:rPr>
                <w:rFonts w:eastAsia="Times New Roman"/>
                <w:sz w:val="20"/>
                <w:szCs w:val="20"/>
              </w:rPr>
            </w:pPr>
          </w:p>
        </w:tc>
        <w:tc>
          <w:tcPr>
            <w:tcW w:w="5" w:type="pct"/>
            <w:vAlign w:val="center"/>
            <w:hideMark/>
          </w:tcPr>
          <w:p w14:paraId="49F271AD" w14:textId="77777777" w:rsidR="00000000" w:rsidRDefault="000A3118">
            <w:pPr>
              <w:rPr>
                <w:rFonts w:eastAsia="Times New Roman"/>
                <w:sz w:val="20"/>
                <w:szCs w:val="20"/>
              </w:rPr>
            </w:pPr>
          </w:p>
        </w:tc>
        <w:tc>
          <w:tcPr>
            <w:tcW w:w="50" w:type="pct"/>
            <w:vAlign w:val="center"/>
            <w:hideMark/>
          </w:tcPr>
          <w:p w14:paraId="74FFCBBE" w14:textId="77777777" w:rsidR="00000000" w:rsidRDefault="000A3118">
            <w:pPr>
              <w:rPr>
                <w:rFonts w:eastAsia="Times New Roman"/>
                <w:sz w:val="20"/>
                <w:szCs w:val="20"/>
              </w:rPr>
            </w:pPr>
          </w:p>
        </w:tc>
        <w:tc>
          <w:tcPr>
            <w:tcW w:w="728" w:type="pct"/>
            <w:vAlign w:val="center"/>
            <w:hideMark/>
          </w:tcPr>
          <w:p w14:paraId="14382652" w14:textId="77777777" w:rsidR="00000000" w:rsidRDefault="000A3118">
            <w:pPr>
              <w:rPr>
                <w:rFonts w:eastAsia="Times New Roman"/>
                <w:sz w:val="20"/>
                <w:szCs w:val="20"/>
              </w:rPr>
            </w:pPr>
          </w:p>
        </w:tc>
        <w:tc>
          <w:tcPr>
            <w:tcW w:w="5" w:type="pct"/>
            <w:vAlign w:val="center"/>
            <w:hideMark/>
          </w:tcPr>
          <w:p w14:paraId="4922D9A7" w14:textId="77777777" w:rsidR="00000000" w:rsidRDefault="000A3118">
            <w:pPr>
              <w:rPr>
                <w:rFonts w:eastAsia="Times New Roman"/>
                <w:sz w:val="20"/>
                <w:szCs w:val="20"/>
              </w:rPr>
            </w:pPr>
          </w:p>
        </w:tc>
        <w:tc>
          <w:tcPr>
            <w:tcW w:w="5" w:type="pct"/>
            <w:vAlign w:val="center"/>
            <w:hideMark/>
          </w:tcPr>
          <w:p w14:paraId="5904A88B" w14:textId="77777777" w:rsidR="00000000" w:rsidRDefault="000A3118">
            <w:pPr>
              <w:rPr>
                <w:rFonts w:eastAsia="Times New Roman"/>
                <w:sz w:val="20"/>
                <w:szCs w:val="20"/>
              </w:rPr>
            </w:pPr>
          </w:p>
        </w:tc>
        <w:tc>
          <w:tcPr>
            <w:tcW w:w="26" w:type="pct"/>
            <w:vAlign w:val="center"/>
            <w:hideMark/>
          </w:tcPr>
          <w:p w14:paraId="22C2C446" w14:textId="77777777" w:rsidR="00000000" w:rsidRDefault="000A3118">
            <w:pPr>
              <w:rPr>
                <w:rFonts w:eastAsia="Times New Roman"/>
                <w:sz w:val="20"/>
                <w:szCs w:val="20"/>
              </w:rPr>
            </w:pPr>
          </w:p>
        </w:tc>
        <w:tc>
          <w:tcPr>
            <w:tcW w:w="5" w:type="pct"/>
            <w:vAlign w:val="center"/>
            <w:hideMark/>
          </w:tcPr>
          <w:p w14:paraId="24F07ADD" w14:textId="77777777" w:rsidR="00000000" w:rsidRDefault="000A3118">
            <w:pPr>
              <w:rPr>
                <w:rFonts w:eastAsia="Times New Roman"/>
                <w:sz w:val="20"/>
                <w:szCs w:val="20"/>
              </w:rPr>
            </w:pPr>
          </w:p>
        </w:tc>
        <w:tc>
          <w:tcPr>
            <w:tcW w:w="50" w:type="pct"/>
            <w:vAlign w:val="center"/>
            <w:hideMark/>
          </w:tcPr>
          <w:p w14:paraId="38A62410" w14:textId="77777777" w:rsidR="00000000" w:rsidRDefault="000A3118">
            <w:pPr>
              <w:rPr>
                <w:rFonts w:eastAsia="Times New Roman"/>
                <w:sz w:val="20"/>
                <w:szCs w:val="20"/>
              </w:rPr>
            </w:pPr>
          </w:p>
        </w:tc>
        <w:tc>
          <w:tcPr>
            <w:tcW w:w="728" w:type="pct"/>
            <w:vAlign w:val="center"/>
            <w:hideMark/>
          </w:tcPr>
          <w:p w14:paraId="58C240FE" w14:textId="77777777" w:rsidR="00000000" w:rsidRDefault="000A3118">
            <w:pPr>
              <w:rPr>
                <w:rFonts w:eastAsia="Times New Roman"/>
                <w:sz w:val="20"/>
                <w:szCs w:val="20"/>
              </w:rPr>
            </w:pPr>
          </w:p>
        </w:tc>
        <w:tc>
          <w:tcPr>
            <w:tcW w:w="5" w:type="pct"/>
            <w:vAlign w:val="center"/>
            <w:hideMark/>
          </w:tcPr>
          <w:p w14:paraId="2F443F8B" w14:textId="77777777" w:rsidR="00000000" w:rsidRDefault="000A3118">
            <w:pPr>
              <w:rPr>
                <w:rFonts w:eastAsia="Times New Roman"/>
                <w:sz w:val="20"/>
                <w:szCs w:val="20"/>
              </w:rPr>
            </w:pPr>
          </w:p>
        </w:tc>
      </w:tr>
      <w:tr w:rsidR="00000000" w14:paraId="59226532" w14:textId="77777777">
        <w:trPr>
          <w:divId w:val="699935313"/>
        </w:trPr>
        <w:tc>
          <w:tcPr>
            <w:tcW w:w="0" w:type="auto"/>
            <w:gridSpan w:val="3"/>
            <w:tcMar>
              <w:top w:w="30" w:type="dxa"/>
              <w:left w:w="20" w:type="dxa"/>
              <w:bottom w:w="30" w:type="dxa"/>
              <w:right w:w="20" w:type="dxa"/>
            </w:tcMar>
            <w:vAlign w:val="bottom"/>
            <w:hideMark/>
          </w:tcPr>
          <w:p w14:paraId="74BE535F" w14:textId="77777777" w:rsidR="00000000" w:rsidRDefault="000A3118">
            <w:pPr>
              <w:jc w:val="center"/>
              <w:rPr>
                <w:rFonts w:eastAsia="Times New Roman"/>
              </w:rPr>
            </w:pPr>
            <w:r>
              <w:rPr>
                <w:rFonts w:eastAsia="Times New Roman"/>
                <w:b/>
                <w:bCs/>
                <w:color w:val="000000"/>
                <w:sz w:val="16"/>
                <w:szCs w:val="16"/>
              </w:rPr>
              <w:t>Line item in the Consolidated Balance Sheets in which the hedged item is included</w:t>
            </w:r>
          </w:p>
        </w:tc>
        <w:tc>
          <w:tcPr>
            <w:tcW w:w="0" w:type="auto"/>
            <w:gridSpan w:val="3"/>
            <w:tcMar>
              <w:top w:w="0" w:type="dxa"/>
              <w:left w:w="20" w:type="dxa"/>
              <w:bottom w:w="0" w:type="dxa"/>
              <w:right w:w="20" w:type="dxa"/>
            </w:tcMar>
            <w:vAlign w:val="center"/>
            <w:hideMark/>
          </w:tcPr>
          <w:p w14:paraId="44915028" w14:textId="77777777" w:rsidR="00000000" w:rsidRDefault="000A3118">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15BCF70F" w14:textId="77777777" w:rsidR="00000000" w:rsidRDefault="000A3118">
            <w:pPr>
              <w:jc w:val="center"/>
              <w:rPr>
                <w:rFonts w:eastAsia="Times New Roman"/>
              </w:rPr>
            </w:pPr>
            <w:r>
              <w:rPr>
                <w:rFonts w:eastAsia="Times New Roman"/>
                <w:b/>
                <w:bCs/>
                <w:color w:val="000000"/>
                <w:sz w:val="16"/>
                <w:szCs w:val="16"/>
              </w:rPr>
              <w:t>Carrying Amount of Hedged Assets/(Liabilities)</w:t>
            </w:r>
          </w:p>
        </w:tc>
        <w:tc>
          <w:tcPr>
            <w:tcW w:w="0" w:type="auto"/>
            <w:gridSpan w:val="3"/>
            <w:tcMar>
              <w:top w:w="0" w:type="dxa"/>
              <w:left w:w="20" w:type="dxa"/>
              <w:bottom w:w="0" w:type="dxa"/>
              <w:right w:w="20" w:type="dxa"/>
            </w:tcMar>
            <w:vAlign w:val="center"/>
            <w:hideMark/>
          </w:tcPr>
          <w:p w14:paraId="0D5EBCD7" w14:textId="77777777" w:rsidR="00000000" w:rsidRDefault="000A3118">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067F350A" w14:textId="77777777" w:rsidR="00000000" w:rsidRDefault="000A3118">
            <w:pPr>
              <w:jc w:val="center"/>
              <w:rPr>
                <w:rFonts w:eastAsia="Times New Roman"/>
              </w:rPr>
            </w:pPr>
            <w:r>
              <w:rPr>
                <w:rFonts w:eastAsia="Times New Roman"/>
                <w:b/>
                <w:bCs/>
                <w:color w:val="000000"/>
                <w:sz w:val="16"/>
                <w:szCs w:val="16"/>
              </w:rPr>
              <w:t>Cumulative Amount of Fair Value Hedging Adjustment Included in the Carrying Amount of the Hedged Asset/(Liabilities)</w:t>
            </w:r>
          </w:p>
        </w:tc>
      </w:tr>
      <w:tr w:rsidR="00000000" w14:paraId="53F1C03E" w14:textId="77777777">
        <w:trPr>
          <w:divId w:val="699935313"/>
        </w:trPr>
        <w:tc>
          <w:tcPr>
            <w:tcW w:w="0" w:type="auto"/>
            <w:gridSpan w:val="3"/>
            <w:tcBorders>
              <w:top w:val="single" w:sz="8" w:space="0" w:color="000000"/>
            </w:tcBorders>
            <w:tcMar>
              <w:top w:w="0" w:type="dxa"/>
              <w:left w:w="20" w:type="dxa"/>
              <w:bottom w:w="0" w:type="dxa"/>
              <w:right w:w="20" w:type="dxa"/>
            </w:tcMar>
            <w:vAlign w:val="center"/>
            <w:hideMark/>
          </w:tcPr>
          <w:p w14:paraId="17912195" w14:textId="77777777" w:rsidR="00000000" w:rsidRDefault="000A311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5C2129E" w14:textId="77777777" w:rsidR="00000000" w:rsidRDefault="000A3118">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15107CB" w14:textId="77777777" w:rsidR="00000000" w:rsidRDefault="000A3118">
            <w:pPr>
              <w:jc w:val="center"/>
              <w:rPr>
                <w:rFonts w:eastAsia="Times New Roman"/>
              </w:rPr>
            </w:pPr>
            <w:r>
              <w:rPr>
                <w:rFonts w:eastAsia="Times New Roman"/>
                <w:b/>
                <w:bCs/>
                <w:color w:val="000000"/>
                <w:sz w:val="16"/>
                <w:szCs w:val="16"/>
              </w:rPr>
              <w:t>As of</w:t>
            </w:r>
          </w:p>
        </w:tc>
        <w:tc>
          <w:tcPr>
            <w:tcW w:w="0" w:type="auto"/>
            <w:gridSpan w:val="3"/>
            <w:tcBorders>
              <w:top w:val="single" w:sz="8" w:space="0" w:color="000000"/>
            </w:tcBorders>
            <w:tcMar>
              <w:top w:w="0" w:type="dxa"/>
              <w:left w:w="20" w:type="dxa"/>
              <w:bottom w:w="0" w:type="dxa"/>
              <w:right w:w="20" w:type="dxa"/>
            </w:tcMar>
            <w:vAlign w:val="center"/>
            <w:hideMark/>
          </w:tcPr>
          <w:p w14:paraId="4CA4F320" w14:textId="77777777" w:rsidR="00000000" w:rsidRDefault="000A311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F10008B" w14:textId="77777777" w:rsidR="00000000" w:rsidRDefault="000A3118">
            <w:pPr>
              <w:jc w:val="center"/>
              <w:rPr>
                <w:rFonts w:eastAsia="Times New Roman"/>
              </w:rPr>
            </w:pPr>
            <w:r>
              <w:rPr>
                <w:rFonts w:eastAsia="Times New Roman"/>
                <w:b/>
                <w:bCs/>
                <w:color w:val="000000"/>
                <w:sz w:val="16"/>
                <w:szCs w:val="16"/>
              </w:rPr>
              <w:t>As of</w:t>
            </w:r>
          </w:p>
        </w:tc>
      </w:tr>
      <w:tr w:rsidR="00000000" w14:paraId="37E2FF30" w14:textId="77777777">
        <w:trPr>
          <w:divId w:val="699935313"/>
        </w:trPr>
        <w:tc>
          <w:tcPr>
            <w:tcW w:w="0" w:type="auto"/>
            <w:gridSpan w:val="3"/>
            <w:tcBorders>
              <w:top w:val="single" w:sz="8" w:space="0" w:color="000000"/>
            </w:tcBorders>
            <w:tcMar>
              <w:top w:w="0" w:type="dxa"/>
              <w:left w:w="20" w:type="dxa"/>
              <w:bottom w:w="0" w:type="dxa"/>
              <w:right w:w="20" w:type="dxa"/>
            </w:tcMar>
            <w:vAlign w:val="center"/>
            <w:hideMark/>
          </w:tcPr>
          <w:p w14:paraId="7C68EC27" w14:textId="77777777" w:rsidR="00000000" w:rsidRDefault="000A311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0388801"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73C687AB" w14:textId="77777777" w:rsidR="00000000" w:rsidRDefault="000A3118">
            <w:pPr>
              <w:jc w:val="center"/>
              <w:rPr>
                <w:rFonts w:eastAsia="Times New Roman"/>
              </w:rPr>
            </w:pPr>
            <w:r>
              <w:rPr>
                <w:rFonts w:eastAsia="Times New Roman"/>
                <w:b/>
                <w:bCs/>
                <w:color w:val="000000"/>
                <w:sz w:val="16"/>
                <w:szCs w:val="16"/>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14:paraId="224FAE3F"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5DC7BEE" w14:textId="77777777" w:rsidR="00000000" w:rsidRDefault="000A3118">
            <w:pPr>
              <w:jc w:val="center"/>
              <w:rPr>
                <w:rFonts w:eastAsia="Times New Roman"/>
              </w:rPr>
            </w:pPr>
            <w:r>
              <w:rPr>
                <w:rFonts w:eastAsia="Times New Roman"/>
                <w:b/>
                <w:bCs/>
                <w:color w:val="000000"/>
                <w:sz w:val="16"/>
                <w:szCs w:val="16"/>
              </w:rPr>
              <w:t>December 31, 2019</w:t>
            </w:r>
          </w:p>
        </w:tc>
        <w:tc>
          <w:tcPr>
            <w:tcW w:w="0" w:type="auto"/>
            <w:gridSpan w:val="3"/>
            <w:tcBorders>
              <w:top w:val="single" w:sz="8" w:space="0" w:color="000000"/>
            </w:tcBorders>
            <w:tcMar>
              <w:top w:w="0" w:type="dxa"/>
              <w:left w:w="20" w:type="dxa"/>
              <w:bottom w:w="0" w:type="dxa"/>
              <w:right w:w="20" w:type="dxa"/>
            </w:tcMar>
            <w:vAlign w:val="center"/>
            <w:hideMark/>
          </w:tcPr>
          <w:p w14:paraId="568B3985"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362A77E9" w14:textId="77777777" w:rsidR="00000000" w:rsidRDefault="000A3118">
            <w:pPr>
              <w:jc w:val="center"/>
              <w:rPr>
                <w:rFonts w:eastAsia="Times New Roman"/>
              </w:rPr>
            </w:pPr>
            <w:r>
              <w:rPr>
                <w:rFonts w:eastAsia="Times New Roman"/>
                <w:b/>
                <w:bCs/>
                <w:color w:val="000000"/>
                <w:sz w:val="16"/>
                <w:szCs w:val="16"/>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14:paraId="16470242"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3D2E64EF" w14:textId="77777777" w:rsidR="00000000" w:rsidRDefault="000A3118">
            <w:pPr>
              <w:jc w:val="center"/>
              <w:rPr>
                <w:rFonts w:eastAsia="Times New Roman"/>
              </w:rPr>
            </w:pPr>
            <w:r>
              <w:rPr>
                <w:rFonts w:eastAsia="Times New Roman"/>
                <w:b/>
                <w:bCs/>
                <w:color w:val="000000"/>
                <w:sz w:val="16"/>
                <w:szCs w:val="16"/>
              </w:rPr>
              <w:t>December 31, 2019</w:t>
            </w:r>
          </w:p>
        </w:tc>
      </w:tr>
      <w:tr w:rsidR="00000000" w14:paraId="4C78C330" w14:textId="77777777">
        <w:trPr>
          <w:divId w:val="699935313"/>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14:paraId="1A64B087" w14:textId="77777777" w:rsidR="00000000" w:rsidRDefault="000A3118">
            <w:pPr>
              <w:rPr>
                <w:rFonts w:eastAsia="Times New Roman"/>
              </w:rPr>
            </w:pPr>
            <w:r>
              <w:rPr>
                <w:rFonts w:eastAsia="Times New Roman"/>
                <w:color w:val="000000"/>
                <w:sz w:val="16"/>
                <w:szCs w:val="16"/>
              </w:rPr>
              <w:t>Inventory</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3D4E796" w14:textId="77777777" w:rsidR="00000000" w:rsidRDefault="000A3118">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39C5365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5DC28111" w14:textId="77777777" w:rsidR="00000000" w:rsidRDefault="000A3118">
            <w:pPr>
              <w:jc w:val="right"/>
              <w:rPr>
                <w:rFonts w:eastAsia="Times New Roman"/>
              </w:rPr>
            </w:pPr>
            <w:r>
              <w:rPr>
                <w:rFonts w:eastAsia="Times New Roman"/>
                <w:color w:val="000000"/>
                <w:sz w:val="16"/>
                <w:szCs w:val="16"/>
              </w:rPr>
              <w:t>31.2 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09DE64BC"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3CB47EE"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189341D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6450A5EC" w14:textId="77777777" w:rsidR="00000000" w:rsidRDefault="000A3118">
            <w:pPr>
              <w:jc w:val="right"/>
              <w:rPr>
                <w:rFonts w:eastAsia="Times New Roman"/>
              </w:rPr>
            </w:pPr>
            <w:r>
              <w:rPr>
                <w:rFonts w:eastAsia="Times New Roman"/>
                <w:color w:val="000000"/>
                <w:sz w:val="16"/>
                <w:szCs w:val="16"/>
              </w:rPr>
              <w:t>30.7 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04FA3504"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DD08B9C"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1488992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5767E021" w14:textId="77777777" w:rsidR="00000000" w:rsidRDefault="000A3118">
            <w:pPr>
              <w:jc w:val="right"/>
              <w:rPr>
                <w:rFonts w:eastAsia="Times New Roman"/>
              </w:rPr>
            </w:pPr>
            <w:r>
              <w:rPr>
                <w:rFonts w:eastAsia="Times New Roman"/>
                <w:color w:val="000000"/>
                <w:sz w:val="16"/>
                <w:szCs w:val="16"/>
              </w:rPr>
              <w:t>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470E3AF6"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7F8DB91"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710C083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75A4FFB2" w14:textId="77777777" w:rsidR="00000000" w:rsidRDefault="000A3118">
            <w:pPr>
              <w:jc w:val="right"/>
              <w:rPr>
                <w:rFonts w:eastAsia="Times New Roman"/>
              </w:rPr>
            </w:pPr>
            <w:r>
              <w:rPr>
                <w:rFonts w:eastAsia="Times New Roman"/>
                <w:color w:val="000000"/>
                <w:sz w:val="16"/>
                <w:szCs w:val="16"/>
              </w:rPr>
              <w:t>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55F25376" w14:textId="77777777" w:rsidR="00000000" w:rsidRDefault="000A3118">
            <w:pPr>
              <w:jc w:val="right"/>
              <w:rPr>
                <w:rFonts w:eastAsia="Times New Roman"/>
              </w:rPr>
            </w:pPr>
          </w:p>
        </w:tc>
      </w:tr>
    </w:tbl>
    <w:p w14:paraId="4FE4E2CD" w14:textId="77777777" w:rsidR="00000000" w:rsidRDefault="000A3118">
      <w:pPr>
        <w:ind w:firstLine="360"/>
        <w:jc w:val="both"/>
        <w:rPr>
          <w:rFonts w:eastAsia="Times New Roman"/>
        </w:rPr>
      </w:pPr>
    </w:p>
    <w:p w14:paraId="1ADDAE90" w14:textId="77777777" w:rsidR="00000000" w:rsidRDefault="000A3118">
      <w:pPr>
        <w:ind w:firstLine="360"/>
        <w:divId w:val="2040662732"/>
        <w:rPr>
          <w:rFonts w:eastAsia="Times New Roman"/>
        </w:rPr>
      </w:pPr>
    </w:p>
    <w:p w14:paraId="457E86DB" w14:textId="77777777" w:rsidR="00000000" w:rsidRDefault="000A3118">
      <w:pPr>
        <w:jc w:val="center"/>
        <w:divId w:val="907767984"/>
        <w:rPr>
          <w:rFonts w:eastAsia="Times New Roman"/>
        </w:rPr>
      </w:pPr>
      <w:r>
        <w:rPr>
          <w:rFonts w:eastAsia="Times New Roman"/>
          <w:color w:val="000000"/>
          <w:sz w:val="20"/>
          <w:szCs w:val="20"/>
        </w:rPr>
        <w:t>13</w:t>
      </w:r>
    </w:p>
    <w:p w14:paraId="22085069" w14:textId="77777777" w:rsidR="00000000" w:rsidRDefault="000A3118">
      <w:pPr>
        <w:rPr>
          <w:rFonts w:eastAsia="Times New Roman"/>
        </w:rPr>
      </w:pPr>
      <w:r>
        <w:rPr>
          <w:rFonts w:eastAsia="Times New Roman"/>
        </w:rPr>
        <w:pict w14:anchorId="74C300DB">
          <v:rect id="_x0000_i1041" style="width:0;height:1.5pt" o:hralign="center" o:hrstd="t" o:hr="t" fillcolor="#a0a0a0" stroked="f"/>
        </w:pict>
      </w:r>
    </w:p>
    <w:p w14:paraId="34017F3F" w14:textId="77777777" w:rsidR="00000000" w:rsidRDefault="000A3118">
      <w:pPr>
        <w:divId w:val="652561610"/>
        <w:rPr>
          <w:rFonts w:eastAsia="Times New Roman"/>
        </w:rPr>
      </w:pPr>
    </w:p>
    <w:p w14:paraId="387B6915" w14:textId="77777777" w:rsidR="00000000" w:rsidRDefault="000A3118">
      <w:pPr>
        <w:ind w:firstLine="360"/>
        <w:divId w:val="1510872486"/>
        <w:rPr>
          <w:rFonts w:eastAsia="Times New Roman"/>
        </w:rPr>
      </w:pPr>
      <w:r>
        <w:rPr>
          <w:rFonts w:eastAsia="Times New Roman"/>
          <w:color w:val="000000"/>
          <w:sz w:val="20"/>
          <w:szCs w:val="20"/>
        </w:rPr>
        <w:t>The following table presents the effect of fair value and cash flow hedges o</w:t>
      </w:r>
      <w:r>
        <w:rPr>
          <w:rFonts w:eastAsia="Times New Roman"/>
          <w:color w:val="000000"/>
          <w:sz w:val="20"/>
          <w:szCs w:val="20"/>
        </w:rPr>
        <w:t>n income and expense line items in our Consolidated Statements of Income and Comprehensive Income (in millions):</w:t>
      </w:r>
    </w:p>
    <w:p w14:paraId="717B1242" w14:textId="77777777" w:rsidR="00000000" w:rsidRDefault="000A3118">
      <w:pPr>
        <w:ind w:firstLine="360"/>
        <w:divId w:val="2141024316"/>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46"/>
        <w:gridCol w:w="1659"/>
        <w:gridCol w:w="38"/>
        <w:gridCol w:w="38"/>
        <w:gridCol w:w="1387"/>
        <w:gridCol w:w="38"/>
        <w:gridCol w:w="36"/>
        <w:gridCol w:w="36"/>
        <w:gridCol w:w="36"/>
        <w:gridCol w:w="100"/>
        <w:gridCol w:w="600"/>
        <w:gridCol w:w="36"/>
        <w:gridCol w:w="36"/>
        <w:gridCol w:w="36"/>
        <w:gridCol w:w="36"/>
        <w:gridCol w:w="100"/>
        <w:gridCol w:w="600"/>
        <w:gridCol w:w="36"/>
        <w:gridCol w:w="36"/>
        <w:gridCol w:w="36"/>
        <w:gridCol w:w="36"/>
        <w:gridCol w:w="101"/>
        <w:gridCol w:w="591"/>
        <w:gridCol w:w="37"/>
        <w:gridCol w:w="36"/>
        <w:gridCol w:w="36"/>
        <w:gridCol w:w="36"/>
        <w:gridCol w:w="100"/>
        <w:gridCol w:w="600"/>
        <w:gridCol w:w="36"/>
        <w:gridCol w:w="36"/>
        <w:gridCol w:w="36"/>
        <w:gridCol w:w="36"/>
        <w:gridCol w:w="100"/>
        <w:gridCol w:w="600"/>
        <w:gridCol w:w="36"/>
        <w:gridCol w:w="36"/>
        <w:gridCol w:w="36"/>
        <w:gridCol w:w="36"/>
        <w:gridCol w:w="101"/>
        <w:gridCol w:w="591"/>
        <w:gridCol w:w="37"/>
      </w:tblGrid>
      <w:tr w:rsidR="00000000" w14:paraId="330685D6" w14:textId="77777777">
        <w:trPr>
          <w:divId w:val="1494028172"/>
        </w:trPr>
        <w:tc>
          <w:tcPr>
            <w:tcW w:w="50" w:type="pct"/>
            <w:vAlign w:val="center"/>
            <w:hideMark/>
          </w:tcPr>
          <w:p w14:paraId="197860B2" w14:textId="77777777" w:rsidR="00000000" w:rsidRDefault="000A3118">
            <w:pPr>
              <w:ind w:firstLine="360"/>
              <w:rPr>
                <w:rFonts w:eastAsia="Times New Roman"/>
              </w:rPr>
            </w:pPr>
          </w:p>
        </w:tc>
        <w:tc>
          <w:tcPr>
            <w:tcW w:w="1180" w:type="pct"/>
            <w:vAlign w:val="center"/>
            <w:hideMark/>
          </w:tcPr>
          <w:p w14:paraId="3A2243BD" w14:textId="77777777" w:rsidR="00000000" w:rsidRDefault="000A3118">
            <w:pPr>
              <w:rPr>
                <w:rFonts w:eastAsia="Times New Roman"/>
                <w:sz w:val="20"/>
                <w:szCs w:val="20"/>
              </w:rPr>
            </w:pPr>
          </w:p>
        </w:tc>
        <w:tc>
          <w:tcPr>
            <w:tcW w:w="5" w:type="pct"/>
            <w:vAlign w:val="center"/>
            <w:hideMark/>
          </w:tcPr>
          <w:p w14:paraId="4F8D708B" w14:textId="77777777" w:rsidR="00000000" w:rsidRDefault="000A3118">
            <w:pPr>
              <w:rPr>
                <w:rFonts w:eastAsia="Times New Roman"/>
                <w:sz w:val="20"/>
                <w:szCs w:val="20"/>
              </w:rPr>
            </w:pPr>
          </w:p>
        </w:tc>
        <w:tc>
          <w:tcPr>
            <w:tcW w:w="50" w:type="pct"/>
            <w:vAlign w:val="center"/>
            <w:hideMark/>
          </w:tcPr>
          <w:p w14:paraId="002357E5" w14:textId="77777777" w:rsidR="00000000" w:rsidRDefault="000A3118">
            <w:pPr>
              <w:rPr>
                <w:rFonts w:eastAsia="Times New Roman"/>
                <w:sz w:val="20"/>
                <w:szCs w:val="20"/>
              </w:rPr>
            </w:pPr>
          </w:p>
        </w:tc>
        <w:tc>
          <w:tcPr>
            <w:tcW w:w="1011" w:type="pct"/>
            <w:vAlign w:val="center"/>
            <w:hideMark/>
          </w:tcPr>
          <w:p w14:paraId="66EFA609" w14:textId="77777777" w:rsidR="00000000" w:rsidRDefault="000A3118">
            <w:pPr>
              <w:rPr>
                <w:rFonts w:eastAsia="Times New Roman"/>
                <w:sz w:val="20"/>
                <w:szCs w:val="20"/>
              </w:rPr>
            </w:pPr>
          </w:p>
        </w:tc>
        <w:tc>
          <w:tcPr>
            <w:tcW w:w="5" w:type="pct"/>
            <w:vAlign w:val="center"/>
            <w:hideMark/>
          </w:tcPr>
          <w:p w14:paraId="12C189CE" w14:textId="77777777" w:rsidR="00000000" w:rsidRDefault="000A3118">
            <w:pPr>
              <w:rPr>
                <w:rFonts w:eastAsia="Times New Roman"/>
                <w:sz w:val="20"/>
                <w:szCs w:val="20"/>
              </w:rPr>
            </w:pPr>
          </w:p>
        </w:tc>
        <w:tc>
          <w:tcPr>
            <w:tcW w:w="5" w:type="pct"/>
            <w:vAlign w:val="center"/>
            <w:hideMark/>
          </w:tcPr>
          <w:p w14:paraId="25D0603B" w14:textId="77777777" w:rsidR="00000000" w:rsidRDefault="000A3118">
            <w:pPr>
              <w:rPr>
                <w:rFonts w:eastAsia="Times New Roman"/>
                <w:sz w:val="20"/>
                <w:szCs w:val="20"/>
              </w:rPr>
            </w:pPr>
          </w:p>
        </w:tc>
        <w:tc>
          <w:tcPr>
            <w:tcW w:w="26" w:type="pct"/>
            <w:vAlign w:val="center"/>
            <w:hideMark/>
          </w:tcPr>
          <w:p w14:paraId="46087A58" w14:textId="77777777" w:rsidR="00000000" w:rsidRDefault="000A3118">
            <w:pPr>
              <w:rPr>
                <w:rFonts w:eastAsia="Times New Roman"/>
                <w:sz w:val="20"/>
                <w:szCs w:val="20"/>
              </w:rPr>
            </w:pPr>
          </w:p>
        </w:tc>
        <w:tc>
          <w:tcPr>
            <w:tcW w:w="5" w:type="pct"/>
            <w:vAlign w:val="center"/>
            <w:hideMark/>
          </w:tcPr>
          <w:p w14:paraId="4E4A63AD" w14:textId="77777777" w:rsidR="00000000" w:rsidRDefault="000A3118">
            <w:pPr>
              <w:rPr>
                <w:rFonts w:eastAsia="Times New Roman"/>
                <w:sz w:val="20"/>
                <w:szCs w:val="20"/>
              </w:rPr>
            </w:pPr>
          </w:p>
        </w:tc>
        <w:tc>
          <w:tcPr>
            <w:tcW w:w="50" w:type="pct"/>
            <w:vAlign w:val="center"/>
            <w:hideMark/>
          </w:tcPr>
          <w:p w14:paraId="16DEB84B" w14:textId="77777777" w:rsidR="00000000" w:rsidRDefault="000A3118">
            <w:pPr>
              <w:rPr>
                <w:rFonts w:eastAsia="Times New Roman"/>
                <w:sz w:val="20"/>
                <w:szCs w:val="20"/>
              </w:rPr>
            </w:pPr>
          </w:p>
        </w:tc>
        <w:tc>
          <w:tcPr>
            <w:tcW w:w="364" w:type="pct"/>
            <w:vAlign w:val="center"/>
            <w:hideMark/>
          </w:tcPr>
          <w:p w14:paraId="7950E3EB" w14:textId="77777777" w:rsidR="00000000" w:rsidRDefault="000A3118">
            <w:pPr>
              <w:rPr>
                <w:rFonts w:eastAsia="Times New Roman"/>
                <w:sz w:val="20"/>
                <w:szCs w:val="20"/>
              </w:rPr>
            </w:pPr>
          </w:p>
        </w:tc>
        <w:tc>
          <w:tcPr>
            <w:tcW w:w="5" w:type="pct"/>
            <w:vAlign w:val="center"/>
            <w:hideMark/>
          </w:tcPr>
          <w:p w14:paraId="2F44A3EF" w14:textId="77777777" w:rsidR="00000000" w:rsidRDefault="000A3118">
            <w:pPr>
              <w:rPr>
                <w:rFonts w:eastAsia="Times New Roman"/>
                <w:sz w:val="20"/>
                <w:szCs w:val="20"/>
              </w:rPr>
            </w:pPr>
          </w:p>
        </w:tc>
        <w:tc>
          <w:tcPr>
            <w:tcW w:w="5" w:type="pct"/>
            <w:vAlign w:val="center"/>
            <w:hideMark/>
          </w:tcPr>
          <w:p w14:paraId="7751E183" w14:textId="77777777" w:rsidR="00000000" w:rsidRDefault="000A3118">
            <w:pPr>
              <w:rPr>
                <w:rFonts w:eastAsia="Times New Roman"/>
                <w:sz w:val="20"/>
                <w:szCs w:val="20"/>
              </w:rPr>
            </w:pPr>
          </w:p>
        </w:tc>
        <w:tc>
          <w:tcPr>
            <w:tcW w:w="26" w:type="pct"/>
            <w:vAlign w:val="center"/>
            <w:hideMark/>
          </w:tcPr>
          <w:p w14:paraId="1B4548B1" w14:textId="77777777" w:rsidR="00000000" w:rsidRDefault="000A3118">
            <w:pPr>
              <w:rPr>
                <w:rFonts w:eastAsia="Times New Roman"/>
                <w:sz w:val="20"/>
                <w:szCs w:val="20"/>
              </w:rPr>
            </w:pPr>
          </w:p>
        </w:tc>
        <w:tc>
          <w:tcPr>
            <w:tcW w:w="5" w:type="pct"/>
            <w:vAlign w:val="center"/>
            <w:hideMark/>
          </w:tcPr>
          <w:p w14:paraId="4C026992" w14:textId="77777777" w:rsidR="00000000" w:rsidRDefault="000A3118">
            <w:pPr>
              <w:rPr>
                <w:rFonts w:eastAsia="Times New Roman"/>
                <w:sz w:val="20"/>
                <w:szCs w:val="20"/>
              </w:rPr>
            </w:pPr>
          </w:p>
        </w:tc>
        <w:tc>
          <w:tcPr>
            <w:tcW w:w="50" w:type="pct"/>
            <w:vAlign w:val="center"/>
            <w:hideMark/>
          </w:tcPr>
          <w:p w14:paraId="1398D385" w14:textId="77777777" w:rsidR="00000000" w:rsidRDefault="000A3118">
            <w:pPr>
              <w:rPr>
                <w:rFonts w:eastAsia="Times New Roman"/>
                <w:sz w:val="20"/>
                <w:szCs w:val="20"/>
              </w:rPr>
            </w:pPr>
          </w:p>
        </w:tc>
        <w:tc>
          <w:tcPr>
            <w:tcW w:w="356" w:type="pct"/>
            <w:vAlign w:val="center"/>
            <w:hideMark/>
          </w:tcPr>
          <w:p w14:paraId="68F741BF" w14:textId="77777777" w:rsidR="00000000" w:rsidRDefault="000A3118">
            <w:pPr>
              <w:rPr>
                <w:rFonts w:eastAsia="Times New Roman"/>
                <w:sz w:val="20"/>
                <w:szCs w:val="20"/>
              </w:rPr>
            </w:pPr>
          </w:p>
        </w:tc>
        <w:tc>
          <w:tcPr>
            <w:tcW w:w="5" w:type="pct"/>
            <w:vAlign w:val="center"/>
            <w:hideMark/>
          </w:tcPr>
          <w:p w14:paraId="70A23192" w14:textId="77777777" w:rsidR="00000000" w:rsidRDefault="000A3118">
            <w:pPr>
              <w:rPr>
                <w:rFonts w:eastAsia="Times New Roman"/>
                <w:sz w:val="20"/>
                <w:szCs w:val="20"/>
              </w:rPr>
            </w:pPr>
          </w:p>
        </w:tc>
        <w:tc>
          <w:tcPr>
            <w:tcW w:w="5" w:type="pct"/>
            <w:vAlign w:val="center"/>
            <w:hideMark/>
          </w:tcPr>
          <w:p w14:paraId="1954B18A" w14:textId="77777777" w:rsidR="00000000" w:rsidRDefault="000A3118">
            <w:pPr>
              <w:rPr>
                <w:rFonts w:eastAsia="Times New Roman"/>
                <w:sz w:val="20"/>
                <w:szCs w:val="20"/>
              </w:rPr>
            </w:pPr>
          </w:p>
        </w:tc>
        <w:tc>
          <w:tcPr>
            <w:tcW w:w="26" w:type="pct"/>
            <w:vAlign w:val="center"/>
            <w:hideMark/>
          </w:tcPr>
          <w:p w14:paraId="612BCC94" w14:textId="77777777" w:rsidR="00000000" w:rsidRDefault="000A3118">
            <w:pPr>
              <w:rPr>
                <w:rFonts w:eastAsia="Times New Roman"/>
                <w:sz w:val="20"/>
                <w:szCs w:val="20"/>
              </w:rPr>
            </w:pPr>
          </w:p>
        </w:tc>
        <w:tc>
          <w:tcPr>
            <w:tcW w:w="5" w:type="pct"/>
            <w:vAlign w:val="center"/>
            <w:hideMark/>
          </w:tcPr>
          <w:p w14:paraId="6854349C" w14:textId="77777777" w:rsidR="00000000" w:rsidRDefault="000A3118">
            <w:pPr>
              <w:rPr>
                <w:rFonts w:eastAsia="Times New Roman"/>
                <w:sz w:val="20"/>
                <w:szCs w:val="20"/>
              </w:rPr>
            </w:pPr>
          </w:p>
        </w:tc>
        <w:tc>
          <w:tcPr>
            <w:tcW w:w="50" w:type="pct"/>
            <w:vAlign w:val="center"/>
            <w:hideMark/>
          </w:tcPr>
          <w:p w14:paraId="017345A1" w14:textId="77777777" w:rsidR="00000000" w:rsidRDefault="000A3118">
            <w:pPr>
              <w:rPr>
                <w:rFonts w:eastAsia="Times New Roman"/>
                <w:sz w:val="20"/>
                <w:szCs w:val="20"/>
              </w:rPr>
            </w:pPr>
          </w:p>
        </w:tc>
        <w:tc>
          <w:tcPr>
            <w:tcW w:w="364" w:type="pct"/>
            <w:vAlign w:val="center"/>
            <w:hideMark/>
          </w:tcPr>
          <w:p w14:paraId="3E42D5C1" w14:textId="77777777" w:rsidR="00000000" w:rsidRDefault="000A3118">
            <w:pPr>
              <w:rPr>
                <w:rFonts w:eastAsia="Times New Roman"/>
                <w:sz w:val="20"/>
                <w:szCs w:val="20"/>
              </w:rPr>
            </w:pPr>
          </w:p>
        </w:tc>
        <w:tc>
          <w:tcPr>
            <w:tcW w:w="5" w:type="pct"/>
            <w:vAlign w:val="center"/>
            <w:hideMark/>
          </w:tcPr>
          <w:p w14:paraId="250F23A9" w14:textId="77777777" w:rsidR="00000000" w:rsidRDefault="000A3118">
            <w:pPr>
              <w:rPr>
                <w:rFonts w:eastAsia="Times New Roman"/>
                <w:sz w:val="20"/>
                <w:szCs w:val="20"/>
              </w:rPr>
            </w:pPr>
          </w:p>
        </w:tc>
        <w:tc>
          <w:tcPr>
            <w:tcW w:w="5" w:type="pct"/>
            <w:vAlign w:val="center"/>
            <w:hideMark/>
          </w:tcPr>
          <w:p w14:paraId="50D7C177" w14:textId="77777777" w:rsidR="00000000" w:rsidRDefault="000A3118">
            <w:pPr>
              <w:rPr>
                <w:rFonts w:eastAsia="Times New Roman"/>
                <w:sz w:val="20"/>
                <w:szCs w:val="20"/>
              </w:rPr>
            </w:pPr>
          </w:p>
        </w:tc>
        <w:tc>
          <w:tcPr>
            <w:tcW w:w="26" w:type="pct"/>
            <w:vAlign w:val="center"/>
            <w:hideMark/>
          </w:tcPr>
          <w:p w14:paraId="0025DF7B" w14:textId="77777777" w:rsidR="00000000" w:rsidRDefault="000A3118">
            <w:pPr>
              <w:rPr>
                <w:rFonts w:eastAsia="Times New Roman"/>
                <w:sz w:val="20"/>
                <w:szCs w:val="20"/>
              </w:rPr>
            </w:pPr>
          </w:p>
        </w:tc>
        <w:tc>
          <w:tcPr>
            <w:tcW w:w="5" w:type="pct"/>
            <w:vAlign w:val="center"/>
            <w:hideMark/>
          </w:tcPr>
          <w:p w14:paraId="47FB1EB7" w14:textId="77777777" w:rsidR="00000000" w:rsidRDefault="000A3118">
            <w:pPr>
              <w:rPr>
                <w:rFonts w:eastAsia="Times New Roman"/>
                <w:sz w:val="20"/>
                <w:szCs w:val="20"/>
              </w:rPr>
            </w:pPr>
          </w:p>
        </w:tc>
        <w:tc>
          <w:tcPr>
            <w:tcW w:w="50" w:type="pct"/>
            <w:vAlign w:val="center"/>
            <w:hideMark/>
          </w:tcPr>
          <w:p w14:paraId="07D632B2" w14:textId="77777777" w:rsidR="00000000" w:rsidRDefault="000A3118">
            <w:pPr>
              <w:rPr>
                <w:rFonts w:eastAsia="Times New Roman"/>
                <w:sz w:val="20"/>
                <w:szCs w:val="20"/>
              </w:rPr>
            </w:pPr>
          </w:p>
        </w:tc>
        <w:tc>
          <w:tcPr>
            <w:tcW w:w="327" w:type="pct"/>
            <w:vAlign w:val="center"/>
            <w:hideMark/>
          </w:tcPr>
          <w:p w14:paraId="3F637ADB" w14:textId="77777777" w:rsidR="00000000" w:rsidRDefault="000A3118">
            <w:pPr>
              <w:rPr>
                <w:rFonts w:eastAsia="Times New Roman"/>
                <w:sz w:val="20"/>
                <w:szCs w:val="20"/>
              </w:rPr>
            </w:pPr>
          </w:p>
        </w:tc>
        <w:tc>
          <w:tcPr>
            <w:tcW w:w="5" w:type="pct"/>
            <w:vAlign w:val="center"/>
            <w:hideMark/>
          </w:tcPr>
          <w:p w14:paraId="666CF321" w14:textId="77777777" w:rsidR="00000000" w:rsidRDefault="000A3118">
            <w:pPr>
              <w:rPr>
                <w:rFonts w:eastAsia="Times New Roman"/>
                <w:sz w:val="20"/>
                <w:szCs w:val="20"/>
              </w:rPr>
            </w:pPr>
          </w:p>
        </w:tc>
        <w:tc>
          <w:tcPr>
            <w:tcW w:w="5" w:type="pct"/>
            <w:vAlign w:val="center"/>
            <w:hideMark/>
          </w:tcPr>
          <w:p w14:paraId="7CB83571" w14:textId="77777777" w:rsidR="00000000" w:rsidRDefault="000A3118">
            <w:pPr>
              <w:rPr>
                <w:rFonts w:eastAsia="Times New Roman"/>
                <w:sz w:val="20"/>
                <w:szCs w:val="20"/>
              </w:rPr>
            </w:pPr>
          </w:p>
        </w:tc>
        <w:tc>
          <w:tcPr>
            <w:tcW w:w="26" w:type="pct"/>
            <w:vAlign w:val="center"/>
            <w:hideMark/>
          </w:tcPr>
          <w:p w14:paraId="41E724F0" w14:textId="77777777" w:rsidR="00000000" w:rsidRDefault="000A3118">
            <w:pPr>
              <w:rPr>
                <w:rFonts w:eastAsia="Times New Roman"/>
                <w:sz w:val="20"/>
                <w:szCs w:val="20"/>
              </w:rPr>
            </w:pPr>
          </w:p>
        </w:tc>
        <w:tc>
          <w:tcPr>
            <w:tcW w:w="5" w:type="pct"/>
            <w:vAlign w:val="center"/>
            <w:hideMark/>
          </w:tcPr>
          <w:p w14:paraId="5B80F2D0" w14:textId="77777777" w:rsidR="00000000" w:rsidRDefault="000A3118">
            <w:pPr>
              <w:rPr>
                <w:rFonts w:eastAsia="Times New Roman"/>
                <w:sz w:val="20"/>
                <w:szCs w:val="20"/>
              </w:rPr>
            </w:pPr>
          </w:p>
        </w:tc>
        <w:tc>
          <w:tcPr>
            <w:tcW w:w="50" w:type="pct"/>
            <w:vAlign w:val="center"/>
            <w:hideMark/>
          </w:tcPr>
          <w:p w14:paraId="7CEFF76A" w14:textId="77777777" w:rsidR="00000000" w:rsidRDefault="000A3118">
            <w:pPr>
              <w:rPr>
                <w:rFonts w:eastAsia="Times New Roman"/>
                <w:sz w:val="20"/>
                <w:szCs w:val="20"/>
              </w:rPr>
            </w:pPr>
          </w:p>
        </w:tc>
        <w:tc>
          <w:tcPr>
            <w:tcW w:w="356" w:type="pct"/>
            <w:vAlign w:val="center"/>
            <w:hideMark/>
          </w:tcPr>
          <w:p w14:paraId="1CF3A641" w14:textId="77777777" w:rsidR="00000000" w:rsidRDefault="000A3118">
            <w:pPr>
              <w:rPr>
                <w:rFonts w:eastAsia="Times New Roman"/>
                <w:sz w:val="20"/>
                <w:szCs w:val="20"/>
              </w:rPr>
            </w:pPr>
          </w:p>
        </w:tc>
        <w:tc>
          <w:tcPr>
            <w:tcW w:w="5" w:type="pct"/>
            <w:vAlign w:val="center"/>
            <w:hideMark/>
          </w:tcPr>
          <w:p w14:paraId="4A3DD21F" w14:textId="77777777" w:rsidR="00000000" w:rsidRDefault="000A3118">
            <w:pPr>
              <w:rPr>
                <w:rFonts w:eastAsia="Times New Roman"/>
                <w:sz w:val="20"/>
                <w:szCs w:val="20"/>
              </w:rPr>
            </w:pPr>
          </w:p>
        </w:tc>
        <w:tc>
          <w:tcPr>
            <w:tcW w:w="5" w:type="pct"/>
            <w:vAlign w:val="center"/>
            <w:hideMark/>
          </w:tcPr>
          <w:p w14:paraId="40B2C62E" w14:textId="77777777" w:rsidR="00000000" w:rsidRDefault="000A3118">
            <w:pPr>
              <w:rPr>
                <w:rFonts w:eastAsia="Times New Roman"/>
                <w:sz w:val="20"/>
                <w:szCs w:val="20"/>
              </w:rPr>
            </w:pPr>
          </w:p>
        </w:tc>
        <w:tc>
          <w:tcPr>
            <w:tcW w:w="41" w:type="pct"/>
            <w:vAlign w:val="center"/>
            <w:hideMark/>
          </w:tcPr>
          <w:p w14:paraId="2569A12A" w14:textId="77777777" w:rsidR="00000000" w:rsidRDefault="000A3118">
            <w:pPr>
              <w:rPr>
                <w:rFonts w:eastAsia="Times New Roman"/>
                <w:sz w:val="20"/>
                <w:szCs w:val="20"/>
              </w:rPr>
            </w:pPr>
          </w:p>
        </w:tc>
        <w:tc>
          <w:tcPr>
            <w:tcW w:w="5" w:type="pct"/>
            <w:vAlign w:val="center"/>
            <w:hideMark/>
          </w:tcPr>
          <w:p w14:paraId="6058828D" w14:textId="77777777" w:rsidR="00000000" w:rsidRDefault="000A3118">
            <w:pPr>
              <w:rPr>
                <w:rFonts w:eastAsia="Times New Roman"/>
                <w:sz w:val="20"/>
                <w:szCs w:val="20"/>
              </w:rPr>
            </w:pPr>
          </w:p>
        </w:tc>
        <w:tc>
          <w:tcPr>
            <w:tcW w:w="50" w:type="pct"/>
            <w:vAlign w:val="center"/>
            <w:hideMark/>
          </w:tcPr>
          <w:p w14:paraId="3E954133" w14:textId="77777777" w:rsidR="00000000" w:rsidRDefault="000A3118">
            <w:pPr>
              <w:rPr>
                <w:rFonts w:eastAsia="Times New Roman"/>
                <w:sz w:val="20"/>
                <w:szCs w:val="20"/>
              </w:rPr>
            </w:pPr>
          </w:p>
        </w:tc>
        <w:tc>
          <w:tcPr>
            <w:tcW w:w="364" w:type="pct"/>
            <w:vAlign w:val="center"/>
            <w:hideMark/>
          </w:tcPr>
          <w:p w14:paraId="7EF32388" w14:textId="77777777" w:rsidR="00000000" w:rsidRDefault="000A3118">
            <w:pPr>
              <w:rPr>
                <w:rFonts w:eastAsia="Times New Roman"/>
                <w:sz w:val="20"/>
                <w:szCs w:val="20"/>
              </w:rPr>
            </w:pPr>
          </w:p>
        </w:tc>
        <w:tc>
          <w:tcPr>
            <w:tcW w:w="5" w:type="pct"/>
            <w:vAlign w:val="center"/>
            <w:hideMark/>
          </w:tcPr>
          <w:p w14:paraId="50A708B9" w14:textId="77777777" w:rsidR="00000000" w:rsidRDefault="000A3118">
            <w:pPr>
              <w:rPr>
                <w:rFonts w:eastAsia="Times New Roman"/>
                <w:sz w:val="20"/>
                <w:szCs w:val="20"/>
              </w:rPr>
            </w:pPr>
          </w:p>
        </w:tc>
      </w:tr>
      <w:tr w:rsidR="00000000" w14:paraId="446651A4" w14:textId="77777777">
        <w:trPr>
          <w:divId w:val="1494028172"/>
        </w:trPr>
        <w:tc>
          <w:tcPr>
            <w:tcW w:w="0" w:type="auto"/>
            <w:gridSpan w:val="3"/>
            <w:tcMar>
              <w:top w:w="0" w:type="dxa"/>
              <w:left w:w="20" w:type="dxa"/>
              <w:bottom w:w="0" w:type="dxa"/>
              <w:right w:w="20" w:type="dxa"/>
            </w:tcMar>
            <w:vAlign w:val="center"/>
            <w:hideMark/>
          </w:tcPr>
          <w:p w14:paraId="1C493A69"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052958D"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3B402009" w14:textId="77777777" w:rsidR="00000000" w:rsidRDefault="000A3118">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hideMark/>
          </w:tcPr>
          <w:p w14:paraId="2619BCA2" w14:textId="77777777" w:rsidR="00000000" w:rsidRDefault="000A3118">
            <w:pPr>
              <w:jc w:val="center"/>
              <w:rPr>
                <w:rFonts w:eastAsia="Times New Roman"/>
              </w:rPr>
            </w:pPr>
            <w:r>
              <w:rPr>
                <w:rFonts w:eastAsia="Times New Roman"/>
                <w:b/>
                <w:bCs/>
                <w:color w:val="000000"/>
                <w:sz w:val="16"/>
                <w:szCs w:val="16"/>
              </w:rPr>
              <w:t>Location and Amount of Gain and (Loss) Recog</w:t>
            </w:r>
            <w:r>
              <w:rPr>
                <w:rFonts w:eastAsia="Times New Roman"/>
                <w:b/>
                <w:bCs/>
                <w:color w:val="000000"/>
                <w:sz w:val="16"/>
                <w:szCs w:val="16"/>
              </w:rPr>
              <w:t>nized in Income on Fair Value and Cash Flow Hedging Relationships</w:t>
            </w:r>
          </w:p>
        </w:tc>
      </w:tr>
      <w:tr w:rsidR="00000000" w14:paraId="211A37CB" w14:textId="77777777">
        <w:trPr>
          <w:divId w:val="1494028172"/>
        </w:trPr>
        <w:tc>
          <w:tcPr>
            <w:tcW w:w="0" w:type="auto"/>
            <w:gridSpan w:val="3"/>
            <w:tcMar>
              <w:top w:w="0" w:type="dxa"/>
              <w:left w:w="20" w:type="dxa"/>
              <w:bottom w:w="0" w:type="dxa"/>
              <w:right w:w="20" w:type="dxa"/>
            </w:tcMar>
            <w:vAlign w:val="center"/>
            <w:hideMark/>
          </w:tcPr>
          <w:p w14:paraId="2456E2A9"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34423E51"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6C5D89DB" w14:textId="77777777" w:rsidR="00000000" w:rsidRDefault="000A3118">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5B7E8DFE" w14:textId="77777777" w:rsidR="00000000" w:rsidRDefault="000A3118">
            <w:pPr>
              <w:jc w:val="center"/>
              <w:rPr>
                <w:rFonts w:eastAsia="Times New Roman"/>
              </w:rPr>
            </w:pPr>
            <w:r>
              <w:rPr>
                <w:rFonts w:eastAsia="Times New Roman"/>
                <w:b/>
                <w:bCs/>
                <w:color w:val="000000"/>
                <w:sz w:val="16"/>
                <w:szCs w:val="16"/>
              </w:rPr>
              <w:t>For the Three Months Ended</w:t>
            </w:r>
          </w:p>
        </w:tc>
      </w:tr>
      <w:tr w:rsidR="00000000" w14:paraId="42573061" w14:textId="77777777">
        <w:trPr>
          <w:divId w:val="1494028172"/>
        </w:trPr>
        <w:tc>
          <w:tcPr>
            <w:tcW w:w="0" w:type="auto"/>
            <w:gridSpan w:val="3"/>
            <w:tcMar>
              <w:top w:w="0" w:type="dxa"/>
              <w:left w:w="20" w:type="dxa"/>
              <w:bottom w:w="0" w:type="dxa"/>
              <w:right w:w="20" w:type="dxa"/>
            </w:tcMar>
            <w:vAlign w:val="center"/>
            <w:hideMark/>
          </w:tcPr>
          <w:p w14:paraId="05DB3D84"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46D3B177"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24C0B21" w14:textId="77777777" w:rsidR="00000000" w:rsidRDefault="000A3118">
            <w:pPr>
              <w:rPr>
                <w:rFonts w:eastAsia="Times New Roman"/>
                <w:sz w:val="20"/>
                <w:szCs w:val="20"/>
              </w:rPr>
            </w:pPr>
          </w:p>
        </w:tc>
        <w:tc>
          <w:tcPr>
            <w:tcW w:w="0" w:type="auto"/>
            <w:gridSpan w:val="15"/>
            <w:tcMar>
              <w:top w:w="30" w:type="dxa"/>
              <w:left w:w="20" w:type="dxa"/>
              <w:bottom w:w="30" w:type="dxa"/>
              <w:right w:w="20" w:type="dxa"/>
            </w:tcMar>
            <w:vAlign w:val="bottom"/>
            <w:hideMark/>
          </w:tcPr>
          <w:p w14:paraId="7A53D637" w14:textId="77777777" w:rsidR="00000000" w:rsidRDefault="000A3118">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14:paraId="7D4DE507" w14:textId="77777777" w:rsidR="00000000" w:rsidRDefault="000A3118">
            <w:pPr>
              <w:jc w:val="center"/>
              <w:rPr>
                <w:rFonts w:eastAsia="Times New Roman"/>
              </w:rPr>
            </w:pPr>
          </w:p>
        </w:tc>
        <w:tc>
          <w:tcPr>
            <w:tcW w:w="0" w:type="auto"/>
            <w:gridSpan w:val="15"/>
            <w:tcMar>
              <w:top w:w="30" w:type="dxa"/>
              <w:left w:w="20" w:type="dxa"/>
              <w:bottom w:w="30" w:type="dxa"/>
              <w:right w:w="20" w:type="dxa"/>
            </w:tcMar>
            <w:vAlign w:val="bottom"/>
            <w:hideMark/>
          </w:tcPr>
          <w:p w14:paraId="305830DC" w14:textId="77777777" w:rsidR="00000000" w:rsidRDefault="000A3118">
            <w:pPr>
              <w:jc w:val="center"/>
              <w:rPr>
                <w:rFonts w:eastAsia="Times New Roman"/>
              </w:rPr>
            </w:pPr>
            <w:r>
              <w:rPr>
                <w:rFonts w:eastAsia="Times New Roman"/>
                <w:b/>
                <w:bCs/>
                <w:color w:val="000000"/>
                <w:sz w:val="16"/>
                <w:szCs w:val="16"/>
              </w:rPr>
              <w:t>September 30, 2019</w:t>
            </w:r>
          </w:p>
        </w:tc>
      </w:tr>
      <w:tr w:rsidR="00000000" w14:paraId="2F738A4F" w14:textId="77777777">
        <w:trPr>
          <w:divId w:val="1494028172"/>
        </w:trPr>
        <w:tc>
          <w:tcPr>
            <w:tcW w:w="0" w:type="auto"/>
            <w:gridSpan w:val="6"/>
            <w:shd w:val="clear" w:color="auto" w:fill="CCEEFF"/>
            <w:tcMar>
              <w:top w:w="0" w:type="dxa"/>
              <w:left w:w="20" w:type="dxa"/>
              <w:bottom w:w="0" w:type="dxa"/>
              <w:right w:w="20" w:type="dxa"/>
            </w:tcMar>
            <w:vAlign w:val="center"/>
            <w:hideMark/>
          </w:tcPr>
          <w:p w14:paraId="25E7C584" w14:textId="77777777" w:rsidR="00000000" w:rsidRDefault="000A3118">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12F58"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7D22D5E" w14:textId="77777777" w:rsidR="00000000" w:rsidRDefault="000A3118">
            <w:pPr>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23464A" w14:textId="77777777" w:rsidR="00000000" w:rsidRDefault="000A311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54C683C" w14:textId="77777777" w:rsidR="00000000" w:rsidRDefault="000A3118">
            <w:pPr>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47C075" w14:textId="77777777" w:rsidR="00000000" w:rsidRDefault="000A311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EAF0951" w14:textId="77777777" w:rsidR="00000000" w:rsidRDefault="000A3118">
            <w:pPr>
              <w:jc w:val="center"/>
              <w:rPr>
                <w:rFonts w:eastAsia="Times New Roman"/>
              </w:rPr>
            </w:pPr>
            <w:r>
              <w:rPr>
                <w:rFonts w:eastAsia="Times New Roman"/>
                <w:b/>
                <w:bCs/>
                <w:color w:val="000000"/>
                <w:sz w:val="16"/>
                <w:szCs w:val="16"/>
              </w:rPr>
              <w:t>Interest expense and other financing costs,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0546D6" w14:textId="77777777" w:rsidR="00000000" w:rsidRDefault="000A311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17B547C" w14:textId="77777777" w:rsidR="00000000" w:rsidRDefault="000A3118">
            <w:pPr>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650398" w14:textId="77777777" w:rsidR="00000000" w:rsidRDefault="000A311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547C34C" w14:textId="77777777" w:rsidR="00000000" w:rsidRDefault="000A3118">
            <w:pPr>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1C15BA" w14:textId="77777777" w:rsidR="00000000" w:rsidRDefault="000A311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97A2F41" w14:textId="77777777" w:rsidR="00000000" w:rsidRDefault="000A3118">
            <w:pPr>
              <w:jc w:val="center"/>
              <w:rPr>
                <w:rFonts w:eastAsia="Times New Roman"/>
              </w:rPr>
            </w:pPr>
            <w:r>
              <w:rPr>
                <w:rFonts w:eastAsia="Times New Roman"/>
                <w:b/>
                <w:bCs/>
                <w:color w:val="000000"/>
                <w:sz w:val="16"/>
                <w:szCs w:val="16"/>
              </w:rPr>
              <w:t>Interest expense and other financing costs, net</w:t>
            </w:r>
          </w:p>
        </w:tc>
      </w:tr>
      <w:tr w:rsidR="00000000" w14:paraId="7F5EC5B1" w14:textId="77777777">
        <w:trPr>
          <w:divId w:val="1494028172"/>
        </w:trPr>
        <w:tc>
          <w:tcPr>
            <w:tcW w:w="0" w:type="auto"/>
            <w:gridSpan w:val="6"/>
            <w:shd w:val="clear" w:color="auto" w:fill="FFFFFF"/>
            <w:tcMar>
              <w:top w:w="30" w:type="dxa"/>
              <w:left w:w="20" w:type="dxa"/>
              <w:bottom w:w="30" w:type="dxa"/>
              <w:right w:w="20" w:type="dxa"/>
            </w:tcMar>
            <w:hideMark/>
          </w:tcPr>
          <w:p w14:paraId="7E8DCD4A" w14:textId="77777777" w:rsidR="00000000" w:rsidRDefault="000A3118">
            <w:pPr>
              <w:rPr>
                <w:rFonts w:eastAsia="Times New Roman"/>
              </w:rPr>
            </w:pPr>
            <w:r>
              <w:rPr>
                <w:rFonts w:eastAsia="Times New Roman"/>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14:paraId="210992DC" w14:textId="77777777" w:rsidR="00000000" w:rsidRDefault="000A3118">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753C8E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44E3A1A" w14:textId="77777777" w:rsidR="00000000" w:rsidRDefault="000A3118">
            <w:pPr>
              <w:jc w:val="right"/>
              <w:rPr>
                <w:rFonts w:eastAsia="Times New Roman"/>
              </w:rPr>
            </w:pPr>
            <w:r>
              <w:rPr>
                <w:rFonts w:eastAsia="Times New Roman"/>
                <w:color w:val="000000"/>
                <w:sz w:val="16"/>
                <w:szCs w:val="16"/>
              </w:rPr>
              <w:t>4,482.7 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17D388"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1AEB51"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4C22CE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841C01C" w14:textId="77777777" w:rsidR="00000000" w:rsidRDefault="000A3118">
            <w:pPr>
              <w:jc w:val="right"/>
              <w:rPr>
                <w:rFonts w:eastAsia="Times New Roman"/>
              </w:rPr>
            </w:pPr>
            <w:r>
              <w:rPr>
                <w:rFonts w:eastAsia="Times New Roman"/>
                <w:color w:val="000000"/>
                <w:sz w:val="16"/>
                <w:szCs w:val="16"/>
              </w:rPr>
              <w:t>4,268.7 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73C783"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B9E886"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01A20F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56E833B" w14:textId="77777777" w:rsidR="00000000" w:rsidRDefault="000A3118">
            <w:pPr>
              <w:jc w:val="right"/>
              <w:rPr>
                <w:rFonts w:eastAsia="Times New Roman"/>
              </w:rPr>
            </w:pPr>
            <w:r>
              <w:rPr>
                <w:rFonts w:eastAsia="Times New Roman"/>
                <w:color w:val="000000"/>
                <w:sz w:val="16"/>
                <w:szCs w:val="16"/>
              </w:rPr>
              <w:t>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AD6BCA"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0CF9E0"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7DAE9E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44B3EF7" w14:textId="77777777" w:rsidR="00000000" w:rsidRDefault="000A3118">
            <w:pPr>
              <w:jc w:val="right"/>
              <w:rPr>
                <w:rFonts w:eastAsia="Times New Roman"/>
              </w:rPr>
            </w:pPr>
            <w:r>
              <w:rPr>
                <w:rFonts w:eastAsia="Times New Roman"/>
                <w:color w:val="000000"/>
                <w:sz w:val="16"/>
                <w:szCs w:val="16"/>
              </w:rPr>
              <w:t>9,322.7 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5BB8EF5"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767FEFC"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BADC2F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41C76A3" w14:textId="77777777" w:rsidR="00000000" w:rsidRDefault="000A3118">
            <w:pPr>
              <w:jc w:val="right"/>
              <w:rPr>
                <w:rFonts w:eastAsia="Times New Roman"/>
              </w:rPr>
            </w:pPr>
            <w:r>
              <w:rPr>
                <w:rFonts w:eastAsia="Times New Roman"/>
                <w:color w:val="000000"/>
                <w:sz w:val="16"/>
                <w:szCs w:val="16"/>
              </w:rPr>
              <w:t>9,017.0 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0011F3"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BD5CBC"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F9B80B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BA7012C" w14:textId="77777777" w:rsidR="00000000" w:rsidRDefault="000A3118">
            <w:pPr>
              <w:jc w:val="right"/>
              <w:rPr>
                <w:rFonts w:eastAsia="Times New Roman"/>
              </w:rPr>
            </w:pPr>
            <w:r>
              <w:rPr>
                <w:rFonts w:eastAsia="Times New Roman"/>
                <w:color w:val="000000"/>
                <w:sz w:val="16"/>
                <w:szCs w:val="16"/>
              </w:rPr>
              <w:t>21.2 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E4AA1C" w14:textId="77777777" w:rsidR="00000000" w:rsidRDefault="000A3118">
            <w:pPr>
              <w:jc w:val="right"/>
              <w:rPr>
                <w:rFonts w:eastAsia="Times New Roman"/>
              </w:rPr>
            </w:pPr>
          </w:p>
        </w:tc>
      </w:tr>
      <w:tr w:rsidR="00000000" w14:paraId="662AC311" w14:textId="77777777">
        <w:trPr>
          <w:divId w:val="1494028172"/>
        </w:trPr>
        <w:tc>
          <w:tcPr>
            <w:tcW w:w="0" w:type="auto"/>
            <w:gridSpan w:val="6"/>
            <w:shd w:val="clear" w:color="auto" w:fill="CCEEFF"/>
            <w:tcMar>
              <w:top w:w="30" w:type="dxa"/>
              <w:left w:w="225" w:type="dxa"/>
              <w:bottom w:w="30" w:type="dxa"/>
              <w:right w:w="20" w:type="dxa"/>
            </w:tcMar>
            <w:hideMark/>
          </w:tcPr>
          <w:p w14:paraId="71D3091D" w14:textId="77777777" w:rsidR="00000000" w:rsidRDefault="000A3118">
            <w:pPr>
              <w:rPr>
                <w:rFonts w:eastAsia="Times New Roman"/>
              </w:rPr>
            </w:pPr>
            <w:r>
              <w:rPr>
                <w:rFonts w:eastAsia="Times New Roman"/>
                <w:color w:val="000000"/>
                <w:sz w:val="16"/>
                <w:szCs w:val="16"/>
              </w:rPr>
              <w:t>Gains or Loss on fair value hedge relationships:</w:t>
            </w:r>
          </w:p>
        </w:tc>
        <w:tc>
          <w:tcPr>
            <w:tcW w:w="0" w:type="auto"/>
            <w:gridSpan w:val="3"/>
            <w:shd w:val="clear" w:color="auto" w:fill="CCEEFF"/>
            <w:tcMar>
              <w:top w:w="0" w:type="dxa"/>
              <w:left w:w="20" w:type="dxa"/>
              <w:bottom w:w="0" w:type="dxa"/>
              <w:right w:w="20" w:type="dxa"/>
            </w:tcMar>
            <w:vAlign w:val="center"/>
            <w:hideMark/>
          </w:tcPr>
          <w:p w14:paraId="48119A71" w14:textId="77777777" w:rsidR="00000000" w:rsidRDefault="000A3118">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EB318"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099BF3"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B09943"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F46CF7"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052076"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BB3BD0"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F27872"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039E1A"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D552D7"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D7E4A3"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6B15A9" w14:textId="77777777" w:rsidR="00000000" w:rsidRDefault="000A3118">
            <w:pPr>
              <w:rPr>
                <w:rFonts w:eastAsia="Times New Roman"/>
                <w:sz w:val="20"/>
                <w:szCs w:val="20"/>
              </w:rPr>
            </w:pPr>
          </w:p>
        </w:tc>
      </w:tr>
      <w:tr w:rsidR="00000000" w14:paraId="492AE3D3" w14:textId="77777777">
        <w:trPr>
          <w:divId w:val="1494028172"/>
        </w:trPr>
        <w:tc>
          <w:tcPr>
            <w:tcW w:w="0" w:type="auto"/>
            <w:gridSpan w:val="3"/>
            <w:shd w:val="clear" w:color="auto" w:fill="FFFFFF"/>
            <w:tcMar>
              <w:top w:w="30" w:type="dxa"/>
              <w:left w:w="225" w:type="dxa"/>
              <w:bottom w:w="30" w:type="dxa"/>
              <w:right w:w="20" w:type="dxa"/>
            </w:tcMar>
            <w:hideMark/>
          </w:tcPr>
          <w:p w14:paraId="118A58BE" w14:textId="77777777" w:rsidR="00000000" w:rsidRDefault="000A3118">
            <w:pPr>
              <w:rPr>
                <w:rFonts w:eastAsia="Times New Roman"/>
              </w:rPr>
            </w:pPr>
            <w:r>
              <w:rPr>
                <w:rFonts w:eastAsia="Times New Roman"/>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14:paraId="037B2447"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B7490"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2377B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B4017E"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AA152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FAD6A7"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09C22D"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6AF56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55BEC5"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846E8C"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91C8C0"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CF4A11"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591942" w14:textId="77777777" w:rsidR="00000000" w:rsidRDefault="000A3118">
            <w:pPr>
              <w:rPr>
                <w:rFonts w:eastAsia="Times New Roman"/>
                <w:sz w:val="20"/>
                <w:szCs w:val="20"/>
              </w:rPr>
            </w:pPr>
          </w:p>
        </w:tc>
      </w:tr>
      <w:tr w:rsidR="00000000" w14:paraId="003B2DDD" w14:textId="77777777">
        <w:trPr>
          <w:divId w:val="1494028172"/>
        </w:trPr>
        <w:tc>
          <w:tcPr>
            <w:tcW w:w="0" w:type="auto"/>
            <w:gridSpan w:val="3"/>
            <w:shd w:val="clear" w:color="auto" w:fill="CCEEFF"/>
            <w:tcMar>
              <w:top w:w="0" w:type="dxa"/>
              <w:left w:w="20" w:type="dxa"/>
              <w:bottom w:w="0" w:type="dxa"/>
              <w:right w:w="20" w:type="dxa"/>
            </w:tcMar>
            <w:vAlign w:val="center"/>
            <w:hideMark/>
          </w:tcPr>
          <w:p w14:paraId="0D72F03E" w14:textId="77777777" w:rsidR="00000000" w:rsidRDefault="000A3118">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D774528" w14:textId="77777777" w:rsidR="00000000" w:rsidRDefault="000A3118">
            <w:pPr>
              <w:rPr>
                <w:rFonts w:eastAsia="Times New Roman"/>
              </w:rPr>
            </w:pPr>
            <w:r>
              <w:rPr>
                <w:rFonts w:eastAsia="Times New Roman"/>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14:paraId="33A4BFB6"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25B7B17"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A8DF04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6D1B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E84D19" w14:textId="77777777" w:rsidR="00000000" w:rsidRDefault="000A3118">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center"/>
            <w:hideMark/>
          </w:tcPr>
          <w:p w14:paraId="47E275F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D4ACA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F028F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A6011E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A942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330EA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4C554F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5941B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3B46AD" w14:textId="77777777" w:rsidR="00000000" w:rsidRDefault="000A3118">
            <w:pPr>
              <w:jc w:val="right"/>
              <w:rPr>
                <w:rFonts w:eastAsia="Times New Roman"/>
              </w:rPr>
            </w:pPr>
            <w:r>
              <w:rPr>
                <w:rFonts w:eastAsia="Times New Roman"/>
                <w:color w:val="000000"/>
                <w:sz w:val="16"/>
                <w:szCs w:val="16"/>
              </w:rPr>
              <w:t>(0.5)</w:t>
            </w:r>
          </w:p>
        </w:tc>
        <w:tc>
          <w:tcPr>
            <w:tcW w:w="0" w:type="auto"/>
            <w:shd w:val="clear" w:color="auto" w:fill="CCEEFF"/>
            <w:tcMar>
              <w:top w:w="30" w:type="dxa"/>
              <w:left w:w="0" w:type="dxa"/>
              <w:bottom w:w="30" w:type="dxa"/>
              <w:right w:w="20" w:type="dxa"/>
            </w:tcMar>
            <w:vAlign w:val="center"/>
            <w:hideMark/>
          </w:tcPr>
          <w:p w14:paraId="551326F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B0D4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C9291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2396DEE" w14:textId="77777777" w:rsidR="00000000" w:rsidRDefault="000A3118">
            <w:pPr>
              <w:jc w:val="right"/>
              <w:rPr>
                <w:rFonts w:eastAsia="Times New Roman"/>
              </w:rPr>
            </w:pPr>
          </w:p>
        </w:tc>
      </w:tr>
      <w:tr w:rsidR="00000000" w14:paraId="737AD69E" w14:textId="77777777">
        <w:trPr>
          <w:divId w:val="1494028172"/>
        </w:trPr>
        <w:tc>
          <w:tcPr>
            <w:tcW w:w="0" w:type="auto"/>
            <w:gridSpan w:val="3"/>
            <w:shd w:val="clear" w:color="auto" w:fill="FFFFFF"/>
            <w:tcMar>
              <w:top w:w="0" w:type="dxa"/>
              <w:left w:w="20" w:type="dxa"/>
              <w:bottom w:w="0" w:type="dxa"/>
              <w:right w:w="20" w:type="dxa"/>
            </w:tcMar>
            <w:vAlign w:val="center"/>
            <w:hideMark/>
          </w:tcPr>
          <w:p w14:paraId="795B280F" w14:textId="77777777" w:rsidR="00000000" w:rsidRDefault="000A311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391CD12B" w14:textId="77777777" w:rsidR="00000000" w:rsidRDefault="000A3118">
            <w:pPr>
              <w:rPr>
                <w:rFonts w:eastAsia="Times New Roman"/>
              </w:rPr>
            </w:pPr>
            <w:r>
              <w:rPr>
                <w:rFonts w:eastAsia="Times New Roman"/>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14:paraId="2191414E"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C830947"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A07CE9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8E7DD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7E2693" w14:textId="77777777" w:rsidR="00000000" w:rsidRDefault="000A3118">
            <w:pPr>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center"/>
            <w:hideMark/>
          </w:tcPr>
          <w:p w14:paraId="4B9AB93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FFE0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7FEE0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7DAC2C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F366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867BF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14E59D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9866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066D46" w14:textId="77777777" w:rsidR="00000000" w:rsidRDefault="000A3118">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center"/>
            <w:hideMark/>
          </w:tcPr>
          <w:p w14:paraId="329AC4F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2E37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5E0F4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17BBFD3" w14:textId="77777777" w:rsidR="00000000" w:rsidRDefault="000A3118">
            <w:pPr>
              <w:jc w:val="right"/>
              <w:rPr>
                <w:rFonts w:eastAsia="Times New Roman"/>
              </w:rPr>
            </w:pPr>
          </w:p>
        </w:tc>
      </w:tr>
      <w:tr w:rsidR="00000000" w14:paraId="5F55B46C" w14:textId="77777777">
        <w:trPr>
          <w:divId w:val="1494028172"/>
        </w:trPr>
        <w:tc>
          <w:tcPr>
            <w:tcW w:w="0" w:type="auto"/>
            <w:gridSpan w:val="3"/>
            <w:vAlign w:val="center"/>
            <w:hideMark/>
          </w:tcPr>
          <w:p w14:paraId="4A886ADA" w14:textId="77777777" w:rsidR="00000000" w:rsidRDefault="000A3118">
            <w:pPr>
              <w:jc w:val="right"/>
              <w:rPr>
                <w:rFonts w:eastAsia="Times New Roman"/>
                <w:sz w:val="20"/>
                <w:szCs w:val="20"/>
              </w:rPr>
            </w:pPr>
          </w:p>
        </w:tc>
        <w:tc>
          <w:tcPr>
            <w:tcW w:w="0" w:type="auto"/>
            <w:gridSpan w:val="3"/>
            <w:vAlign w:val="center"/>
            <w:hideMark/>
          </w:tcPr>
          <w:p w14:paraId="6E7805FC" w14:textId="77777777" w:rsidR="00000000" w:rsidRDefault="000A3118">
            <w:pPr>
              <w:rPr>
                <w:rFonts w:eastAsia="Times New Roman"/>
                <w:sz w:val="20"/>
                <w:szCs w:val="20"/>
              </w:rPr>
            </w:pPr>
          </w:p>
        </w:tc>
        <w:tc>
          <w:tcPr>
            <w:tcW w:w="0" w:type="auto"/>
            <w:gridSpan w:val="3"/>
            <w:vAlign w:val="center"/>
            <w:hideMark/>
          </w:tcPr>
          <w:p w14:paraId="0D8A77C1" w14:textId="77777777" w:rsidR="00000000" w:rsidRDefault="000A3118">
            <w:pPr>
              <w:rPr>
                <w:rFonts w:eastAsia="Times New Roman"/>
                <w:sz w:val="20"/>
                <w:szCs w:val="20"/>
              </w:rPr>
            </w:pPr>
          </w:p>
        </w:tc>
        <w:tc>
          <w:tcPr>
            <w:tcW w:w="0" w:type="auto"/>
            <w:gridSpan w:val="3"/>
            <w:vAlign w:val="center"/>
            <w:hideMark/>
          </w:tcPr>
          <w:p w14:paraId="1420ED79" w14:textId="77777777" w:rsidR="00000000" w:rsidRDefault="000A3118">
            <w:pPr>
              <w:rPr>
                <w:rFonts w:eastAsia="Times New Roman"/>
                <w:sz w:val="20"/>
                <w:szCs w:val="20"/>
              </w:rPr>
            </w:pPr>
          </w:p>
        </w:tc>
        <w:tc>
          <w:tcPr>
            <w:tcW w:w="0" w:type="auto"/>
            <w:gridSpan w:val="3"/>
            <w:vAlign w:val="center"/>
            <w:hideMark/>
          </w:tcPr>
          <w:p w14:paraId="4E4303F0" w14:textId="77777777" w:rsidR="00000000" w:rsidRDefault="000A3118">
            <w:pPr>
              <w:rPr>
                <w:rFonts w:eastAsia="Times New Roman"/>
                <w:sz w:val="20"/>
                <w:szCs w:val="20"/>
              </w:rPr>
            </w:pPr>
          </w:p>
        </w:tc>
        <w:tc>
          <w:tcPr>
            <w:tcW w:w="0" w:type="auto"/>
            <w:gridSpan w:val="3"/>
            <w:vAlign w:val="center"/>
            <w:hideMark/>
          </w:tcPr>
          <w:p w14:paraId="7BFAE4E0" w14:textId="77777777" w:rsidR="00000000" w:rsidRDefault="000A3118">
            <w:pPr>
              <w:rPr>
                <w:rFonts w:eastAsia="Times New Roman"/>
                <w:sz w:val="20"/>
                <w:szCs w:val="20"/>
              </w:rPr>
            </w:pPr>
          </w:p>
        </w:tc>
        <w:tc>
          <w:tcPr>
            <w:tcW w:w="0" w:type="auto"/>
            <w:gridSpan w:val="3"/>
            <w:vAlign w:val="center"/>
            <w:hideMark/>
          </w:tcPr>
          <w:p w14:paraId="632B6BA5" w14:textId="77777777" w:rsidR="00000000" w:rsidRDefault="000A3118">
            <w:pPr>
              <w:rPr>
                <w:rFonts w:eastAsia="Times New Roman"/>
                <w:sz w:val="20"/>
                <w:szCs w:val="20"/>
              </w:rPr>
            </w:pPr>
          </w:p>
        </w:tc>
        <w:tc>
          <w:tcPr>
            <w:tcW w:w="0" w:type="auto"/>
            <w:gridSpan w:val="3"/>
            <w:vAlign w:val="center"/>
            <w:hideMark/>
          </w:tcPr>
          <w:p w14:paraId="13CD85F7" w14:textId="77777777" w:rsidR="00000000" w:rsidRDefault="000A3118">
            <w:pPr>
              <w:rPr>
                <w:rFonts w:eastAsia="Times New Roman"/>
                <w:sz w:val="20"/>
                <w:szCs w:val="20"/>
              </w:rPr>
            </w:pPr>
          </w:p>
        </w:tc>
        <w:tc>
          <w:tcPr>
            <w:tcW w:w="0" w:type="auto"/>
            <w:gridSpan w:val="3"/>
            <w:vAlign w:val="center"/>
            <w:hideMark/>
          </w:tcPr>
          <w:p w14:paraId="4E991338" w14:textId="77777777" w:rsidR="00000000" w:rsidRDefault="000A3118">
            <w:pPr>
              <w:rPr>
                <w:rFonts w:eastAsia="Times New Roman"/>
                <w:sz w:val="20"/>
                <w:szCs w:val="20"/>
              </w:rPr>
            </w:pPr>
          </w:p>
        </w:tc>
        <w:tc>
          <w:tcPr>
            <w:tcW w:w="0" w:type="auto"/>
            <w:gridSpan w:val="3"/>
            <w:vAlign w:val="center"/>
            <w:hideMark/>
          </w:tcPr>
          <w:p w14:paraId="618337EA" w14:textId="77777777" w:rsidR="00000000" w:rsidRDefault="000A3118">
            <w:pPr>
              <w:rPr>
                <w:rFonts w:eastAsia="Times New Roman"/>
                <w:sz w:val="20"/>
                <w:szCs w:val="20"/>
              </w:rPr>
            </w:pPr>
          </w:p>
        </w:tc>
        <w:tc>
          <w:tcPr>
            <w:tcW w:w="0" w:type="auto"/>
            <w:gridSpan w:val="3"/>
            <w:vAlign w:val="center"/>
            <w:hideMark/>
          </w:tcPr>
          <w:p w14:paraId="0204ED6B" w14:textId="77777777" w:rsidR="00000000" w:rsidRDefault="000A3118">
            <w:pPr>
              <w:rPr>
                <w:rFonts w:eastAsia="Times New Roman"/>
                <w:sz w:val="20"/>
                <w:szCs w:val="20"/>
              </w:rPr>
            </w:pPr>
          </w:p>
        </w:tc>
        <w:tc>
          <w:tcPr>
            <w:tcW w:w="0" w:type="auto"/>
            <w:gridSpan w:val="3"/>
            <w:vAlign w:val="center"/>
            <w:hideMark/>
          </w:tcPr>
          <w:p w14:paraId="1214DA72" w14:textId="77777777" w:rsidR="00000000" w:rsidRDefault="000A3118">
            <w:pPr>
              <w:rPr>
                <w:rFonts w:eastAsia="Times New Roman"/>
                <w:sz w:val="20"/>
                <w:szCs w:val="20"/>
              </w:rPr>
            </w:pPr>
          </w:p>
        </w:tc>
        <w:tc>
          <w:tcPr>
            <w:tcW w:w="0" w:type="auto"/>
            <w:gridSpan w:val="3"/>
            <w:vAlign w:val="center"/>
            <w:hideMark/>
          </w:tcPr>
          <w:p w14:paraId="450D0036" w14:textId="77777777" w:rsidR="00000000" w:rsidRDefault="000A3118">
            <w:pPr>
              <w:rPr>
                <w:rFonts w:eastAsia="Times New Roman"/>
                <w:sz w:val="20"/>
                <w:szCs w:val="20"/>
              </w:rPr>
            </w:pPr>
          </w:p>
        </w:tc>
        <w:tc>
          <w:tcPr>
            <w:tcW w:w="0" w:type="auto"/>
            <w:gridSpan w:val="3"/>
            <w:vAlign w:val="center"/>
            <w:hideMark/>
          </w:tcPr>
          <w:p w14:paraId="1ECDFC53" w14:textId="77777777" w:rsidR="00000000" w:rsidRDefault="000A3118">
            <w:pPr>
              <w:rPr>
                <w:rFonts w:eastAsia="Times New Roman"/>
                <w:sz w:val="20"/>
                <w:szCs w:val="20"/>
              </w:rPr>
            </w:pPr>
          </w:p>
        </w:tc>
      </w:tr>
      <w:tr w:rsidR="00000000" w14:paraId="616C328F" w14:textId="77777777">
        <w:trPr>
          <w:divId w:val="1494028172"/>
        </w:trPr>
        <w:tc>
          <w:tcPr>
            <w:tcW w:w="0" w:type="auto"/>
            <w:gridSpan w:val="6"/>
            <w:shd w:val="clear" w:color="auto" w:fill="CCEEFF"/>
            <w:tcMar>
              <w:top w:w="30" w:type="dxa"/>
              <w:left w:w="225" w:type="dxa"/>
              <w:bottom w:w="30" w:type="dxa"/>
              <w:right w:w="20" w:type="dxa"/>
            </w:tcMar>
            <w:hideMark/>
          </w:tcPr>
          <w:p w14:paraId="75F77CE1" w14:textId="77777777" w:rsidR="00000000" w:rsidRDefault="000A3118">
            <w:pPr>
              <w:rPr>
                <w:rFonts w:eastAsia="Times New Roman"/>
              </w:rPr>
            </w:pPr>
            <w:r>
              <w:rPr>
                <w:rFonts w:eastAsia="Times New Roman"/>
                <w:color w:val="000000"/>
                <w:sz w:val="16"/>
                <w:szCs w:val="16"/>
              </w:rPr>
              <w:t>Gains or Loss on cash flow hedge relationships:</w:t>
            </w:r>
          </w:p>
        </w:tc>
        <w:tc>
          <w:tcPr>
            <w:tcW w:w="0" w:type="auto"/>
            <w:gridSpan w:val="3"/>
            <w:shd w:val="clear" w:color="auto" w:fill="CCEEFF"/>
            <w:tcMar>
              <w:top w:w="0" w:type="dxa"/>
              <w:left w:w="20" w:type="dxa"/>
              <w:bottom w:w="0" w:type="dxa"/>
              <w:right w:w="20" w:type="dxa"/>
            </w:tcMar>
            <w:vAlign w:val="center"/>
            <w:hideMark/>
          </w:tcPr>
          <w:p w14:paraId="327EC84A" w14:textId="77777777" w:rsidR="00000000" w:rsidRDefault="000A3118">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67ECC"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CB2F9F"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EEECF5"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055921"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3936EF"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FD30B1"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419CD1"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29CAD7"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57722F"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C44FA0"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2F8773" w14:textId="77777777" w:rsidR="00000000" w:rsidRDefault="000A3118">
            <w:pPr>
              <w:rPr>
                <w:rFonts w:eastAsia="Times New Roman"/>
                <w:sz w:val="20"/>
                <w:szCs w:val="20"/>
              </w:rPr>
            </w:pPr>
          </w:p>
        </w:tc>
      </w:tr>
      <w:tr w:rsidR="00000000" w14:paraId="536035D2" w14:textId="77777777">
        <w:trPr>
          <w:divId w:val="1494028172"/>
        </w:trPr>
        <w:tc>
          <w:tcPr>
            <w:tcW w:w="0" w:type="auto"/>
            <w:gridSpan w:val="3"/>
            <w:shd w:val="clear" w:color="auto" w:fill="FFFFFF"/>
            <w:tcMar>
              <w:top w:w="30" w:type="dxa"/>
              <w:left w:w="225" w:type="dxa"/>
              <w:bottom w:w="30" w:type="dxa"/>
              <w:right w:w="20" w:type="dxa"/>
            </w:tcMar>
            <w:hideMark/>
          </w:tcPr>
          <w:p w14:paraId="0EDC9023" w14:textId="77777777" w:rsidR="00000000" w:rsidRDefault="000A3118">
            <w:pPr>
              <w:rPr>
                <w:rFonts w:eastAsia="Times New Roman"/>
              </w:rPr>
            </w:pPr>
            <w:r>
              <w:rPr>
                <w:rFonts w:eastAsia="Times New Roman"/>
                <w:color w:val="000000"/>
                <w:sz w:val="16"/>
                <w:szCs w:val="16"/>
              </w:rPr>
              <w:t>   </w:t>
            </w:r>
            <w:r>
              <w:rPr>
                <w:rFonts w:eastAsia="Times New Roman"/>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14:paraId="3E924FAE"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78C3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9A26AA"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CA330D"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157E1F"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94439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F24AB5"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28BA7A"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86A10D"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DD5B8C"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0DCBF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55E4B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35C14" w14:textId="77777777" w:rsidR="00000000" w:rsidRDefault="000A3118">
            <w:pPr>
              <w:rPr>
                <w:rFonts w:eastAsia="Times New Roman"/>
                <w:sz w:val="20"/>
                <w:szCs w:val="20"/>
              </w:rPr>
            </w:pPr>
          </w:p>
        </w:tc>
      </w:tr>
      <w:tr w:rsidR="00000000" w14:paraId="6FEDEF42" w14:textId="77777777">
        <w:trPr>
          <w:divId w:val="1494028172"/>
        </w:trPr>
        <w:tc>
          <w:tcPr>
            <w:tcW w:w="0" w:type="auto"/>
            <w:gridSpan w:val="3"/>
            <w:shd w:val="clear" w:color="auto" w:fill="CCEEFF"/>
            <w:tcMar>
              <w:top w:w="0" w:type="dxa"/>
              <w:left w:w="20" w:type="dxa"/>
              <w:bottom w:w="0" w:type="dxa"/>
              <w:right w:w="20" w:type="dxa"/>
            </w:tcMar>
            <w:vAlign w:val="center"/>
            <w:hideMark/>
          </w:tcPr>
          <w:p w14:paraId="2CFD88DD" w14:textId="77777777" w:rsidR="00000000" w:rsidRDefault="000A3118">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15785C61" w14:textId="77777777" w:rsidR="00000000" w:rsidRDefault="000A3118">
            <w:pPr>
              <w:rPr>
                <w:rFonts w:eastAsia="Times New Roman"/>
              </w:rPr>
            </w:pPr>
            <w:r>
              <w:rPr>
                <w:rFonts w:eastAsia="Times New Roman"/>
                <w:color w:val="000000"/>
                <w:sz w:val="16"/>
                <w:szCs w:val="16"/>
              </w:rPr>
              <w:t>Amount of Gain (Loss) Reclassified from AOCI into Income</w:t>
            </w:r>
          </w:p>
        </w:tc>
        <w:tc>
          <w:tcPr>
            <w:tcW w:w="0" w:type="auto"/>
            <w:gridSpan w:val="3"/>
            <w:shd w:val="clear" w:color="auto" w:fill="CCEEFF"/>
            <w:tcMar>
              <w:top w:w="0" w:type="dxa"/>
              <w:left w:w="20" w:type="dxa"/>
              <w:bottom w:w="0" w:type="dxa"/>
              <w:right w:w="20" w:type="dxa"/>
            </w:tcMar>
            <w:vAlign w:val="center"/>
            <w:hideMark/>
          </w:tcPr>
          <w:p w14:paraId="457CC3C3"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E6EF777" w14:textId="77777777" w:rsidR="00000000" w:rsidRDefault="000A3118">
            <w:pPr>
              <w:jc w:val="right"/>
              <w:rPr>
                <w:rFonts w:eastAsia="Times New Roman"/>
              </w:rPr>
            </w:pPr>
            <w:r>
              <w:rPr>
                <w:rFonts w:eastAsia="Times New Roman"/>
                <w:color w:val="000000"/>
                <w:sz w:val="16"/>
                <w:szCs w:val="16"/>
              </w:rPr>
              <w:t>(2.8)</w:t>
            </w:r>
          </w:p>
        </w:tc>
        <w:tc>
          <w:tcPr>
            <w:tcW w:w="0" w:type="auto"/>
            <w:shd w:val="clear" w:color="auto" w:fill="CCEEFF"/>
            <w:tcMar>
              <w:top w:w="30" w:type="dxa"/>
              <w:left w:w="0" w:type="dxa"/>
              <w:bottom w:w="30" w:type="dxa"/>
              <w:right w:w="20" w:type="dxa"/>
            </w:tcMar>
            <w:vAlign w:val="center"/>
            <w:hideMark/>
          </w:tcPr>
          <w:p w14:paraId="6218721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DD985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2B614E" w14:textId="77777777" w:rsidR="00000000" w:rsidRDefault="000A3118">
            <w:pPr>
              <w:jc w:val="right"/>
              <w:rPr>
                <w:rFonts w:eastAsia="Times New Roman"/>
              </w:rPr>
            </w:pPr>
            <w:r>
              <w:rPr>
                <w:rFonts w:eastAsia="Times New Roman"/>
                <w:color w:val="000000"/>
                <w:sz w:val="16"/>
                <w:szCs w:val="16"/>
              </w:rPr>
              <w:t>(65.0)</w:t>
            </w:r>
          </w:p>
        </w:tc>
        <w:tc>
          <w:tcPr>
            <w:tcW w:w="0" w:type="auto"/>
            <w:shd w:val="clear" w:color="auto" w:fill="CCEEFF"/>
            <w:tcMar>
              <w:top w:w="30" w:type="dxa"/>
              <w:left w:w="0" w:type="dxa"/>
              <w:bottom w:w="30" w:type="dxa"/>
              <w:right w:w="20" w:type="dxa"/>
            </w:tcMar>
            <w:vAlign w:val="center"/>
            <w:hideMark/>
          </w:tcPr>
          <w:p w14:paraId="7940E3A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6A29F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D8369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9B39E4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CC6FC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E7DDAE" w14:textId="77777777" w:rsidR="00000000" w:rsidRDefault="000A3118">
            <w:pPr>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center"/>
            <w:hideMark/>
          </w:tcPr>
          <w:p w14:paraId="7D30609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F7190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8767EC" w14:textId="77777777" w:rsidR="00000000" w:rsidRDefault="000A3118">
            <w:pPr>
              <w:jc w:val="right"/>
              <w:rPr>
                <w:rFonts w:eastAsia="Times New Roman"/>
              </w:rPr>
            </w:pPr>
            <w:r>
              <w:rPr>
                <w:rFonts w:eastAsia="Times New Roman"/>
                <w:color w:val="000000"/>
                <w:sz w:val="16"/>
                <w:szCs w:val="16"/>
              </w:rPr>
              <w:t>13.7 </w:t>
            </w:r>
          </w:p>
        </w:tc>
        <w:tc>
          <w:tcPr>
            <w:tcW w:w="0" w:type="auto"/>
            <w:shd w:val="clear" w:color="auto" w:fill="CCEEFF"/>
            <w:tcMar>
              <w:top w:w="30" w:type="dxa"/>
              <w:left w:w="0" w:type="dxa"/>
              <w:bottom w:w="30" w:type="dxa"/>
              <w:right w:w="20" w:type="dxa"/>
            </w:tcMar>
            <w:vAlign w:val="center"/>
            <w:hideMark/>
          </w:tcPr>
          <w:p w14:paraId="5AAAAEC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003E2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5CE53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3D2254E" w14:textId="77777777" w:rsidR="00000000" w:rsidRDefault="000A3118">
            <w:pPr>
              <w:jc w:val="right"/>
              <w:rPr>
                <w:rFonts w:eastAsia="Times New Roman"/>
              </w:rPr>
            </w:pPr>
          </w:p>
        </w:tc>
      </w:tr>
      <w:tr w:rsidR="00000000" w14:paraId="34BE3B6F" w14:textId="77777777">
        <w:trPr>
          <w:divId w:val="1494028172"/>
        </w:trPr>
        <w:tc>
          <w:tcPr>
            <w:tcW w:w="0" w:type="auto"/>
            <w:gridSpan w:val="3"/>
            <w:shd w:val="clear" w:color="auto" w:fill="FFFFFF"/>
            <w:tcMar>
              <w:top w:w="30" w:type="dxa"/>
              <w:left w:w="225" w:type="dxa"/>
              <w:bottom w:w="30" w:type="dxa"/>
              <w:right w:w="20" w:type="dxa"/>
            </w:tcMar>
            <w:hideMark/>
          </w:tcPr>
          <w:p w14:paraId="1600B396" w14:textId="77777777" w:rsidR="00000000" w:rsidRDefault="000A3118">
            <w:pPr>
              <w:rPr>
                <w:rFonts w:eastAsia="Times New Roman"/>
              </w:rPr>
            </w:pPr>
            <w:r>
              <w:rPr>
                <w:rFonts w:eastAsia="Times New Roman"/>
                <w:color w:val="000000"/>
                <w:sz w:val="16"/>
                <w:szCs w:val="16"/>
              </w:rPr>
              <w:t>   Interest rate contracts:</w:t>
            </w:r>
          </w:p>
        </w:tc>
        <w:tc>
          <w:tcPr>
            <w:tcW w:w="0" w:type="auto"/>
            <w:gridSpan w:val="3"/>
            <w:shd w:val="clear" w:color="auto" w:fill="FFFFFF"/>
            <w:tcMar>
              <w:top w:w="0" w:type="dxa"/>
              <w:left w:w="20" w:type="dxa"/>
              <w:bottom w:w="0" w:type="dxa"/>
              <w:right w:w="20" w:type="dxa"/>
            </w:tcMar>
            <w:vAlign w:val="center"/>
            <w:hideMark/>
          </w:tcPr>
          <w:p w14:paraId="33F637AB"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25B1D"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2E1FA8"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814BBE"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439E7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22874D"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AD99E5"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F5C906"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2DB50F"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87DE08"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5DD416"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9E418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43F942" w14:textId="77777777" w:rsidR="00000000" w:rsidRDefault="000A3118">
            <w:pPr>
              <w:rPr>
                <w:rFonts w:eastAsia="Times New Roman"/>
                <w:sz w:val="20"/>
                <w:szCs w:val="20"/>
              </w:rPr>
            </w:pPr>
          </w:p>
        </w:tc>
      </w:tr>
      <w:tr w:rsidR="00000000" w14:paraId="0D7ECF59" w14:textId="77777777">
        <w:trPr>
          <w:divId w:val="1494028172"/>
        </w:trPr>
        <w:tc>
          <w:tcPr>
            <w:tcW w:w="0" w:type="auto"/>
            <w:gridSpan w:val="3"/>
            <w:shd w:val="clear" w:color="auto" w:fill="CCEEFF"/>
            <w:tcMar>
              <w:top w:w="0" w:type="dxa"/>
              <w:left w:w="20" w:type="dxa"/>
              <w:bottom w:w="0" w:type="dxa"/>
              <w:right w:w="20" w:type="dxa"/>
            </w:tcMar>
            <w:vAlign w:val="center"/>
            <w:hideMark/>
          </w:tcPr>
          <w:p w14:paraId="00FADEE1" w14:textId="77777777" w:rsidR="00000000" w:rsidRDefault="000A3118">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33451124" w14:textId="77777777" w:rsidR="00000000" w:rsidRDefault="000A3118">
            <w:pPr>
              <w:rPr>
                <w:rFonts w:eastAsia="Times New Roman"/>
              </w:rPr>
            </w:pPr>
            <w:r>
              <w:rPr>
                <w:rFonts w:eastAsia="Times New Roman"/>
                <w:color w:val="000000"/>
                <w:sz w:val="16"/>
                <w:szCs w:val="16"/>
              </w:rPr>
              <w:t>Amount of Gain (Loss) Reclassified from AOCI into Income</w:t>
            </w:r>
          </w:p>
        </w:tc>
        <w:tc>
          <w:tcPr>
            <w:tcW w:w="0" w:type="auto"/>
            <w:gridSpan w:val="3"/>
            <w:shd w:val="clear" w:color="auto" w:fill="CCEEFF"/>
            <w:tcMar>
              <w:top w:w="0" w:type="dxa"/>
              <w:left w:w="20" w:type="dxa"/>
              <w:bottom w:w="0" w:type="dxa"/>
              <w:right w:w="20" w:type="dxa"/>
            </w:tcMar>
            <w:vAlign w:val="center"/>
            <w:hideMark/>
          </w:tcPr>
          <w:p w14:paraId="7BAF5CC8"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1874DA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EBB75A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D946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52521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123F1B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C6CD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E77360" w14:textId="77777777" w:rsidR="00000000" w:rsidRDefault="000A3118">
            <w:pPr>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center"/>
            <w:hideMark/>
          </w:tcPr>
          <w:p w14:paraId="7A4227F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496A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13A59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AC4321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1E0C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D96FB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39F7A2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DE65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1A459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0ED5FBD" w14:textId="77777777" w:rsidR="00000000" w:rsidRDefault="000A3118">
            <w:pPr>
              <w:jc w:val="right"/>
              <w:rPr>
                <w:rFonts w:eastAsia="Times New Roman"/>
              </w:rPr>
            </w:pPr>
          </w:p>
        </w:tc>
      </w:tr>
      <w:tr w:rsidR="00000000" w14:paraId="76C8C13D" w14:textId="77777777">
        <w:trPr>
          <w:divId w:val="1494028172"/>
        </w:trPr>
        <w:tc>
          <w:tcPr>
            <w:tcW w:w="0" w:type="auto"/>
            <w:gridSpan w:val="3"/>
            <w:vAlign w:val="center"/>
            <w:hideMark/>
          </w:tcPr>
          <w:p w14:paraId="54E53C35" w14:textId="77777777" w:rsidR="00000000" w:rsidRDefault="000A3118">
            <w:pPr>
              <w:jc w:val="right"/>
              <w:rPr>
                <w:rFonts w:eastAsia="Times New Roman"/>
                <w:sz w:val="20"/>
                <w:szCs w:val="20"/>
              </w:rPr>
            </w:pPr>
          </w:p>
        </w:tc>
        <w:tc>
          <w:tcPr>
            <w:tcW w:w="0" w:type="auto"/>
            <w:gridSpan w:val="3"/>
            <w:vAlign w:val="center"/>
            <w:hideMark/>
          </w:tcPr>
          <w:p w14:paraId="7943A3E7" w14:textId="77777777" w:rsidR="00000000" w:rsidRDefault="000A3118">
            <w:pPr>
              <w:rPr>
                <w:rFonts w:eastAsia="Times New Roman"/>
                <w:sz w:val="20"/>
                <w:szCs w:val="20"/>
              </w:rPr>
            </w:pPr>
          </w:p>
        </w:tc>
        <w:tc>
          <w:tcPr>
            <w:tcW w:w="0" w:type="auto"/>
            <w:gridSpan w:val="3"/>
            <w:vAlign w:val="center"/>
            <w:hideMark/>
          </w:tcPr>
          <w:p w14:paraId="32F3CF47" w14:textId="77777777" w:rsidR="00000000" w:rsidRDefault="000A3118">
            <w:pPr>
              <w:rPr>
                <w:rFonts w:eastAsia="Times New Roman"/>
                <w:sz w:val="20"/>
                <w:szCs w:val="20"/>
              </w:rPr>
            </w:pPr>
          </w:p>
        </w:tc>
        <w:tc>
          <w:tcPr>
            <w:tcW w:w="0" w:type="auto"/>
            <w:gridSpan w:val="3"/>
            <w:vAlign w:val="center"/>
            <w:hideMark/>
          </w:tcPr>
          <w:p w14:paraId="4E63A218" w14:textId="77777777" w:rsidR="00000000" w:rsidRDefault="000A3118">
            <w:pPr>
              <w:rPr>
                <w:rFonts w:eastAsia="Times New Roman"/>
                <w:sz w:val="20"/>
                <w:szCs w:val="20"/>
              </w:rPr>
            </w:pPr>
          </w:p>
        </w:tc>
        <w:tc>
          <w:tcPr>
            <w:tcW w:w="0" w:type="auto"/>
            <w:gridSpan w:val="3"/>
            <w:vAlign w:val="center"/>
            <w:hideMark/>
          </w:tcPr>
          <w:p w14:paraId="5F4E619C" w14:textId="77777777" w:rsidR="00000000" w:rsidRDefault="000A3118">
            <w:pPr>
              <w:rPr>
                <w:rFonts w:eastAsia="Times New Roman"/>
                <w:sz w:val="20"/>
                <w:szCs w:val="20"/>
              </w:rPr>
            </w:pPr>
          </w:p>
        </w:tc>
        <w:tc>
          <w:tcPr>
            <w:tcW w:w="0" w:type="auto"/>
            <w:gridSpan w:val="3"/>
            <w:vAlign w:val="center"/>
            <w:hideMark/>
          </w:tcPr>
          <w:p w14:paraId="5D039747" w14:textId="77777777" w:rsidR="00000000" w:rsidRDefault="000A3118">
            <w:pPr>
              <w:rPr>
                <w:rFonts w:eastAsia="Times New Roman"/>
                <w:sz w:val="20"/>
                <w:szCs w:val="20"/>
              </w:rPr>
            </w:pPr>
          </w:p>
        </w:tc>
        <w:tc>
          <w:tcPr>
            <w:tcW w:w="0" w:type="auto"/>
            <w:gridSpan w:val="3"/>
            <w:vAlign w:val="center"/>
            <w:hideMark/>
          </w:tcPr>
          <w:p w14:paraId="6DCF776D" w14:textId="77777777" w:rsidR="00000000" w:rsidRDefault="000A3118">
            <w:pPr>
              <w:rPr>
                <w:rFonts w:eastAsia="Times New Roman"/>
                <w:sz w:val="20"/>
                <w:szCs w:val="20"/>
              </w:rPr>
            </w:pPr>
          </w:p>
        </w:tc>
        <w:tc>
          <w:tcPr>
            <w:tcW w:w="0" w:type="auto"/>
            <w:gridSpan w:val="3"/>
            <w:vAlign w:val="center"/>
            <w:hideMark/>
          </w:tcPr>
          <w:p w14:paraId="4B257B5F" w14:textId="77777777" w:rsidR="00000000" w:rsidRDefault="000A3118">
            <w:pPr>
              <w:rPr>
                <w:rFonts w:eastAsia="Times New Roman"/>
                <w:sz w:val="20"/>
                <w:szCs w:val="20"/>
              </w:rPr>
            </w:pPr>
          </w:p>
        </w:tc>
        <w:tc>
          <w:tcPr>
            <w:tcW w:w="0" w:type="auto"/>
            <w:gridSpan w:val="3"/>
            <w:vAlign w:val="center"/>
            <w:hideMark/>
          </w:tcPr>
          <w:p w14:paraId="77FABF34" w14:textId="77777777" w:rsidR="00000000" w:rsidRDefault="000A3118">
            <w:pPr>
              <w:rPr>
                <w:rFonts w:eastAsia="Times New Roman"/>
                <w:sz w:val="20"/>
                <w:szCs w:val="20"/>
              </w:rPr>
            </w:pPr>
          </w:p>
        </w:tc>
        <w:tc>
          <w:tcPr>
            <w:tcW w:w="0" w:type="auto"/>
            <w:gridSpan w:val="3"/>
            <w:vAlign w:val="center"/>
            <w:hideMark/>
          </w:tcPr>
          <w:p w14:paraId="698629F8" w14:textId="77777777" w:rsidR="00000000" w:rsidRDefault="000A3118">
            <w:pPr>
              <w:rPr>
                <w:rFonts w:eastAsia="Times New Roman"/>
                <w:sz w:val="20"/>
                <w:szCs w:val="20"/>
              </w:rPr>
            </w:pPr>
          </w:p>
        </w:tc>
        <w:tc>
          <w:tcPr>
            <w:tcW w:w="0" w:type="auto"/>
            <w:gridSpan w:val="3"/>
            <w:vAlign w:val="center"/>
            <w:hideMark/>
          </w:tcPr>
          <w:p w14:paraId="5B050781" w14:textId="77777777" w:rsidR="00000000" w:rsidRDefault="000A3118">
            <w:pPr>
              <w:rPr>
                <w:rFonts w:eastAsia="Times New Roman"/>
                <w:sz w:val="20"/>
                <w:szCs w:val="20"/>
              </w:rPr>
            </w:pPr>
          </w:p>
        </w:tc>
        <w:tc>
          <w:tcPr>
            <w:tcW w:w="0" w:type="auto"/>
            <w:gridSpan w:val="3"/>
            <w:vAlign w:val="center"/>
            <w:hideMark/>
          </w:tcPr>
          <w:p w14:paraId="6AFDB5BB" w14:textId="77777777" w:rsidR="00000000" w:rsidRDefault="000A3118">
            <w:pPr>
              <w:rPr>
                <w:rFonts w:eastAsia="Times New Roman"/>
                <w:sz w:val="20"/>
                <w:szCs w:val="20"/>
              </w:rPr>
            </w:pPr>
          </w:p>
        </w:tc>
        <w:tc>
          <w:tcPr>
            <w:tcW w:w="0" w:type="auto"/>
            <w:gridSpan w:val="3"/>
            <w:vAlign w:val="center"/>
            <w:hideMark/>
          </w:tcPr>
          <w:p w14:paraId="2231A6EB" w14:textId="77777777" w:rsidR="00000000" w:rsidRDefault="000A3118">
            <w:pPr>
              <w:rPr>
                <w:rFonts w:eastAsia="Times New Roman"/>
                <w:sz w:val="20"/>
                <w:szCs w:val="20"/>
              </w:rPr>
            </w:pPr>
          </w:p>
        </w:tc>
        <w:tc>
          <w:tcPr>
            <w:tcW w:w="0" w:type="auto"/>
            <w:gridSpan w:val="3"/>
            <w:vAlign w:val="center"/>
            <w:hideMark/>
          </w:tcPr>
          <w:p w14:paraId="65DD5312" w14:textId="77777777" w:rsidR="00000000" w:rsidRDefault="000A3118">
            <w:pPr>
              <w:rPr>
                <w:rFonts w:eastAsia="Times New Roman"/>
                <w:sz w:val="20"/>
                <w:szCs w:val="20"/>
              </w:rPr>
            </w:pPr>
          </w:p>
        </w:tc>
      </w:tr>
      <w:tr w:rsidR="00000000" w14:paraId="0A0017B6" w14:textId="77777777">
        <w:trPr>
          <w:divId w:val="1494028172"/>
        </w:trPr>
        <w:tc>
          <w:tcPr>
            <w:tcW w:w="0" w:type="auto"/>
            <w:gridSpan w:val="6"/>
            <w:tcBorders>
              <w:top w:val="single" w:sz="8" w:space="0" w:color="000000"/>
            </w:tcBorders>
            <w:shd w:val="clear" w:color="auto" w:fill="FFFFFF"/>
            <w:tcMar>
              <w:top w:w="30" w:type="dxa"/>
              <w:left w:w="20" w:type="dxa"/>
              <w:bottom w:w="30" w:type="dxa"/>
              <w:right w:w="20" w:type="dxa"/>
            </w:tcMar>
            <w:hideMark/>
          </w:tcPr>
          <w:p w14:paraId="0EAA29FD" w14:textId="77777777" w:rsidR="00000000" w:rsidRDefault="000A3118">
            <w:pPr>
              <w:rPr>
                <w:rFonts w:eastAsia="Times New Roman"/>
              </w:rPr>
            </w:pPr>
            <w:r>
              <w:rPr>
                <w:rFonts w:eastAsia="Times New Roman"/>
                <w:color w:val="000000"/>
                <w:sz w:val="16"/>
                <w:szCs w:val="16"/>
              </w:rPr>
              <w:t>Total amount of income and expense line items excluding the impact of hedges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1986E2" w14:textId="77777777" w:rsidR="00000000" w:rsidRDefault="000A3118">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B5859E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77CD50B" w14:textId="77777777" w:rsidR="00000000" w:rsidRDefault="000A3118">
            <w:pPr>
              <w:jc w:val="right"/>
              <w:rPr>
                <w:rFonts w:eastAsia="Times New Roman"/>
              </w:rPr>
            </w:pPr>
            <w:r>
              <w:rPr>
                <w:rFonts w:eastAsia="Times New Roman"/>
                <w:color w:val="000000"/>
                <w:sz w:val="16"/>
                <w:szCs w:val="16"/>
              </w:rPr>
              <w:t>4,485.5 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B05EBB4"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3010A9"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7FC0D0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B8D3D2F" w14:textId="77777777" w:rsidR="00000000" w:rsidRDefault="000A3118">
            <w:pPr>
              <w:jc w:val="right"/>
              <w:rPr>
                <w:rFonts w:eastAsia="Times New Roman"/>
              </w:rPr>
            </w:pPr>
            <w:r>
              <w:rPr>
                <w:rFonts w:eastAsia="Times New Roman"/>
                <w:color w:val="000000"/>
                <w:sz w:val="16"/>
                <w:szCs w:val="16"/>
              </w:rPr>
              <w:t>4,204.1 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70F3E9"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4A288E"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402B38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6AE9AD0" w14:textId="77777777" w:rsidR="00000000" w:rsidRDefault="000A3118">
            <w:pPr>
              <w:jc w:val="right"/>
              <w:rPr>
                <w:rFonts w:eastAsia="Times New Roman"/>
              </w:rPr>
            </w:pPr>
            <w:r>
              <w:rPr>
                <w:rFonts w:eastAsia="Times New Roman"/>
                <w:color w:val="000000"/>
                <w:sz w:val="16"/>
                <w:szCs w:val="16"/>
              </w:rPr>
              <w:t>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75E3B2"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CACFE1B"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39D0E8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B422349" w14:textId="77777777" w:rsidR="00000000" w:rsidRDefault="000A3118">
            <w:pPr>
              <w:jc w:val="right"/>
              <w:rPr>
                <w:rFonts w:eastAsia="Times New Roman"/>
              </w:rPr>
            </w:pPr>
            <w:r>
              <w:rPr>
                <w:rFonts w:eastAsia="Times New Roman"/>
                <w:color w:val="000000"/>
                <w:sz w:val="16"/>
                <w:szCs w:val="16"/>
              </w:rPr>
              <w:t>9,322.9 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5078BE"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34E6F7"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58D78A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F5B9B14" w14:textId="77777777" w:rsidR="00000000" w:rsidRDefault="000A3118">
            <w:pPr>
              <w:jc w:val="right"/>
              <w:rPr>
                <w:rFonts w:eastAsia="Times New Roman"/>
              </w:rPr>
            </w:pPr>
            <w:r>
              <w:rPr>
                <w:rFonts w:eastAsia="Times New Roman"/>
                <w:color w:val="000000"/>
                <w:sz w:val="16"/>
                <w:szCs w:val="16"/>
              </w:rPr>
              <w:t>9,031.5 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592F5F"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07B38EF"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244187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96B7FF2" w14:textId="77777777" w:rsidR="00000000" w:rsidRDefault="000A3118">
            <w:pPr>
              <w:jc w:val="right"/>
              <w:rPr>
                <w:rFonts w:eastAsia="Times New Roman"/>
              </w:rPr>
            </w:pPr>
            <w:r>
              <w:rPr>
                <w:rFonts w:eastAsia="Times New Roman"/>
                <w:color w:val="000000"/>
                <w:sz w:val="16"/>
                <w:szCs w:val="16"/>
              </w:rPr>
              <w:t>21.2 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184446" w14:textId="77777777" w:rsidR="00000000" w:rsidRDefault="000A3118">
            <w:pPr>
              <w:jc w:val="right"/>
              <w:rPr>
                <w:rFonts w:eastAsia="Times New Roman"/>
              </w:rPr>
            </w:pPr>
          </w:p>
        </w:tc>
      </w:tr>
      <w:tr w:rsidR="00000000" w14:paraId="3FE8C862" w14:textId="77777777">
        <w:trPr>
          <w:divId w:val="1494028172"/>
          <w:trHeight w:val="240"/>
        </w:trPr>
        <w:tc>
          <w:tcPr>
            <w:tcW w:w="0" w:type="auto"/>
            <w:gridSpan w:val="3"/>
            <w:tcBorders>
              <w:top w:val="double" w:sz="6" w:space="0" w:color="000000"/>
            </w:tcBorders>
            <w:tcMar>
              <w:top w:w="0" w:type="dxa"/>
              <w:left w:w="20" w:type="dxa"/>
              <w:bottom w:w="0" w:type="dxa"/>
              <w:right w:w="20" w:type="dxa"/>
            </w:tcMar>
            <w:vAlign w:val="center"/>
            <w:hideMark/>
          </w:tcPr>
          <w:p w14:paraId="409A5245" w14:textId="77777777" w:rsidR="00000000" w:rsidRDefault="000A3118">
            <w:pPr>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B5300E5"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A565D9C"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E51EC6F" w14:textId="77777777" w:rsidR="00000000" w:rsidRDefault="000A3118">
            <w:pPr>
              <w:rPr>
                <w:rFonts w:eastAsia="Times New Roman"/>
                <w:sz w:val="20"/>
                <w:szCs w:val="20"/>
              </w:rPr>
            </w:pPr>
          </w:p>
        </w:tc>
        <w:tc>
          <w:tcPr>
            <w:tcW w:w="0" w:type="auto"/>
            <w:gridSpan w:val="3"/>
            <w:tcBorders>
              <w:top w:val="double" w:sz="6" w:space="0" w:color="000000"/>
              <w:bottom w:val="single" w:sz="8" w:space="0" w:color="000000"/>
            </w:tcBorders>
            <w:tcMar>
              <w:top w:w="0" w:type="dxa"/>
              <w:left w:w="20" w:type="dxa"/>
              <w:bottom w:w="0" w:type="dxa"/>
              <w:right w:w="20" w:type="dxa"/>
            </w:tcMar>
            <w:vAlign w:val="center"/>
            <w:hideMark/>
          </w:tcPr>
          <w:p w14:paraId="47E83218" w14:textId="77777777" w:rsidR="00000000" w:rsidRDefault="000A3118">
            <w:pPr>
              <w:rPr>
                <w:rFonts w:eastAsia="Times New Roman"/>
                <w:sz w:val="20"/>
                <w:szCs w:val="20"/>
              </w:rPr>
            </w:pPr>
          </w:p>
        </w:tc>
        <w:tc>
          <w:tcPr>
            <w:tcW w:w="0" w:type="auto"/>
            <w:gridSpan w:val="3"/>
            <w:tcBorders>
              <w:top w:val="double" w:sz="6" w:space="0" w:color="000000"/>
              <w:bottom w:val="single" w:sz="8" w:space="0" w:color="000000"/>
            </w:tcBorders>
            <w:tcMar>
              <w:top w:w="0" w:type="dxa"/>
              <w:left w:w="20" w:type="dxa"/>
              <w:bottom w:w="0" w:type="dxa"/>
              <w:right w:w="20" w:type="dxa"/>
            </w:tcMar>
            <w:vAlign w:val="center"/>
            <w:hideMark/>
          </w:tcPr>
          <w:p w14:paraId="31D69F68" w14:textId="77777777" w:rsidR="00000000" w:rsidRDefault="000A3118">
            <w:pPr>
              <w:rPr>
                <w:rFonts w:eastAsia="Times New Roman"/>
                <w:sz w:val="20"/>
                <w:szCs w:val="20"/>
              </w:rPr>
            </w:pPr>
          </w:p>
        </w:tc>
        <w:tc>
          <w:tcPr>
            <w:tcW w:w="0" w:type="auto"/>
            <w:gridSpan w:val="3"/>
            <w:tcBorders>
              <w:top w:val="double" w:sz="6" w:space="0" w:color="000000"/>
              <w:bottom w:val="single" w:sz="8" w:space="0" w:color="000000"/>
            </w:tcBorders>
            <w:tcMar>
              <w:top w:w="0" w:type="dxa"/>
              <w:left w:w="20" w:type="dxa"/>
              <w:bottom w:w="0" w:type="dxa"/>
              <w:right w:w="20" w:type="dxa"/>
            </w:tcMar>
            <w:vAlign w:val="center"/>
            <w:hideMark/>
          </w:tcPr>
          <w:p w14:paraId="11AE26B6" w14:textId="77777777" w:rsidR="00000000" w:rsidRDefault="000A3118">
            <w:pPr>
              <w:rPr>
                <w:rFonts w:eastAsia="Times New Roman"/>
                <w:sz w:val="20"/>
                <w:szCs w:val="20"/>
              </w:rPr>
            </w:pPr>
          </w:p>
        </w:tc>
        <w:tc>
          <w:tcPr>
            <w:tcW w:w="0" w:type="auto"/>
            <w:gridSpan w:val="3"/>
            <w:tcBorders>
              <w:top w:val="double" w:sz="6" w:space="0" w:color="000000"/>
              <w:bottom w:val="single" w:sz="8" w:space="0" w:color="000000"/>
            </w:tcBorders>
            <w:tcMar>
              <w:top w:w="0" w:type="dxa"/>
              <w:left w:w="20" w:type="dxa"/>
              <w:bottom w:w="0" w:type="dxa"/>
              <w:right w:w="20" w:type="dxa"/>
            </w:tcMar>
            <w:vAlign w:val="center"/>
            <w:hideMark/>
          </w:tcPr>
          <w:p w14:paraId="610FC3FF" w14:textId="77777777" w:rsidR="00000000" w:rsidRDefault="000A3118">
            <w:pPr>
              <w:rPr>
                <w:rFonts w:eastAsia="Times New Roman"/>
                <w:sz w:val="20"/>
                <w:szCs w:val="20"/>
              </w:rPr>
            </w:pPr>
          </w:p>
        </w:tc>
        <w:tc>
          <w:tcPr>
            <w:tcW w:w="0" w:type="auto"/>
            <w:gridSpan w:val="3"/>
            <w:tcBorders>
              <w:top w:val="double" w:sz="6" w:space="0" w:color="000000"/>
              <w:bottom w:val="single" w:sz="8" w:space="0" w:color="000000"/>
            </w:tcBorders>
            <w:tcMar>
              <w:top w:w="0" w:type="dxa"/>
              <w:left w:w="20" w:type="dxa"/>
              <w:bottom w:w="0" w:type="dxa"/>
              <w:right w:w="20" w:type="dxa"/>
            </w:tcMar>
            <w:vAlign w:val="center"/>
            <w:hideMark/>
          </w:tcPr>
          <w:p w14:paraId="34DEEA19" w14:textId="77777777" w:rsidR="00000000" w:rsidRDefault="000A3118">
            <w:pPr>
              <w:rPr>
                <w:rFonts w:eastAsia="Times New Roman"/>
                <w:sz w:val="20"/>
                <w:szCs w:val="20"/>
              </w:rPr>
            </w:pPr>
          </w:p>
        </w:tc>
        <w:tc>
          <w:tcPr>
            <w:tcW w:w="0" w:type="auto"/>
            <w:gridSpan w:val="3"/>
            <w:tcBorders>
              <w:top w:val="double" w:sz="6" w:space="0" w:color="000000"/>
              <w:bottom w:val="single" w:sz="8" w:space="0" w:color="000000"/>
            </w:tcBorders>
            <w:tcMar>
              <w:top w:w="0" w:type="dxa"/>
              <w:left w:w="20" w:type="dxa"/>
              <w:bottom w:w="0" w:type="dxa"/>
              <w:right w:w="20" w:type="dxa"/>
            </w:tcMar>
            <w:vAlign w:val="center"/>
            <w:hideMark/>
          </w:tcPr>
          <w:p w14:paraId="66C7A077" w14:textId="77777777" w:rsidR="00000000" w:rsidRDefault="000A3118">
            <w:pPr>
              <w:rPr>
                <w:rFonts w:eastAsia="Times New Roman"/>
                <w:sz w:val="20"/>
                <w:szCs w:val="20"/>
              </w:rPr>
            </w:pPr>
          </w:p>
        </w:tc>
        <w:tc>
          <w:tcPr>
            <w:tcW w:w="0" w:type="auto"/>
            <w:gridSpan w:val="3"/>
            <w:tcBorders>
              <w:top w:val="double" w:sz="6" w:space="0" w:color="000000"/>
              <w:bottom w:val="single" w:sz="8" w:space="0" w:color="000000"/>
            </w:tcBorders>
            <w:tcMar>
              <w:top w:w="0" w:type="dxa"/>
              <w:left w:w="20" w:type="dxa"/>
              <w:bottom w:w="0" w:type="dxa"/>
              <w:right w:w="20" w:type="dxa"/>
            </w:tcMar>
            <w:vAlign w:val="center"/>
            <w:hideMark/>
          </w:tcPr>
          <w:p w14:paraId="1363D7D7" w14:textId="77777777" w:rsidR="00000000" w:rsidRDefault="000A3118">
            <w:pPr>
              <w:rPr>
                <w:rFonts w:eastAsia="Times New Roman"/>
                <w:sz w:val="20"/>
                <w:szCs w:val="20"/>
              </w:rPr>
            </w:pPr>
          </w:p>
        </w:tc>
        <w:tc>
          <w:tcPr>
            <w:tcW w:w="0" w:type="auto"/>
            <w:gridSpan w:val="3"/>
            <w:tcBorders>
              <w:top w:val="double" w:sz="6" w:space="0" w:color="000000"/>
              <w:bottom w:val="single" w:sz="8" w:space="0" w:color="000000"/>
            </w:tcBorders>
            <w:tcMar>
              <w:top w:w="0" w:type="dxa"/>
              <w:left w:w="20" w:type="dxa"/>
              <w:bottom w:w="0" w:type="dxa"/>
              <w:right w:w="20" w:type="dxa"/>
            </w:tcMar>
            <w:vAlign w:val="center"/>
            <w:hideMark/>
          </w:tcPr>
          <w:p w14:paraId="785C0814" w14:textId="77777777" w:rsidR="00000000" w:rsidRDefault="000A3118">
            <w:pPr>
              <w:rPr>
                <w:rFonts w:eastAsia="Times New Roman"/>
                <w:sz w:val="20"/>
                <w:szCs w:val="20"/>
              </w:rPr>
            </w:pPr>
          </w:p>
        </w:tc>
        <w:tc>
          <w:tcPr>
            <w:tcW w:w="0" w:type="auto"/>
            <w:gridSpan w:val="3"/>
            <w:tcBorders>
              <w:top w:val="double" w:sz="6" w:space="0" w:color="000000"/>
              <w:bottom w:val="single" w:sz="8" w:space="0" w:color="000000"/>
            </w:tcBorders>
            <w:tcMar>
              <w:top w:w="0" w:type="dxa"/>
              <w:left w:w="20" w:type="dxa"/>
              <w:bottom w:w="0" w:type="dxa"/>
              <w:right w:w="20" w:type="dxa"/>
            </w:tcMar>
            <w:vAlign w:val="center"/>
            <w:hideMark/>
          </w:tcPr>
          <w:p w14:paraId="7DAED136" w14:textId="77777777" w:rsidR="00000000" w:rsidRDefault="000A3118">
            <w:pPr>
              <w:rPr>
                <w:rFonts w:eastAsia="Times New Roman"/>
                <w:sz w:val="20"/>
                <w:szCs w:val="20"/>
              </w:rPr>
            </w:pPr>
          </w:p>
        </w:tc>
        <w:tc>
          <w:tcPr>
            <w:tcW w:w="0" w:type="auto"/>
            <w:gridSpan w:val="3"/>
            <w:tcBorders>
              <w:top w:val="double" w:sz="6" w:space="0" w:color="000000"/>
              <w:bottom w:val="single" w:sz="8" w:space="0" w:color="000000"/>
            </w:tcBorders>
            <w:tcMar>
              <w:top w:w="0" w:type="dxa"/>
              <w:left w:w="20" w:type="dxa"/>
              <w:bottom w:w="0" w:type="dxa"/>
              <w:right w:w="20" w:type="dxa"/>
            </w:tcMar>
            <w:vAlign w:val="center"/>
            <w:hideMark/>
          </w:tcPr>
          <w:p w14:paraId="369CFED3" w14:textId="77777777" w:rsidR="00000000" w:rsidRDefault="000A3118">
            <w:pPr>
              <w:rPr>
                <w:rFonts w:eastAsia="Times New Roman"/>
                <w:sz w:val="20"/>
                <w:szCs w:val="20"/>
              </w:rPr>
            </w:pPr>
          </w:p>
        </w:tc>
      </w:tr>
      <w:tr w:rsidR="00000000" w14:paraId="4017574E" w14:textId="77777777">
        <w:trPr>
          <w:divId w:val="1494028172"/>
        </w:trPr>
        <w:tc>
          <w:tcPr>
            <w:tcW w:w="0" w:type="auto"/>
            <w:gridSpan w:val="3"/>
            <w:tcMar>
              <w:top w:w="0" w:type="dxa"/>
              <w:left w:w="20" w:type="dxa"/>
              <w:bottom w:w="0" w:type="dxa"/>
              <w:right w:w="20" w:type="dxa"/>
            </w:tcMar>
            <w:vAlign w:val="center"/>
            <w:hideMark/>
          </w:tcPr>
          <w:p w14:paraId="605C285F"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A85BD5F"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07BEBED4" w14:textId="77777777" w:rsidR="00000000" w:rsidRDefault="000A3118">
            <w:pPr>
              <w:rPr>
                <w:rFonts w:eastAsia="Times New Roman"/>
                <w:sz w:val="20"/>
                <w:szCs w:val="20"/>
              </w:rPr>
            </w:pPr>
          </w:p>
        </w:tc>
        <w:tc>
          <w:tcPr>
            <w:tcW w:w="0" w:type="auto"/>
            <w:gridSpan w:val="33"/>
            <w:tcBorders>
              <w:top w:val="single" w:sz="8" w:space="0" w:color="000000"/>
              <w:bottom w:val="single" w:sz="8" w:space="0" w:color="000000"/>
            </w:tcBorders>
            <w:tcMar>
              <w:top w:w="30" w:type="dxa"/>
              <w:left w:w="20" w:type="dxa"/>
              <w:bottom w:w="30" w:type="dxa"/>
              <w:right w:w="20" w:type="dxa"/>
            </w:tcMar>
            <w:hideMark/>
          </w:tcPr>
          <w:p w14:paraId="3BAB9246" w14:textId="77777777" w:rsidR="00000000" w:rsidRDefault="000A3118">
            <w:pPr>
              <w:jc w:val="center"/>
              <w:rPr>
                <w:rFonts w:eastAsia="Times New Roman"/>
              </w:rPr>
            </w:pPr>
            <w:r>
              <w:rPr>
                <w:rFonts w:eastAsia="Times New Roman"/>
                <w:b/>
                <w:bCs/>
                <w:color w:val="000000"/>
                <w:sz w:val="16"/>
                <w:szCs w:val="16"/>
              </w:rPr>
              <w:t>Location and Amount of Gain and (Loss) Recognized in Income on Fair Value and Cash Flow Hedging Relationships</w:t>
            </w:r>
          </w:p>
        </w:tc>
      </w:tr>
      <w:tr w:rsidR="00000000" w14:paraId="6334EB53" w14:textId="77777777">
        <w:trPr>
          <w:divId w:val="1494028172"/>
        </w:trPr>
        <w:tc>
          <w:tcPr>
            <w:tcW w:w="0" w:type="auto"/>
            <w:gridSpan w:val="3"/>
            <w:tcMar>
              <w:top w:w="0" w:type="dxa"/>
              <w:left w:w="20" w:type="dxa"/>
              <w:bottom w:w="0" w:type="dxa"/>
              <w:right w:w="20" w:type="dxa"/>
            </w:tcMar>
            <w:vAlign w:val="center"/>
            <w:hideMark/>
          </w:tcPr>
          <w:p w14:paraId="5A7D16F0"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0BE5D998"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0BD95EFC" w14:textId="77777777" w:rsidR="00000000" w:rsidRDefault="000A3118">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2D1D96F4" w14:textId="77777777" w:rsidR="00000000" w:rsidRDefault="000A3118">
            <w:pPr>
              <w:jc w:val="center"/>
              <w:rPr>
                <w:rFonts w:eastAsia="Times New Roman"/>
              </w:rPr>
            </w:pPr>
            <w:r>
              <w:rPr>
                <w:rFonts w:eastAsia="Times New Roman"/>
                <w:b/>
                <w:bCs/>
                <w:color w:val="000000"/>
                <w:sz w:val="16"/>
                <w:szCs w:val="16"/>
              </w:rPr>
              <w:t>For the Nine Months Ended</w:t>
            </w:r>
          </w:p>
        </w:tc>
      </w:tr>
      <w:tr w:rsidR="00000000" w14:paraId="036CEC1F" w14:textId="77777777">
        <w:trPr>
          <w:divId w:val="1494028172"/>
        </w:trPr>
        <w:tc>
          <w:tcPr>
            <w:tcW w:w="0" w:type="auto"/>
            <w:gridSpan w:val="3"/>
            <w:tcMar>
              <w:top w:w="0" w:type="dxa"/>
              <w:left w:w="20" w:type="dxa"/>
              <w:bottom w:w="0" w:type="dxa"/>
              <w:right w:w="20" w:type="dxa"/>
            </w:tcMar>
            <w:vAlign w:val="center"/>
            <w:hideMark/>
          </w:tcPr>
          <w:p w14:paraId="0034C372"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033A9C4C"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7A8AC5B5" w14:textId="77777777" w:rsidR="00000000" w:rsidRDefault="000A3118">
            <w:pPr>
              <w:rPr>
                <w:rFonts w:eastAsia="Times New Roman"/>
                <w:sz w:val="20"/>
                <w:szCs w:val="20"/>
              </w:rPr>
            </w:pPr>
          </w:p>
        </w:tc>
        <w:tc>
          <w:tcPr>
            <w:tcW w:w="0" w:type="auto"/>
            <w:gridSpan w:val="15"/>
            <w:tcMar>
              <w:top w:w="30" w:type="dxa"/>
              <w:left w:w="20" w:type="dxa"/>
              <w:bottom w:w="30" w:type="dxa"/>
              <w:right w:w="20" w:type="dxa"/>
            </w:tcMar>
            <w:vAlign w:val="bottom"/>
            <w:hideMark/>
          </w:tcPr>
          <w:p w14:paraId="38CF9E83" w14:textId="77777777" w:rsidR="00000000" w:rsidRDefault="000A3118">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14:paraId="1000E5A1" w14:textId="77777777" w:rsidR="00000000" w:rsidRDefault="000A3118">
            <w:pPr>
              <w:jc w:val="center"/>
              <w:rPr>
                <w:rFonts w:eastAsia="Times New Roman"/>
              </w:rPr>
            </w:pPr>
          </w:p>
        </w:tc>
        <w:tc>
          <w:tcPr>
            <w:tcW w:w="0" w:type="auto"/>
            <w:gridSpan w:val="15"/>
            <w:tcMar>
              <w:top w:w="30" w:type="dxa"/>
              <w:left w:w="20" w:type="dxa"/>
              <w:bottom w:w="30" w:type="dxa"/>
              <w:right w:w="20" w:type="dxa"/>
            </w:tcMar>
            <w:vAlign w:val="bottom"/>
            <w:hideMark/>
          </w:tcPr>
          <w:p w14:paraId="0D760365" w14:textId="77777777" w:rsidR="00000000" w:rsidRDefault="000A3118">
            <w:pPr>
              <w:jc w:val="center"/>
              <w:rPr>
                <w:rFonts w:eastAsia="Times New Roman"/>
              </w:rPr>
            </w:pPr>
            <w:r>
              <w:rPr>
                <w:rFonts w:eastAsia="Times New Roman"/>
                <w:b/>
                <w:bCs/>
                <w:color w:val="000000"/>
                <w:sz w:val="16"/>
                <w:szCs w:val="16"/>
              </w:rPr>
              <w:t>September 30, 2019</w:t>
            </w:r>
          </w:p>
        </w:tc>
      </w:tr>
      <w:tr w:rsidR="00000000" w14:paraId="51059D05" w14:textId="77777777">
        <w:trPr>
          <w:divId w:val="1494028172"/>
        </w:trPr>
        <w:tc>
          <w:tcPr>
            <w:tcW w:w="0" w:type="auto"/>
            <w:gridSpan w:val="6"/>
            <w:shd w:val="clear" w:color="auto" w:fill="CCEEFF"/>
            <w:tcMar>
              <w:top w:w="0" w:type="dxa"/>
              <w:left w:w="20" w:type="dxa"/>
              <w:bottom w:w="0" w:type="dxa"/>
              <w:right w:w="20" w:type="dxa"/>
            </w:tcMar>
            <w:vAlign w:val="center"/>
            <w:hideMark/>
          </w:tcPr>
          <w:p w14:paraId="04AB1E1C" w14:textId="77777777" w:rsidR="00000000" w:rsidRDefault="000A3118">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AEB82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0DC129A" w14:textId="77777777" w:rsidR="00000000" w:rsidRDefault="000A3118">
            <w:pPr>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C274A4" w14:textId="77777777" w:rsidR="00000000" w:rsidRDefault="000A311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0017120" w14:textId="77777777" w:rsidR="00000000" w:rsidRDefault="000A3118">
            <w:pPr>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5D9F48" w14:textId="77777777" w:rsidR="00000000" w:rsidRDefault="000A311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CB47203" w14:textId="77777777" w:rsidR="00000000" w:rsidRDefault="000A3118">
            <w:pPr>
              <w:jc w:val="center"/>
              <w:rPr>
                <w:rFonts w:eastAsia="Times New Roman"/>
              </w:rPr>
            </w:pPr>
            <w:r>
              <w:rPr>
                <w:rFonts w:eastAsia="Times New Roman"/>
                <w:b/>
                <w:bCs/>
                <w:color w:val="000000"/>
                <w:sz w:val="16"/>
                <w:szCs w:val="16"/>
              </w:rPr>
              <w:t>Interest expense and other financing costs,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86A34C" w14:textId="77777777" w:rsidR="00000000" w:rsidRDefault="000A311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5337C04" w14:textId="77777777" w:rsidR="00000000" w:rsidRDefault="000A3118">
            <w:pPr>
              <w:jc w:val="center"/>
              <w:rPr>
                <w:rFonts w:eastAsia="Times New Roman"/>
              </w:rPr>
            </w:pPr>
            <w:r>
              <w:rPr>
                <w:rFonts w:eastAsia="Times New Roman"/>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298464" w14:textId="77777777" w:rsidR="00000000" w:rsidRDefault="000A311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AC8A920" w14:textId="77777777" w:rsidR="00000000" w:rsidRDefault="000A3118">
            <w:pPr>
              <w:jc w:val="center"/>
              <w:rPr>
                <w:rFonts w:eastAsia="Times New Roman"/>
              </w:rPr>
            </w:pPr>
            <w:r>
              <w:rPr>
                <w:rFonts w:eastAsia="Times New Roman"/>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0CFE53" w14:textId="77777777" w:rsidR="00000000" w:rsidRDefault="000A311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0859DDA" w14:textId="77777777" w:rsidR="00000000" w:rsidRDefault="000A3118">
            <w:pPr>
              <w:jc w:val="center"/>
              <w:rPr>
                <w:rFonts w:eastAsia="Times New Roman"/>
              </w:rPr>
            </w:pPr>
            <w:r>
              <w:rPr>
                <w:rFonts w:eastAsia="Times New Roman"/>
                <w:b/>
                <w:bCs/>
                <w:color w:val="000000"/>
                <w:sz w:val="16"/>
                <w:szCs w:val="16"/>
              </w:rPr>
              <w:t>Interest expense and other financing costs, net</w:t>
            </w:r>
          </w:p>
        </w:tc>
      </w:tr>
      <w:tr w:rsidR="00000000" w14:paraId="3FBB9195" w14:textId="77777777">
        <w:trPr>
          <w:divId w:val="1494028172"/>
        </w:trPr>
        <w:tc>
          <w:tcPr>
            <w:tcW w:w="0" w:type="auto"/>
            <w:gridSpan w:val="6"/>
            <w:shd w:val="clear" w:color="auto" w:fill="FFFFFF"/>
            <w:tcMar>
              <w:top w:w="30" w:type="dxa"/>
              <w:left w:w="20" w:type="dxa"/>
              <w:bottom w:w="30" w:type="dxa"/>
              <w:right w:w="20" w:type="dxa"/>
            </w:tcMar>
            <w:vAlign w:val="center"/>
            <w:hideMark/>
          </w:tcPr>
          <w:p w14:paraId="5F65A726" w14:textId="77777777" w:rsidR="00000000" w:rsidRDefault="000A3118">
            <w:pPr>
              <w:rPr>
                <w:rFonts w:eastAsia="Times New Roman"/>
              </w:rPr>
            </w:pPr>
            <w:r>
              <w:rPr>
                <w:rFonts w:eastAsia="Times New Roman"/>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14:paraId="59CA50F1" w14:textId="77777777" w:rsidR="00000000" w:rsidRDefault="000A3118">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1901C3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097750C" w14:textId="77777777" w:rsidR="00000000" w:rsidRDefault="000A3118">
            <w:pPr>
              <w:jc w:val="right"/>
              <w:rPr>
                <w:rFonts w:eastAsia="Times New Roman"/>
              </w:rPr>
            </w:pPr>
            <w:r>
              <w:rPr>
                <w:rFonts w:eastAsia="Times New Roman"/>
                <w:color w:val="000000"/>
                <w:sz w:val="16"/>
                <w:szCs w:val="16"/>
              </w:rPr>
              <w:t>15,656.2 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722BFE"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0E98ED"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B0D73E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E24E493" w14:textId="77777777" w:rsidR="00000000" w:rsidRDefault="000A3118">
            <w:pPr>
              <w:jc w:val="right"/>
              <w:rPr>
                <w:rFonts w:eastAsia="Times New Roman"/>
              </w:rPr>
            </w:pPr>
            <w:r>
              <w:rPr>
                <w:rFonts w:eastAsia="Times New Roman"/>
                <w:color w:val="000000"/>
                <w:sz w:val="16"/>
                <w:szCs w:val="16"/>
              </w:rPr>
              <w:t>14,969.6 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61B996"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1995B1"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8909E3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F126193" w14:textId="77777777" w:rsidR="00000000" w:rsidRDefault="000A3118">
            <w:pPr>
              <w:jc w:val="right"/>
              <w:rPr>
                <w:rFonts w:eastAsia="Times New Roman"/>
              </w:rPr>
            </w:pPr>
            <w:r>
              <w:rPr>
                <w:rFonts w:eastAsia="Times New Roman"/>
                <w:color w:val="000000"/>
                <w:sz w:val="16"/>
                <w:szCs w:val="16"/>
              </w:rPr>
              <w:t>36.3 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3603B8"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396FF9"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489A44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F6F5B1A" w14:textId="77777777" w:rsidR="00000000" w:rsidRDefault="000A3118">
            <w:pPr>
              <w:jc w:val="right"/>
              <w:rPr>
                <w:rFonts w:eastAsia="Times New Roman"/>
              </w:rPr>
            </w:pPr>
            <w:r>
              <w:rPr>
                <w:rFonts w:eastAsia="Times New Roman"/>
                <w:color w:val="000000"/>
                <w:sz w:val="16"/>
                <w:szCs w:val="16"/>
              </w:rPr>
              <w:t>27,460.9 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07008F"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AD6191"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F84B5A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13936BC" w14:textId="77777777" w:rsidR="00000000" w:rsidRDefault="000A3118">
            <w:pPr>
              <w:jc w:val="right"/>
              <w:rPr>
                <w:rFonts w:eastAsia="Times New Roman"/>
              </w:rPr>
            </w:pPr>
            <w:r>
              <w:rPr>
                <w:rFonts w:eastAsia="Times New Roman"/>
                <w:color w:val="000000"/>
                <w:sz w:val="16"/>
                <w:szCs w:val="16"/>
              </w:rPr>
              <w:t>26,635.6 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AF5A230"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5BE7C0"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CD6823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C4DA303" w14:textId="77777777" w:rsidR="00000000" w:rsidRDefault="000A3118">
            <w:pPr>
              <w:jc w:val="right"/>
              <w:rPr>
                <w:rFonts w:eastAsia="Times New Roman"/>
              </w:rPr>
            </w:pPr>
            <w:r>
              <w:rPr>
                <w:rFonts w:eastAsia="Times New Roman"/>
                <w:color w:val="000000"/>
                <w:sz w:val="16"/>
                <w:szCs w:val="16"/>
              </w:rPr>
              <w:t>63.3 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97384D4" w14:textId="77777777" w:rsidR="00000000" w:rsidRDefault="000A3118">
            <w:pPr>
              <w:jc w:val="right"/>
              <w:rPr>
                <w:rFonts w:eastAsia="Times New Roman"/>
              </w:rPr>
            </w:pPr>
          </w:p>
        </w:tc>
      </w:tr>
      <w:tr w:rsidR="00000000" w14:paraId="4E543F0E" w14:textId="77777777">
        <w:trPr>
          <w:divId w:val="1494028172"/>
        </w:trPr>
        <w:tc>
          <w:tcPr>
            <w:tcW w:w="0" w:type="auto"/>
            <w:gridSpan w:val="6"/>
            <w:shd w:val="clear" w:color="auto" w:fill="CCEEFF"/>
            <w:tcMar>
              <w:top w:w="30" w:type="dxa"/>
              <w:left w:w="225" w:type="dxa"/>
              <w:bottom w:w="30" w:type="dxa"/>
              <w:right w:w="20" w:type="dxa"/>
            </w:tcMar>
            <w:hideMark/>
          </w:tcPr>
          <w:p w14:paraId="19CCCF6E" w14:textId="77777777" w:rsidR="00000000" w:rsidRDefault="000A3118">
            <w:pPr>
              <w:rPr>
                <w:rFonts w:eastAsia="Times New Roman"/>
              </w:rPr>
            </w:pPr>
            <w:r>
              <w:rPr>
                <w:rFonts w:eastAsia="Times New Roman"/>
                <w:color w:val="000000"/>
                <w:sz w:val="16"/>
                <w:szCs w:val="16"/>
              </w:rPr>
              <w:t>Gains or Loss on fair value hedge relationships:</w:t>
            </w:r>
          </w:p>
        </w:tc>
        <w:tc>
          <w:tcPr>
            <w:tcW w:w="0" w:type="auto"/>
            <w:gridSpan w:val="3"/>
            <w:shd w:val="clear" w:color="auto" w:fill="CCEEFF"/>
            <w:tcMar>
              <w:top w:w="0" w:type="dxa"/>
              <w:left w:w="20" w:type="dxa"/>
              <w:bottom w:w="0" w:type="dxa"/>
              <w:right w:w="20" w:type="dxa"/>
            </w:tcMar>
            <w:vAlign w:val="center"/>
            <w:hideMark/>
          </w:tcPr>
          <w:p w14:paraId="613E81AE" w14:textId="77777777" w:rsidR="00000000" w:rsidRDefault="000A3118">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1DE6E"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BF0339"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EB4C58"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DC8D01"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1A5E23"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9A71CE"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0CC6DF"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364D74"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4618F6"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38433A"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77C1D8" w14:textId="77777777" w:rsidR="00000000" w:rsidRDefault="000A3118">
            <w:pPr>
              <w:rPr>
                <w:rFonts w:eastAsia="Times New Roman"/>
                <w:sz w:val="20"/>
                <w:szCs w:val="20"/>
              </w:rPr>
            </w:pPr>
          </w:p>
        </w:tc>
      </w:tr>
      <w:tr w:rsidR="00000000" w14:paraId="652531CB" w14:textId="77777777">
        <w:trPr>
          <w:divId w:val="1494028172"/>
        </w:trPr>
        <w:tc>
          <w:tcPr>
            <w:tcW w:w="0" w:type="auto"/>
            <w:gridSpan w:val="3"/>
            <w:shd w:val="clear" w:color="auto" w:fill="FFFFFF"/>
            <w:tcMar>
              <w:top w:w="30" w:type="dxa"/>
              <w:left w:w="225" w:type="dxa"/>
              <w:bottom w:w="30" w:type="dxa"/>
              <w:right w:w="20" w:type="dxa"/>
            </w:tcMar>
            <w:vAlign w:val="center"/>
            <w:hideMark/>
          </w:tcPr>
          <w:p w14:paraId="1103CFC9" w14:textId="77777777" w:rsidR="00000000" w:rsidRDefault="000A3118">
            <w:pPr>
              <w:rPr>
                <w:rFonts w:eastAsia="Times New Roman"/>
              </w:rPr>
            </w:pPr>
            <w:r>
              <w:rPr>
                <w:rFonts w:eastAsia="Times New Roman"/>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14:paraId="5A47015F"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C91E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46E09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235414"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5D5ED4"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0BC381"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58198F"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D959C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56883A"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B4FDD9"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7B5370"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3CAED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0CBFC1" w14:textId="77777777" w:rsidR="00000000" w:rsidRDefault="000A3118">
            <w:pPr>
              <w:rPr>
                <w:rFonts w:eastAsia="Times New Roman"/>
                <w:sz w:val="20"/>
                <w:szCs w:val="20"/>
              </w:rPr>
            </w:pPr>
          </w:p>
        </w:tc>
      </w:tr>
      <w:tr w:rsidR="00000000" w14:paraId="53F4C469" w14:textId="77777777">
        <w:trPr>
          <w:divId w:val="1494028172"/>
        </w:trPr>
        <w:tc>
          <w:tcPr>
            <w:tcW w:w="0" w:type="auto"/>
            <w:gridSpan w:val="3"/>
            <w:shd w:val="clear" w:color="auto" w:fill="CCEEFF"/>
            <w:tcMar>
              <w:top w:w="0" w:type="dxa"/>
              <w:left w:w="20" w:type="dxa"/>
              <w:bottom w:w="0" w:type="dxa"/>
              <w:right w:w="20" w:type="dxa"/>
            </w:tcMar>
            <w:vAlign w:val="center"/>
            <w:hideMark/>
          </w:tcPr>
          <w:p w14:paraId="5EF41B0D" w14:textId="77777777" w:rsidR="00000000" w:rsidRDefault="000A3118">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55BEA78D" w14:textId="77777777" w:rsidR="00000000" w:rsidRDefault="000A3118">
            <w:pPr>
              <w:rPr>
                <w:rFonts w:eastAsia="Times New Roman"/>
              </w:rPr>
            </w:pPr>
            <w:r>
              <w:rPr>
                <w:rFonts w:eastAsia="Times New Roman"/>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14:paraId="0E2EA04C"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DC82F7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3D0E5D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EDA4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D98A6C" w14:textId="77777777" w:rsidR="00000000" w:rsidRDefault="000A3118">
            <w:pPr>
              <w:jc w:val="right"/>
              <w:rPr>
                <w:rFonts w:eastAsia="Times New Roman"/>
              </w:rPr>
            </w:pPr>
            <w:r>
              <w:rPr>
                <w:rFonts w:eastAsia="Times New Roman"/>
                <w:color w:val="000000"/>
                <w:sz w:val="16"/>
                <w:szCs w:val="16"/>
              </w:rPr>
              <w:t>(15.4)</w:t>
            </w:r>
          </w:p>
        </w:tc>
        <w:tc>
          <w:tcPr>
            <w:tcW w:w="0" w:type="auto"/>
            <w:shd w:val="clear" w:color="auto" w:fill="CCEEFF"/>
            <w:tcMar>
              <w:top w:w="30" w:type="dxa"/>
              <w:left w:w="0" w:type="dxa"/>
              <w:bottom w:w="30" w:type="dxa"/>
              <w:right w:w="20" w:type="dxa"/>
            </w:tcMar>
            <w:vAlign w:val="center"/>
            <w:hideMark/>
          </w:tcPr>
          <w:p w14:paraId="68A031E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6DDC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9809D7"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3BE6D6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8ACD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8C71F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9FC650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BD5B2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5F6A58" w14:textId="77777777" w:rsidR="00000000" w:rsidRDefault="000A3118">
            <w:pPr>
              <w:jc w:val="right"/>
              <w:rPr>
                <w:rFonts w:eastAsia="Times New Roman"/>
              </w:rPr>
            </w:pPr>
            <w:r>
              <w:rPr>
                <w:rFonts w:eastAsia="Times New Roman"/>
                <w:color w:val="000000"/>
                <w:sz w:val="16"/>
                <w:szCs w:val="16"/>
              </w:rPr>
              <w:t>14.8 </w:t>
            </w:r>
          </w:p>
        </w:tc>
        <w:tc>
          <w:tcPr>
            <w:tcW w:w="0" w:type="auto"/>
            <w:shd w:val="clear" w:color="auto" w:fill="CCEEFF"/>
            <w:tcMar>
              <w:top w:w="30" w:type="dxa"/>
              <w:left w:w="0" w:type="dxa"/>
              <w:bottom w:w="30" w:type="dxa"/>
              <w:right w:w="20" w:type="dxa"/>
            </w:tcMar>
            <w:vAlign w:val="center"/>
            <w:hideMark/>
          </w:tcPr>
          <w:p w14:paraId="487F971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5625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2A9AE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784FD43" w14:textId="77777777" w:rsidR="00000000" w:rsidRDefault="000A3118">
            <w:pPr>
              <w:jc w:val="right"/>
              <w:rPr>
                <w:rFonts w:eastAsia="Times New Roman"/>
              </w:rPr>
            </w:pPr>
          </w:p>
        </w:tc>
      </w:tr>
      <w:tr w:rsidR="00000000" w14:paraId="7826A539" w14:textId="77777777">
        <w:trPr>
          <w:divId w:val="1494028172"/>
        </w:trPr>
        <w:tc>
          <w:tcPr>
            <w:tcW w:w="0" w:type="auto"/>
            <w:gridSpan w:val="3"/>
            <w:shd w:val="clear" w:color="auto" w:fill="FFFFFF"/>
            <w:tcMar>
              <w:top w:w="0" w:type="dxa"/>
              <w:left w:w="20" w:type="dxa"/>
              <w:bottom w:w="0" w:type="dxa"/>
              <w:right w:w="20" w:type="dxa"/>
            </w:tcMar>
            <w:vAlign w:val="center"/>
            <w:hideMark/>
          </w:tcPr>
          <w:p w14:paraId="701FDE83" w14:textId="77777777" w:rsidR="00000000" w:rsidRDefault="000A311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11A836C9" w14:textId="77777777" w:rsidR="00000000" w:rsidRDefault="000A3118">
            <w:pPr>
              <w:rPr>
                <w:rFonts w:eastAsia="Times New Roman"/>
              </w:rPr>
            </w:pPr>
            <w:r>
              <w:rPr>
                <w:rFonts w:eastAsia="Times New Roman"/>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14:paraId="7D4A85C6"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EFAE51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A331CA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E05F6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B8FFF5" w14:textId="77777777" w:rsidR="00000000" w:rsidRDefault="000A3118">
            <w:pPr>
              <w:jc w:val="right"/>
              <w:rPr>
                <w:rFonts w:eastAsia="Times New Roman"/>
              </w:rPr>
            </w:pPr>
            <w:r>
              <w:rPr>
                <w:rFonts w:eastAsia="Times New Roman"/>
                <w:color w:val="000000"/>
                <w:sz w:val="16"/>
                <w:szCs w:val="16"/>
              </w:rPr>
              <w:t>15.3 </w:t>
            </w:r>
          </w:p>
        </w:tc>
        <w:tc>
          <w:tcPr>
            <w:tcW w:w="0" w:type="auto"/>
            <w:shd w:val="clear" w:color="auto" w:fill="FFFFFF"/>
            <w:tcMar>
              <w:top w:w="30" w:type="dxa"/>
              <w:left w:w="0" w:type="dxa"/>
              <w:bottom w:w="30" w:type="dxa"/>
              <w:right w:w="20" w:type="dxa"/>
            </w:tcMar>
            <w:vAlign w:val="center"/>
            <w:hideMark/>
          </w:tcPr>
          <w:p w14:paraId="1340386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10F4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72F4C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3261B3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DDB8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0C854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A6178C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2C2B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D55D5E" w14:textId="77777777" w:rsidR="00000000" w:rsidRDefault="000A3118">
            <w:pPr>
              <w:jc w:val="right"/>
              <w:rPr>
                <w:rFonts w:eastAsia="Times New Roman"/>
              </w:rPr>
            </w:pPr>
            <w:r>
              <w:rPr>
                <w:rFonts w:eastAsia="Times New Roman"/>
                <w:color w:val="000000"/>
                <w:sz w:val="16"/>
                <w:szCs w:val="16"/>
              </w:rPr>
              <w:t>(12.8)</w:t>
            </w:r>
          </w:p>
        </w:tc>
        <w:tc>
          <w:tcPr>
            <w:tcW w:w="0" w:type="auto"/>
            <w:shd w:val="clear" w:color="auto" w:fill="FFFFFF"/>
            <w:tcMar>
              <w:top w:w="30" w:type="dxa"/>
              <w:left w:w="0" w:type="dxa"/>
              <w:bottom w:w="30" w:type="dxa"/>
              <w:right w:w="20" w:type="dxa"/>
            </w:tcMar>
            <w:vAlign w:val="center"/>
            <w:hideMark/>
          </w:tcPr>
          <w:p w14:paraId="676BCC6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D123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0175F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B1678D8" w14:textId="77777777" w:rsidR="00000000" w:rsidRDefault="000A3118">
            <w:pPr>
              <w:jc w:val="right"/>
              <w:rPr>
                <w:rFonts w:eastAsia="Times New Roman"/>
              </w:rPr>
            </w:pPr>
          </w:p>
        </w:tc>
      </w:tr>
      <w:tr w:rsidR="00000000" w14:paraId="18ACDAD9" w14:textId="77777777">
        <w:trPr>
          <w:divId w:val="1494028172"/>
        </w:trPr>
        <w:tc>
          <w:tcPr>
            <w:tcW w:w="0" w:type="auto"/>
            <w:gridSpan w:val="3"/>
            <w:vAlign w:val="center"/>
            <w:hideMark/>
          </w:tcPr>
          <w:p w14:paraId="7D9D62BB" w14:textId="77777777" w:rsidR="00000000" w:rsidRDefault="000A3118">
            <w:pPr>
              <w:jc w:val="right"/>
              <w:rPr>
                <w:rFonts w:eastAsia="Times New Roman"/>
                <w:sz w:val="20"/>
                <w:szCs w:val="20"/>
              </w:rPr>
            </w:pPr>
          </w:p>
        </w:tc>
        <w:tc>
          <w:tcPr>
            <w:tcW w:w="0" w:type="auto"/>
            <w:gridSpan w:val="3"/>
            <w:vAlign w:val="center"/>
            <w:hideMark/>
          </w:tcPr>
          <w:p w14:paraId="19E196D9" w14:textId="77777777" w:rsidR="00000000" w:rsidRDefault="000A3118">
            <w:pPr>
              <w:rPr>
                <w:rFonts w:eastAsia="Times New Roman"/>
                <w:sz w:val="20"/>
                <w:szCs w:val="20"/>
              </w:rPr>
            </w:pPr>
          </w:p>
        </w:tc>
        <w:tc>
          <w:tcPr>
            <w:tcW w:w="0" w:type="auto"/>
            <w:gridSpan w:val="3"/>
            <w:vAlign w:val="center"/>
            <w:hideMark/>
          </w:tcPr>
          <w:p w14:paraId="7E64C07F" w14:textId="77777777" w:rsidR="00000000" w:rsidRDefault="000A3118">
            <w:pPr>
              <w:rPr>
                <w:rFonts w:eastAsia="Times New Roman"/>
                <w:sz w:val="20"/>
                <w:szCs w:val="20"/>
              </w:rPr>
            </w:pPr>
          </w:p>
        </w:tc>
        <w:tc>
          <w:tcPr>
            <w:tcW w:w="0" w:type="auto"/>
            <w:gridSpan w:val="3"/>
            <w:vAlign w:val="center"/>
            <w:hideMark/>
          </w:tcPr>
          <w:p w14:paraId="7A39B4C8" w14:textId="77777777" w:rsidR="00000000" w:rsidRDefault="000A3118">
            <w:pPr>
              <w:rPr>
                <w:rFonts w:eastAsia="Times New Roman"/>
                <w:sz w:val="20"/>
                <w:szCs w:val="20"/>
              </w:rPr>
            </w:pPr>
          </w:p>
        </w:tc>
        <w:tc>
          <w:tcPr>
            <w:tcW w:w="0" w:type="auto"/>
            <w:gridSpan w:val="3"/>
            <w:vAlign w:val="center"/>
            <w:hideMark/>
          </w:tcPr>
          <w:p w14:paraId="12D9452F" w14:textId="77777777" w:rsidR="00000000" w:rsidRDefault="000A3118">
            <w:pPr>
              <w:rPr>
                <w:rFonts w:eastAsia="Times New Roman"/>
                <w:sz w:val="20"/>
                <w:szCs w:val="20"/>
              </w:rPr>
            </w:pPr>
          </w:p>
        </w:tc>
        <w:tc>
          <w:tcPr>
            <w:tcW w:w="0" w:type="auto"/>
            <w:gridSpan w:val="3"/>
            <w:vAlign w:val="center"/>
            <w:hideMark/>
          </w:tcPr>
          <w:p w14:paraId="343FDE89" w14:textId="77777777" w:rsidR="00000000" w:rsidRDefault="000A3118">
            <w:pPr>
              <w:rPr>
                <w:rFonts w:eastAsia="Times New Roman"/>
                <w:sz w:val="20"/>
                <w:szCs w:val="20"/>
              </w:rPr>
            </w:pPr>
          </w:p>
        </w:tc>
        <w:tc>
          <w:tcPr>
            <w:tcW w:w="0" w:type="auto"/>
            <w:gridSpan w:val="3"/>
            <w:vAlign w:val="center"/>
            <w:hideMark/>
          </w:tcPr>
          <w:p w14:paraId="11490C08" w14:textId="77777777" w:rsidR="00000000" w:rsidRDefault="000A3118">
            <w:pPr>
              <w:rPr>
                <w:rFonts w:eastAsia="Times New Roman"/>
                <w:sz w:val="20"/>
                <w:szCs w:val="20"/>
              </w:rPr>
            </w:pPr>
          </w:p>
        </w:tc>
        <w:tc>
          <w:tcPr>
            <w:tcW w:w="0" w:type="auto"/>
            <w:gridSpan w:val="3"/>
            <w:vAlign w:val="center"/>
            <w:hideMark/>
          </w:tcPr>
          <w:p w14:paraId="3A5F55B7" w14:textId="77777777" w:rsidR="00000000" w:rsidRDefault="000A3118">
            <w:pPr>
              <w:rPr>
                <w:rFonts w:eastAsia="Times New Roman"/>
                <w:sz w:val="20"/>
                <w:szCs w:val="20"/>
              </w:rPr>
            </w:pPr>
          </w:p>
        </w:tc>
        <w:tc>
          <w:tcPr>
            <w:tcW w:w="0" w:type="auto"/>
            <w:gridSpan w:val="3"/>
            <w:vAlign w:val="center"/>
            <w:hideMark/>
          </w:tcPr>
          <w:p w14:paraId="766819E8" w14:textId="77777777" w:rsidR="00000000" w:rsidRDefault="000A3118">
            <w:pPr>
              <w:rPr>
                <w:rFonts w:eastAsia="Times New Roman"/>
                <w:sz w:val="20"/>
                <w:szCs w:val="20"/>
              </w:rPr>
            </w:pPr>
          </w:p>
        </w:tc>
        <w:tc>
          <w:tcPr>
            <w:tcW w:w="0" w:type="auto"/>
            <w:gridSpan w:val="3"/>
            <w:vAlign w:val="center"/>
            <w:hideMark/>
          </w:tcPr>
          <w:p w14:paraId="12B6BD9D" w14:textId="77777777" w:rsidR="00000000" w:rsidRDefault="000A3118">
            <w:pPr>
              <w:rPr>
                <w:rFonts w:eastAsia="Times New Roman"/>
                <w:sz w:val="20"/>
                <w:szCs w:val="20"/>
              </w:rPr>
            </w:pPr>
          </w:p>
        </w:tc>
        <w:tc>
          <w:tcPr>
            <w:tcW w:w="0" w:type="auto"/>
            <w:gridSpan w:val="3"/>
            <w:vAlign w:val="center"/>
            <w:hideMark/>
          </w:tcPr>
          <w:p w14:paraId="0794EBE8" w14:textId="77777777" w:rsidR="00000000" w:rsidRDefault="000A3118">
            <w:pPr>
              <w:rPr>
                <w:rFonts w:eastAsia="Times New Roman"/>
                <w:sz w:val="20"/>
                <w:szCs w:val="20"/>
              </w:rPr>
            </w:pPr>
          </w:p>
        </w:tc>
        <w:tc>
          <w:tcPr>
            <w:tcW w:w="0" w:type="auto"/>
            <w:gridSpan w:val="3"/>
            <w:vAlign w:val="center"/>
            <w:hideMark/>
          </w:tcPr>
          <w:p w14:paraId="772ADBC6" w14:textId="77777777" w:rsidR="00000000" w:rsidRDefault="000A3118">
            <w:pPr>
              <w:rPr>
                <w:rFonts w:eastAsia="Times New Roman"/>
                <w:sz w:val="20"/>
                <w:szCs w:val="20"/>
              </w:rPr>
            </w:pPr>
          </w:p>
        </w:tc>
        <w:tc>
          <w:tcPr>
            <w:tcW w:w="0" w:type="auto"/>
            <w:gridSpan w:val="3"/>
            <w:vAlign w:val="center"/>
            <w:hideMark/>
          </w:tcPr>
          <w:p w14:paraId="423E397C" w14:textId="77777777" w:rsidR="00000000" w:rsidRDefault="000A3118">
            <w:pPr>
              <w:rPr>
                <w:rFonts w:eastAsia="Times New Roman"/>
                <w:sz w:val="20"/>
                <w:szCs w:val="20"/>
              </w:rPr>
            </w:pPr>
          </w:p>
        </w:tc>
        <w:tc>
          <w:tcPr>
            <w:tcW w:w="0" w:type="auto"/>
            <w:gridSpan w:val="3"/>
            <w:vAlign w:val="center"/>
            <w:hideMark/>
          </w:tcPr>
          <w:p w14:paraId="68301BF1" w14:textId="77777777" w:rsidR="00000000" w:rsidRDefault="000A3118">
            <w:pPr>
              <w:rPr>
                <w:rFonts w:eastAsia="Times New Roman"/>
                <w:sz w:val="20"/>
                <w:szCs w:val="20"/>
              </w:rPr>
            </w:pPr>
          </w:p>
        </w:tc>
      </w:tr>
      <w:tr w:rsidR="00000000" w14:paraId="054AE875" w14:textId="77777777">
        <w:trPr>
          <w:divId w:val="1494028172"/>
        </w:trPr>
        <w:tc>
          <w:tcPr>
            <w:tcW w:w="0" w:type="auto"/>
            <w:gridSpan w:val="6"/>
            <w:shd w:val="clear" w:color="auto" w:fill="CCEEFF"/>
            <w:tcMar>
              <w:top w:w="30" w:type="dxa"/>
              <w:left w:w="225" w:type="dxa"/>
              <w:bottom w:w="30" w:type="dxa"/>
              <w:right w:w="20" w:type="dxa"/>
            </w:tcMar>
            <w:hideMark/>
          </w:tcPr>
          <w:p w14:paraId="3A5478B2" w14:textId="77777777" w:rsidR="00000000" w:rsidRDefault="000A3118">
            <w:pPr>
              <w:rPr>
                <w:rFonts w:eastAsia="Times New Roman"/>
              </w:rPr>
            </w:pPr>
            <w:r>
              <w:rPr>
                <w:rFonts w:eastAsia="Times New Roman"/>
                <w:color w:val="000000"/>
                <w:sz w:val="16"/>
                <w:szCs w:val="16"/>
              </w:rPr>
              <w:t>Gains or Loss on cash flow hedge relationships:</w:t>
            </w:r>
          </w:p>
        </w:tc>
        <w:tc>
          <w:tcPr>
            <w:tcW w:w="0" w:type="auto"/>
            <w:gridSpan w:val="3"/>
            <w:shd w:val="clear" w:color="auto" w:fill="CCEEFF"/>
            <w:tcMar>
              <w:top w:w="0" w:type="dxa"/>
              <w:left w:w="20" w:type="dxa"/>
              <w:bottom w:w="0" w:type="dxa"/>
              <w:right w:w="20" w:type="dxa"/>
            </w:tcMar>
            <w:vAlign w:val="center"/>
            <w:hideMark/>
          </w:tcPr>
          <w:p w14:paraId="55A7118A" w14:textId="77777777" w:rsidR="00000000" w:rsidRDefault="000A3118">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8C2EA"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3A2E13"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06690B"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F8922D"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0CB79D"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ECF832"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FA813D"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3CCA49"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295D83"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F54254"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FE8540" w14:textId="77777777" w:rsidR="00000000" w:rsidRDefault="000A3118">
            <w:pPr>
              <w:rPr>
                <w:rFonts w:eastAsia="Times New Roman"/>
                <w:sz w:val="20"/>
                <w:szCs w:val="20"/>
              </w:rPr>
            </w:pPr>
          </w:p>
        </w:tc>
      </w:tr>
      <w:tr w:rsidR="00000000" w14:paraId="571E6D22" w14:textId="77777777">
        <w:trPr>
          <w:divId w:val="1494028172"/>
        </w:trPr>
        <w:tc>
          <w:tcPr>
            <w:tcW w:w="0" w:type="auto"/>
            <w:gridSpan w:val="3"/>
            <w:shd w:val="clear" w:color="auto" w:fill="FFFFFF"/>
            <w:tcMar>
              <w:top w:w="30" w:type="dxa"/>
              <w:left w:w="225" w:type="dxa"/>
              <w:bottom w:w="30" w:type="dxa"/>
              <w:right w:w="20" w:type="dxa"/>
            </w:tcMar>
            <w:vAlign w:val="center"/>
            <w:hideMark/>
          </w:tcPr>
          <w:p w14:paraId="25C47BE4" w14:textId="77777777" w:rsidR="00000000" w:rsidRDefault="000A3118">
            <w:pPr>
              <w:rPr>
                <w:rFonts w:eastAsia="Times New Roman"/>
              </w:rPr>
            </w:pPr>
            <w:r>
              <w:rPr>
                <w:rFonts w:eastAsia="Times New Roman"/>
                <w:color w:val="000000"/>
                <w:sz w:val="16"/>
                <w:szCs w:val="16"/>
              </w:rPr>
              <w:t>   </w:t>
            </w:r>
            <w:r>
              <w:rPr>
                <w:rFonts w:eastAsia="Times New Roman"/>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14:paraId="7DD193D2"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0CFC1"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CF11AE"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E60FB6"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F5883D"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78852C"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99A9F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19954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7FF7D7"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53DE66"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87F374"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93817C"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DB2B71" w14:textId="77777777" w:rsidR="00000000" w:rsidRDefault="000A3118">
            <w:pPr>
              <w:rPr>
                <w:rFonts w:eastAsia="Times New Roman"/>
                <w:sz w:val="20"/>
                <w:szCs w:val="20"/>
              </w:rPr>
            </w:pPr>
          </w:p>
        </w:tc>
      </w:tr>
      <w:tr w:rsidR="00000000" w14:paraId="3635AB37" w14:textId="77777777">
        <w:trPr>
          <w:divId w:val="1494028172"/>
        </w:trPr>
        <w:tc>
          <w:tcPr>
            <w:tcW w:w="0" w:type="auto"/>
            <w:gridSpan w:val="3"/>
            <w:shd w:val="clear" w:color="auto" w:fill="CCEEFF"/>
            <w:tcMar>
              <w:top w:w="0" w:type="dxa"/>
              <w:left w:w="20" w:type="dxa"/>
              <w:bottom w:w="0" w:type="dxa"/>
              <w:right w:w="20" w:type="dxa"/>
            </w:tcMar>
            <w:vAlign w:val="center"/>
            <w:hideMark/>
          </w:tcPr>
          <w:p w14:paraId="454D9E72" w14:textId="77777777" w:rsidR="00000000" w:rsidRDefault="000A3118">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4DC4673C" w14:textId="77777777" w:rsidR="00000000" w:rsidRDefault="000A3118">
            <w:pPr>
              <w:rPr>
                <w:rFonts w:eastAsia="Times New Roman"/>
              </w:rPr>
            </w:pPr>
            <w:r>
              <w:rPr>
                <w:rFonts w:eastAsia="Times New Roman"/>
                <w:color w:val="000000"/>
                <w:sz w:val="16"/>
                <w:szCs w:val="16"/>
              </w:rPr>
              <w:t>Amount of Gain (Loss) Reclassified from AOCI into Income</w:t>
            </w:r>
          </w:p>
        </w:tc>
        <w:tc>
          <w:tcPr>
            <w:tcW w:w="0" w:type="auto"/>
            <w:gridSpan w:val="3"/>
            <w:shd w:val="clear" w:color="auto" w:fill="CCEEFF"/>
            <w:tcMar>
              <w:top w:w="0" w:type="dxa"/>
              <w:left w:w="20" w:type="dxa"/>
              <w:bottom w:w="0" w:type="dxa"/>
              <w:right w:w="20" w:type="dxa"/>
            </w:tcMar>
            <w:vAlign w:val="center"/>
            <w:hideMark/>
          </w:tcPr>
          <w:p w14:paraId="02B95140"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A6EBFAC" w14:textId="77777777" w:rsidR="00000000" w:rsidRDefault="000A3118">
            <w:pPr>
              <w:jc w:val="right"/>
              <w:rPr>
                <w:rFonts w:eastAsia="Times New Roman"/>
              </w:rPr>
            </w:pPr>
            <w:r>
              <w:rPr>
                <w:rFonts w:eastAsia="Times New Roman"/>
                <w:color w:val="000000"/>
                <w:sz w:val="16"/>
                <w:szCs w:val="16"/>
              </w:rPr>
              <w:t>38.2 </w:t>
            </w:r>
          </w:p>
        </w:tc>
        <w:tc>
          <w:tcPr>
            <w:tcW w:w="0" w:type="auto"/>
            <w:shd w:val="clear" w:color="auto" w:fill="CCEEFF"/>
            <w:tcMar>
              <w:top w:w="30" w:type="dxa"/>
              <w:left w:w="0" w:type="dxa"/>
              <w:bottom w:w="30" w:type="dxa"/>
              <w:right w:w="20" w:type="dxa"/>
            </w:tcMar>
            <w:vAlign w:val="center"/>
            <w:hideMark/>
          </w:tcPr>
          <w:p w14:paraId="25BBDE8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50F5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39D005" w14:textId="77777777" w:rsidR="00000000" w:rsidRDefault="000A3118">
            <w:pPr>
              <w:jc w:val="right"/>
              <w:rPr>
                <w:rFonts w:eastAsia="Times New Roman"/>
              </w:rPr>
            </w:pPr>
            <w:r>
              <w:rPr>
                <w:rFonts w:eastAsia="Times New Roman"/>
                <w:color w:val="000000"/>
                <w:sz w:val="16"/>
                <w:szCs w:val="16"/>
              </w:rPr>
              <w:t>(122.3)</w:t>
            </w:r>
          </w:p>
        </w:tc>
        <w:tc>
          <w:tcPr>
            <w:tcW w:w="0" w:type="auto"/>
            <w:shd w:val="clear" w:color="auto" w:fill="CCEEFF"/>
            <w:tcMar>
              <w:top w:w="30" w:type="dxa"/>
              <w:left w:w="0" w:type="dxa"/>
              <w:bottom w:w="30" w:type="dxa"/>
              <w:right w:w="20" w:type="dxa"/>
            </w:tcMar>
            <w:vAlign w:val="center"/>
            <w:hideMark/>
          </w:tcPr>
          <w:p w14:paraId="01EE4D1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0868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05F01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DD792C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74EB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0280B8" w14:textId="77777777" w:rsidR="00000000" w:rsidRDefault="000A3118">
            <w:pPr>
              <w:jc w:val="right"/>
              <w:rPr>
                <w:rFonts w:eastAsia="Times New Roman"/>
              </w:rPr>
            </w:pPr>
            <w:r>
              <w:rPr>
                <w:rFonts w:eastAsia="Times New Roman"/>
                <w:color w:val="000000"/>
                <w:sz w:val="16"/>
                <w:szCs w:val="16"/>
              </w:rPr>
              <w:t>(6.5)</w:t>
            </w:r>
          </w:p>
        </w:tc>
        <w:tc>
          <w:tcPr>
            <w:tcW w:w="0" w:type="auto"/>
            <w:shd w:val="clear" w:color="auto" w:fill="CCEEFF"/>
            <w:tcMar>
              <w:top w:w="30" w:type="dxa"/>
              <w:left w:w="0" w:type="dxa"/>
              <w:bottom w:w="30" w:type="dxa"/>
              <w:right w:w="20" w:type="dxa"/>
            </w:tcMar>
            <w:vAlign w:val="center"/>
            <w:hideMark/>
          </w:tcPr>
          <w:p w14:paraId="4010D0F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2D371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A789BB" w14:textId="77777777" w:rsidR="00000000" w:rsidRDefault="000A3118">
            <w:pPr>
              <w:jc w:val="right"/>
              <w:rPr>
                <w:rFonts w:eastAsia="Times New Roman"/>
              </w:rPr>
            </w:pPr>
            <w:r>
              <w:rPr>
                <w:rFonts w:eastAsia="Times New Roman"/>
                <w:color w:val="000000"/>
                <w:sz w:val="16"/>
                <w:szCs w:val="16"/>
              </w:rPr>
              <w:t>31.1 </w:t>
            </w:r>
          </w:p>
        </w:tc>
        <w:tc>
          <w:tcPr>
            <w:tcW w:w="0" w:type="auto"/>
            <w:shd w:val="clear" w:color="auto" w:fill="CCEEFF"/>
            <w:tcMar>
              <w:top w:w="30" w:type="dxa"/>
              <w:left w:w="0" w:type="dxa"/>
              <w:bottom w:w="30" w:type="dxa"/>
              <w:right w:w="20" w:type="dxa"/>
            </w:tcMar>
            <w:vAlign w:val="center"/>
            <w:hideMark/>
          </w:tcPr>
          <w:p w14:paraId="535BA7F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8AC0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FCE3A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4B59C30" w14:textId="77777777" w:rsidR="00000000" w:rsidRDefault="000A3118">
            <w:pPr>
              <w:jc w:val="right"/>
              <w:rPr>
                <w:rFonts w:eastAsia="Times New Roman"/>
              </w:rPr>
            </w:pPr>
          </w:p>
        </w:tc>
      </w:tr>
      <w:tr w:rsidR="00000000" w14:paraId="48C162B2" w14:textId="77777777">
        <w:trPr>
          <w:divId w:val="1494028172"/>
        </w:trPr>
        <w:tc>
          <w:tcPr>
            <w:tcW w:w="0" w:type="auto"/>
            <w:gridSpan w:val="3"/>
            <w:shd w:val="clear" w:color="auto" w:fill="FFFFFF"/>
            <w:tcMar>
              <w:top w:w="30" w:type="dxa"/>
              <w:left w:w="225" w:type="dxa"/>
              <w:bottom w:w="30" w:type="dxa"/>
              <w:right w:w="20" w:type="dxa"/>
            </w:tcMar>
            <w:vAlign w:val="center"/>
            <w:hideMark/>
          </w:tcPr>
          <w:p w14:paraId="43F62549" w14:textId="77777777" w:rsidR="00000000" w:rsidRDefault="000A3118">
            <w:pPr>
              <w:rPr>
                <w:rFonts w:eastAsia="Times New Roman"/>
              </w:rPr>
            </w:pPr>
            <w:r>
              <w:rPr>
                <w:rFonts w:eastAsia="Times New Roman"/>
                <w:color w:val="000000"/>
                <w:sz w:val="16"/>
                <w:szCs w:val="16"/>
              </w:rPr>
              <w:t>   Interest rate contracts:</w:t>
            </w:r>
          </w:p>
        </w:tc>
        <w:tc>
          <w:tcPr>
            <w:tcW w:w="0" w:type="auto"/>
            <w:gridSpan w:val="3"/>
            <w:shd w:val="clear" w:color="auto" w:fill="FFFFFF"/>
            <w:tcMar>
              <w:top w:w="0" w:type="dxa"/>
              <w:left w:w="20" w:type="dxa"/>
              <w:bottom w:w="0" w:type="dxa"/>
              <w:right w:w="20" w:type="dxa"/>
            </w:tcMar>
            <w:vAlign w:val="center"/>
            <w:hideMark/>
          </w:tcPr>
          <w:p w14:paraId="55014639"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EFD758"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250E42"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A0B1CD"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D1C54F"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8B5E9D"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B96AB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3F41AD"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C74BD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B611BC"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D338D5"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380D8F"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6CFA0C" w14:textId="77777777" w:rsidR="00000000" w:rsidRDefault="000A3118">
            <w:pPr>
              <w:rPr>
                <w:rFonts w:eastAsia="Times New Roman"/>
                <w:sz w:val="20"/>
                <w:szCs w:val="20"/>
              </w:rPr>
            </w:pPr>
          </w:p>
        </w:tc>
      </w:tr>
      <w:tr w:rsidR="00000000" w14:paraId="464FF10F" w14:textId="77777777">
        <w:trPr>
          <w:divId w:val="1494028172"/>
        </w:trPr>
        <w:tc>
          <w:tcPr>
            <w:tcW w:w="0" w:type="auto"/>
            <w:gridSpan w:val="3"/>
            <w:shd w:val="clear" w:color="auto" w:fill="CCEEFF"/>
            <w:tcMar>
              <w:top w:w="0" w:type="dxa"/>
              <w:left w:w="20" w:type="dxa"/>
              <w:bottom w:w="0" w:type="dxa"/>
              <w:right w:w="20" w:type="dxa"/>
            </w:tcMar>
            <w:vAlign w:val="center"/>
            <w:hideMark/>
          </w:tcPr>
          <w:p w14:paraId="3DF41351" w14:textId="77777777" w:rsidR="00000000" w:rsidRDefault="000A3118">
            <w:pPr>
              <w:rPr>
                <w:rFonts w:eastAsia="Times New Roman"/>
                <w:sz w:val="20"/>
                <w:szCs w:val="20"/>
              </w:rPr>
            </w:pPr>
          </w:p>
        </w:tc>
        <w:tc>
          <w:tcPr>
            <w:tcW w:w="0" w:type="auto"/>
            <w:gridSpan w:val="3"/>
            <w:tcBorders>
              <w:bottom w:val="single" w:sz="8" w:space="0" w:color="000000"/>
            </w:tcBorders>
            <w:shd w:val="clear" w:color="auto" w:fill="CCEEFF"/>
            <w:tcMar>
              <w:top w:w="30" w:type="dxa"/>
              <w:left w:w="20" w:type="dxa"/>
              <w:bottom w:w="30" w:type="dxa"/>
              <w:right w:w="20" w:type="dxa"/>
            </w:tcMar>
            <w:vAlign w:val="center"/>
            <w:hideMark/>
          </w:tcPr>
          <w:p w14:paraId="5795DD4C" w14:textId="77777777" w:rsidR="00000000" w:rsidRDefault="000A3118">
            <w:pPr>
              <w:rPr>
                <w:rFonts w:eastAsia="Times New Roman"/>
              </w:rPr>
            </w:pPr>
            <w:r>
              <w:rPr>
                <w:rFonts w:eastAsia="Times New Roman"/>
                <w:color w:val="000000"/>
                <w:sz w:val="16"/>
                <w:szCs w:val="16"/>
              </w:rPr>
              <w:t>Amount of Gain (Loss) Reclassified from AOCI into Income</w:t>
            </w:r>
          </w:p>
        </w:tc>
        <w:tc>
          <w:tcPr>
            <w:tcW w:w="0" w:type="auto"/>
            <w:gridSpan w:val="3"/>
            <w:shd w:val="clear" w:color="auto" w:fill="CCEEFF"/>
            <w:tcMar>
              <w:top w:w="0" w:type="dxa"/>
              <w:left w:w="20" w:type="dxa"/>
              <w:bottom w:w="0" w:type="dxa"/>
              <w:right w:w="20" w:type="dxa"/>
            </w:tcMar>
            <w:vAlign w:val="center"/>
            <w:hideMark/>
          </w:tcPr>
          <w:p w14:paraId="2B578267"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732826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7C2AE1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CC8E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D3E9A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3B7C48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FB112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CD37FE" w14:textId="77777777" w:rsidR="00000000" w:rsidRDefault="000A3118">
            <w:pPr>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center"/>
            <w:hideMark/>
          </w:tcPr>
          <w:p w14:paraId="10E9E1A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3212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9BD2A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0EDF3E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3335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C5A0E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4BB368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7CD1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F46C8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DF3A00D" w14:textId="77777777" w:rsidR="00000000" w:rsidRDefault="000A3118">
            <w:pPr>
              <w:jc w:val="right"/>
              <w:rPr>
                <w:rFonts w:eastAsia="Times New Roman"/>
              </w:rPr>
            </w:pPr>
          </w:p>
        </w:tc>
      </w:tr>
      <w:tr w:rsidR="00000000" w14:paraId="0F2950A2" w14:textId="77777777">
        <w:trPr>
          <w:divId w:val="1494028172"/>
        </w:trPr>
        <w:tc>
          <w:tcPr>
            <w:tcW w:w="0" w:type="auto"/>
            <w:gridSpan w:val="6"/>
            <w:tcBorders>
              <w:top w:val="single" w:sz="8" w:space="0" w:color="000000"/>
              <w:bottom w:val="double" w:sz="6" w:space="0" w:color="000000"/>
            </w:tcBorders>
            <w:shd w:val="clear" w:color="auto" w:fill="FFFFFF"/>
            <w:tcMar>
              <w:top w:w="30" w:type="dxa"/>
              <w:left w:w="20" w:type="dxa"/>
              <w:bottom w:w="30" w:type="dxa"/>
              <w:right w:w="20" w:type="dxa"/>
            </w:tcMar>
            <w:vAlign w:val="center"/>
            <w:hideMark/>
          </w:tcPr>
          <w:p w14:paraId="03DF9A3B" w14:textId="77777777" w:rsidR="00000000" w:rsidRDefault="000A3118">
            <w:pPr>
              <w:rPr>
                <w:rFonts w:eastAsia="Times New Roman"/>
              </w:rPr>
            </w:pPr>
            <w:r>
              <w:rPr>
                <w:rFonts w:eastAsia="Times New Roman"/>
                <w:color w:val="000000"/>
                <w:sz w:val="16"/>
                <w:szCs w:val="16"/>
              </w:rPr>
              <w:t>Total amount of income and expense line items excluding the impact of hedges</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42C6B61" w14:textId="77777777" w:rsidR="00000000" w:rsidRDefault="000A3118">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720269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774DA67" w14:textId="77777777" w:rsidR="00000000" w:rsidRDefault="000A3118">
            <w:pPr>
              <w:jc w:val="right"/>
              <w:rPr>
                <w:rFonts w:eastAsia="Times New Roman"/>
              </w:rPr>
            </w:pPr>
            <w:r>
              <w:rPr>
                <w:rFonts w:eastAsia="Times New Roman"/>
                <w:color w:val="000000"/>
                <w:sz w:val="16"/>
                <w:szCs w:val="16"/>
              </w:rPr>
              <w:t>15,618.0 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8EB64B3"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9832B93"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82B8CA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9C0C6CD" w14:textId="77777777" w:rsidR="00000000" w:rsidRDefault="000A3118">
            <w:pPr>
              <w:jc w:val="right"/>
              <w:rPr>
                <w:rFonts w:eastAsia="Times New Roman"/>
              </w:rPr>
            </w:pPr>
            <w:r>
              <w:rPr>
                <w:rFonts w:eastAsia="Times New Roman"/>
                <w:color w:val="000000"/>
                <w:sz w:val="16"/>
                <w:szCs w:val="16"/>
              </w:rPr>
              <w:t>14,847.2 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3978D45"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813985D"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2C8EAD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0E6501D" w14:textId="77777777" w:rsidR="00000000" w:rsidRDefault="000A3118">
            <w:pPr>
              <w:jc w:val="right"/>
              <w:rPr>
                <w:rFonts w:eastAsia="Times New Roman"/>
              </w:rPr>
            </w:pPr>
            <w:r>
              <w:rPr>
                <w:rFonts w:eastAsia="Times New Roman"/>
                <w:color w:val="000000"/>
                <w:sz w:val="16"/>
                <w:szCs w:val="16"/>
              </w:rPr>
              <w:t>36.1 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E9C34BE"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9A00616"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B16422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FF48293" w14:textId="77777777" w:rsidR="00000000" w:rsidRDefault="000A3118">
            <w:pPr>
              <w:jc w:val="right"/>
              <w:rPr>
                <w:rFonts w:eastAsia="Times New Roman"/>
              </w:rPr>
            </w:pPr>
            <w:r>
              <w:rPr>
                <w:rFonts w:eastAsia="Times New Roman"/>
                <w:color w:val="000000"/>
                <w:sz w:val="16"/>
                <w:szCs w:val="16"/>
              </w:rPr>
              <w:t>27,467.4 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24201EB"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95056E9"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A22E78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8184F46" w14:textId="77777777" w:rsidR="00000000" w:rsidRDefault="000A3118">
            <w:pPr>
              <w:jc w:val="right"/>
              <w:rPr>
                <w:rFonts w:eastAsia="Times New Roman"/>
              </w:rPr>
            </w:pPr>
            <w:r>
              <w:rPr>
                <w:rFonts w:eastAsia="Times New Roman"/>
                <w:color w:val="000000"/>
                <w:sz w:val="16"/>
                <w:szCs w:val="16"/>
              </w:rPr>
              <w:t>26,668.7 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7A62398"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BB05F1B"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83D3CF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058A560" w14:textId="77777777" w:rsidR="00000000" w:rsidRDefault="000A3118">
            <w:pPr>
              <w:jc w:val="right"/>
              <w:rPr>
                <w:rFonts w:eastAsia="Times New Roman"/>
              </w:rPr>
            </w:pPr>
            <w:r>
              <w:rPr>
                <w:rFonts w:eastAsia="Times New Roman"/>
                <w:color w:val="000000"/>
                <w:sz w:val="16"/>
                <w:szCs w:val="16"/>
              </w:rPr>
              <w:t>63.3 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3CD1EF5" w14:textId="77777777" w:rsidR="00000000" w:rsidRDefault="000A3118">
            <w:pPr>
              <w:jc w:val="right"/>
              <w:rPr>
                <w:rFonts w:eastAsia="Times New Roman"/>
              </w:rPr>
            </w:pPr>
          </w:p>
        </w:tc>
      </w:tr>
    </w:tbl>
    <w:p w14:paraId="3F071019" w14:textId="77777777" w:rsidR="00000000" w:rsidRDefault="000A3118">
      <w:pPr>
        <w:ind w:firstLine="360"/>
        <w:jc w:val="both"/>
        <w:divId w:val="1800414610"/>
        <w:rPr>
          <w:rFonts w:eastAsia="Times New Roman"/>
        </w:rPr>
      </w:pPr>
      <w:r>
        <w:rPr>
          <w:rFonts w:eastAsia="Times New Roman"/>
          <w:color w:val="000000"/>
          <w:sz w:val="20"/>
          <w:szCs w:val="20"/>
        </w:rPr>
        <w:t xml:space="preserve">For the three and nine months ended September 30, 2020 and 2019, there were no gains or losses recognized in earnings </w:t>
      </w:r>
      <w:r>
        <w:rPr>
          <w:rFonts w:eastAsia="Times New Roman"/>
          <w:color w:val="000000"/>
          <w:sz w:val="20"/>
          <w:szCs w:val="20"/>
        </w:rPr>
        <w:t>related to our fair value or cash flow hedges that were excluded from the assessment of hedge effectiveness.</w:t>
      </w:r>
    </w:p>
    <w:p w14:paraId="0D01603C" w14:textId="77777777" w:rsidR="00000000" w:rsidRDefault="000A3118">
      <w:pPr>
        <w:ind w:firstLine="360"/>
        <w:jc w:val="both"/>
        <w:rPr>
          <w:rFonts w:eastAsia="Times New Roman"/>
        </w:rPr>
      </w:pPr>
    </w:p>
    <w:p w14:paraId="08D58669" w14:textId="77777777" w:rsidR="00000000" w:rsidRDefault="000A3118">
      <w:pPr>
        <w:jc w:val="both"/>
        <w:rPr>
          <w:rFonts w:eastAsia="Times New Roman"/>
        </w:rPr>
      </w:pPr>
      <w:r>
        <w:rPr>
          <w:rFonts w:eastAsia="Times New Roman"/>
          <w:color w:val="000000"/>
          <w:sz w:val="20"/>
          <w:szCs w:val="20"/>
        </w:rPr>
        <w:t xml:space="preserve">    As of September 30, 2020, on a pre-tax basis for commodity cash flow hedges, $132.3 million and $135.1 </w:t>
      </w:r>
      <w:r>
        <w:rPr>
          <w:rFonts w:eastAsia="Times New Roman"/>
          <w:color w:val="000000"/>
          <w:sz w:val="20"/>
          <w:szCs w:val="20"/>
        </w:rPr>
        <w:t>million is scheduled to be reclassified from Accumulated other comprehensive loss as an increase to Revenue and increase to Cost of revenue, respectively, over the next twelve months.</w:t>
      </w:r>
    </w:p>
    <w:p w14:paraId="02922EDC" w14:textId="77777777" w:rsidR="00000000" w:rsidRDefault="000A3118">
      <w:pPr>
        <w:jc w:val="center"/>
        <w:divId w:val="1919751073"/>
        <w:rPr>
          <w:rFonts w:eastAsia="Times New Roman"/>
        </w:rPr>
      </w:pPr>
      <w:r>
        <w:rPr>
          <w:rFonts w:eastAsia="Times New Roman"/>
          <w:color w:val="000000"/>
          <w:sz w:val="20"/>
          <w:szCs w:val="20"/>
        </w:rPr>
        <w:t>14</w:t>
      </w:r>
    </w:p>
    <w:p w14:paraId="3D1C50B0" w14:textId="77777777" w:rsidR="00000000" w:rsidRDefault="000A3118">
      <w:pPr>
        <w:rPr>
          <w:rFonts w:eastAsia="Times New Roman"/>
        </w:rPr>
      </w:pPr>
      <w:r>
        <w:rPr>
          <w:rFonts w:eastAsia="Times New Roman"/>
        </w:rPr>
        <w:pict w14:anchorId="7804CB9D">
          <v:rect id="_x0000_i1042" style="width:0;height:1.5pt" o:hralign="center" o:hrstd="t" o:hr="t" fillcolor="#a0a0a0" stroked="f"/>
        </w:pict>
      </w:r>
    </w:p>
    <w:p w14:paraId="02505493" w14:textId="77777777" w:rsidR="00000000" w:rsidRDefault="000A3118">
      <w:pPr>
        <w:divId w:val="1554847376"/>
        <w:rPr>
          <w:rFonts w:eastAsia="Times New Roman"/>
        </w:rPr>
      </w:pPr>
    </w:p>
    <w:p w14:paraId="5EC92D58" w14:textId="77777777" w:rsidR="00000000" w:rsidRDefault="000A3118">
      <w:pPr>
        <w:jc w:val="both"/>
        <w:rPr>
          <w:rFonts w:eastAsia="Times New Roman"/>
        </w:rPr>
      </w:pPr>
    </w:p>
    <w:p w14:paraId="66DD6DAC" w14:textId="77777777" w:rsidR="00000000" w:rsidRDefault="000A3118">
      <w:pPr>
        <w:ind w:firstLine="360"/>
        <w:jc w:val="both"/>
        <w:rPr>
          <w:rFonts w:eastAsia="Times New Roman"/>
        </w:rPr>
      </w:pPr>
      <w:r>
        <w:rPr>
          <w:rFonts w:eastAsia="Times New Roman"/>
          <w:color w:val="000000"/>
          <w:sz w:val="20"/>
          <w:szCs w:val="20"/>
        </w:rPr>
        <w:t>The following table presents</w:t>
      </w:r>
      <w:r>
        <w:rPr>
          <w:rFonts w:eastAsia="Times New Roman"/>
          <w:color w:val="000000"/>
          <w:sz w:val="20"/>
          <w:szCs w:val="20"/>
        </w:rPr>
        <w:t xml:space="preserve"> the effect and financial statement location of our derivative instruments in cash flow hedging relationships on Accumulated other comprehensive income and Consolidated Statements of Income and Comprehensive Income (in millions):</w:t>
      </w:r>
    </w:p>
    <w:tbl>
      <w:tblPr>
        <w:tblW w:w="4985" w:type="pct"/>
        <w:tblCellMar>
          <w:top w:w="15" w:type="dxa"/>
          <w:left w:w="15" w:type="dxa"/>
          <w:bottom w:w="15" w:type="dxa"/>
          <w:right w:w="15" w:type="dxa"/>
        </w:tblCellMar>
        <w:tblLook w:val="04A0" w:firstRow="1" w:lastRow="0" w:firstColumn="1" w:lastColumn="0" w:noHBand="0" w:noVBand="1"/>
      </w:tblPr>
      <w:tblGrid>
        <w:gridCol w:w="46"/>
        <w:gridCol w:w="2252"/>
        <w:gridCol w:w="36"/>
        <w:gridCol w:w="100"/>
        <w:gridCol w:w="698"/>
        <w:gridCol w:w="36"/>
        <w:gridCol w:w="36"/>
        <w:gridCol w:w="36"/>
        <w:gridCol w:w="36"/>
        <w:gridCol w:w="100"/>
        <w:gridCol w:w="694"/>
        <w:gridCol w:w="36"/>
        <w:gridCol w:w="36"/>
        <w:gridCol w:w="36"/>
        <w:gridCol w:w="36"/>
        <w:gridCol w:w="39"/>
        <w:gridCol w:w="2245"/>
        <w:gridCol w:w="36"/>
        <w:gridCol w:w="100"/>
        <w:gridCol w:w="698"/>
        <w:gridCol w:w="36"/>
        <w:gridCol w:w="36"/>
        <w:gridCol w:w="36"/>
        <w:gridCol w:w="36"/>
        <w:gridCol w:w="100"/>
        <w:gridCol w:w="669"/>
        <w:gridCol w:w="36"/>
      </w:tblGrid>
      <w:tr w:rsidR="00000000" w14:paraId="40C946D1" w14:textId="77777777">
        <w:trPr>
          <w:divId w:val="1773741967"/>
        </w:trPr>
        <w:tc>
          <w:tcPr>
            <w:tcW w:w="50" w:type="pct"/>
            <w:vAlign w:val="center"/>
            <w:hideMark/>
          </w:tcPr>
          <w:p w14:paraId="57C5551F" w14:textId="77777777" w:rsidR="00000000" w:rsidRDefault="000A3118">
            <w:pPr>
              <w:ind w:firstLine="360"/>
              <w:jc w:val="both"/>
              <w:rPr>
                <w:rFonts w:eastAsia="Times New Roman"/>
              </w:rPr>
            </w:pPr>
          </w:p>
        </w:tc>
        <w:tc>
          <w:tcPr>
            <w:tcW w:w="1381" w:type="pct"/>
            <w:vAlign w:val="center"/>
            <w:hideMark/>
          </w:tcPr>
          <w:p w14:paraId="485F66D8" w14:textId="77777777" w:rsidR="00000000" w:rsidRDefault="000A3118">
            <w:pPr>
              <w:rPr>
                <w:rFonts w:eastAsia="Times New Roman"/>
                <w:sz w:val="20"/>
                <w:szCs w:val="20"/>
              </w:rPr>
            </w:pPr>
          </w:p>
        </w:tc>
        <w:tc>
          <w:tcPr>
            <w:tcW w:w="5" w:type="pct"/>
            <w:vAlign w:val="center"/>
            <w:hideMark/>
          </w:tcPr>
          <w:p w14:paraId="0EF94B7B" w14:textId="77777777" w:rsidR="00000000" w:rsidRDefault="000A3118">
            <w:pPr>
              <w:rPr>
                <w:rFonts w:eastAsia="Times New Roman"/>
                <w:sz w:val="20"/>
                <w:szCs w:val="20"/>
              </w:rPr>
            </w:pPr>
          </w:p>
        </w:tc>
        <w:tc>
          <w:tcPr>
            <w:tcW w:w="50" w:type="pct"/>
            <w:vAlign w:val="center"/>
            <w:hideMark/>
          </w:tcPr>
          <w:p w14:paraId="0CD16D73" w14:textId="77777777" w:rsidR="00000000" w:rsidRDefault="000A3118">
            <w:pPr>
              <w:rPr>
                <w:rFonts w:eastAsia="Times New Roman"/>
                <w:sz w:val="20"/>
                <w:szCs w:val="20"/>
              </w:rPr>
            </w:pPr>
          </w:p>
        </w:tc>
        <w:tc>
          <w:tcPr>
            <w:tcW w:w="443" w:type="pct"/>
            <w:vAlign w:val="center"/>
            <w:hideMark/>
          </w:tcPr>
          <w:p w14:paraId="59609E5B" w14:textId="77777777" w:rsidR="00000000" w:rsidRDefault="000A3118">
            <w:pPr>
              <w:rPr>
                <w:rFonts w:eastAsia="Times New Roman"/>
                <w:sz w:val="20"/>
                <w:szCs w:val="20"/>
              </w:rPr>
            </w:pPr>
          </w:p>
        </w:tc>
        <w:tc>
          <w:tcPr>
            <w:tcW w:w="5" w:type="pct"/>
            <w:vAlign w:val="center"/>
            <w:hideMark/>
          </w:tcPr>
          <w:p w14:paraId="6AA7F122" w14:textId="77777777" w:rsidR="00000000" w:rsidRDefault="000A3118">
            <w:pPr>
              <w:rPr>
                <w:rFonts w:eastAsia="Times New Roman"/>
                <w:sz w:val="20"/>
                <w:szCs w:val="20"/>
              </w:rPr>
            </w:pPr>
          </w:p>
        </w:tc>
        <w:tc>
          <w:tcPr>
            <w:tcW w:w="5" w:type="pct"/>
            <w:vAlign w:val="center"/>
            <w:hideMark/>
          </w:tcPr>
          <w:p w14:paraId="47DA8AA8" w14:textId="77777777" w:rsidR="00000000" w:rsidRDefault="000A3118">
            <w:pPr>
              <w:rPr>
                <w:rFonts w:eastAsia="Times New Roman"/>
                <w:sz w:val="20"/>
                <w:szCs w:val="20"/>
              </w:rPr>
            </w:pPr>
          </w:p>
        </w:tc>
        <w:tc>
          <w:tcPr>
            <w:tcW w:w="41" w:type="pct"/>
            <w:vAlign w:val="center"/>
            <w:hideMark/>
          </w:tcPr>
          <w:p w14:paraId="260618B0" w14:textId="77777777" w:rsidR="00000000" w:rsidRDefault="000A3118">
            <w:pPr>
              <w:rPr>
                <w:rFonts w:eastAsia="Times New Roman"/>
                <w:sz w:val="20"/>
                <w:szCs w:val="20"/>
              </w:rPr>
            </w:pPr>
          </w:p>
        </w:tc>
        <w:tc>
          <w:tcPr>
            <w:tcW w:w="5" w:type="pct"/>
            <w:vAlign w:val="center"/>
            <w:hideMark/>
          </w:tcPr>
          <w:p w14:paraId="52EDE09E" w14:textId="77777777" w:rsidR="00000000" w:rsidRDefault="000A3118">
            <w:pPr>
              <w:rPr>
                <w:rFonts w:eastAsia="Times New Roman"/>
                <w:sz w:val="20"/>
                <w:szCs w:val="20"/>
              </w:rPr>
            </w:pPr>
          </w:p>
        </w:tc>
        <w:tc>
          <w:tcPr>
            <w:tcW w:w="50" w:type="pct"/>
            <w:vAlign w:val="center"/>
            <w:hideMark/>
          </w:tcPr>
          <w:p w14:paraId="0ACEEE96" w14:textId="77777777" w:rsidR="00000000" w:rsidRDefault="000A3118">
            <w:pPr>
              <w:rPr>
                <w:rFonts w:eastAsia="Times New Roman"/>
                <w:sz w:val="20"/>
                <w:szCs w:val="20"/>
              </w:rPr>
            </w:pPr>
          </w:p>
        </w:tc>
        <w:tc>
          <w:tcPr>
            <w:tcW w:w="443" w:type="pct"/>
            <w:vAlign w:val="center"/>
            <w:hideMark/>
          </w:tcPr>
          <w:p w14:paraId="3FA39429" w14:textId="77777777" w:rsidR="00000000" w:rsidRDefault="000A3118">
            <w:pPr>
              <w:rPr>
                <w:rFonts w:eastAsia="Times New Roman"/>
                <w:sz w:val="20"/>
                <w:szCs w:val="20"/>
              </w:rPr>
            </w:pPr>
          </w:p>
        </w:tc>
        <w:tc>
          <w:tcPr>
            <w:tcW w:w="5" w:type="pct"/>
            <w:vAlign w:val="center"/>
            <w:hideMark/>
          </w:tcPr>
          <w:p w14:paraId="0177AE0F" w14:textId="77777777" w:rsidR="00000000" w:rsidRDefault="000A3118">
            <w:pPr>
              <w:rPr>
                <w:rFonts w:eastAsia="Times New Roman"/>
                <w:sz w:val="20"/>
                <w:szCs w:val="20"/>
              </w:rPr>
            </w:pPr>
          </w:p>
        </w:tc>
        <w:tc>
          <w:tcPr>
            <w:tcW w:w="5" w:type="pct"/>
            <w:vAlign w:val="center"/>
            <w:hideMark/>
          </w:tcPr>
          <w:p w14:paraId="675D1BA9" w14:textId="77777777" w:rsidR="00000000" w:rsidRDefault="000A3118">
            <w:pPr>
              <w:rPr>
                <w:rFonts w:eastAsia="Times New Roman"/>
                <w:sz w:val="20"/>
                <w:szCs w:val="20"/>
              </w:rPr>
            </w:pPr>
          </w:p>
        </w:tc>
        <w:tc>
          <w:tcPr>
            <w:tcW w:w="26" w:type="pct"/>
            <w:vAlign w:val="center"/>
            <w:hideMark/>
          </w:tcPr>
          <w:p w14:paraId="79FB14A8" w14:textId="77777777" w:rsidR="00000000" w:rsidRDefault="000A3118">
            <w:pPr>
              <w:rPr>
                <w:rFonts w:eastAsia="Times New Roman"/>
                <w:sz w:val="20"/>
                <w:szCs w:val="20"/>
              </w:rPr>
            </w:pPr>
          </w:p>
        </w:tc>
        <w:tc>
          <w:tcPr>
            <w:tcW w:w="5" w:type="pct"/>
            <w:vAlign w:val="center"/>
            <w:hideMark/>
          </w:tcPr>
          <w:p w14:paraId="30547CC6" w14:textId="77777777" w:rsidR="00000000" w:rsidRDefault="000A3118">
            <w:pPr>
              <w:rPr>
                <w:rFonts w:eastAsia="Times New Roman"/>
                <w:sz w:val="20"/>
                <w:szCs w:val="20"/>
              </w:rPr>
            </w:pPr>
          </w:p>
        </w:tc>
        <w:tc>
          <w:tcPr>
            <w:tcW w:w="50" w:type="pct"/>
            <w:vAlign w:val="center"/>
            <w:hideMark/>
          </w:tcPr>
          <w:p w14:paraId="344388A1" w14:textId="77777777" w:rsidR="00000000" w:rsidRDefault="000A3118">
            <w:pPr>
              <w:rPr>
                <w:rFonts w:eastAsia="Times New Roman"/>
                <w:sz w:val="20"/>
                <w:szCs w:val="20"/>
              </w:rPr>
            </w:pPr>
          </w:p>
        </w:tc>
        <w:tc>
          <w:tcPr>
            <w:tcW w:w="1389" w:type="pct"/>
            <w:vAlign w:val="center"/>
            <w:hideMark/>
          </w:tcPr>
          <w:p w14:paraId="1DDD5405" w14:textId="77777777" w:rsidR="00000000" w:rsidRDefault="000A3118">
            <w:pPr>
              <w:rPr>
                <w:rFonts w:eastAsia="Times New Roman"/>
                <w:sz w:val="20"/>
                <w:szCs w:val="20"/>
              </w:rPr>
            </w:pPr>
          </w:p>
        </w:tc>
        <w:tc>
          <w:tcPr>
            <w:tcW w:w="5" w:type="pct"/>
            <w:vAlign w:val="center"/>
            <w:hideMark/>
          </w:tcPr>
          <w:p w14:paraId="4EECFAE3" w14:textId="77777777" w:rsidR="00000000" w:rsidRDefault="000A3118">
            <w:pPr>
              <w:rPr>
                <w:rFonts w:eastAsia="Times New Roman"/>
                <w:sz w:val="20"/>
                <w:szCs w:val="20"/>
              </w:rPr>
            </w:pPr>
          </w:p>
        </w:tc>
        <w:tc>
          <w:tcPr>
            <w:tcW w:w="50" w:type="pct"/>
            <w:vAlign w:val="center"/>
            <w:hideMark/>
          </w:tcPr>
          <w:p w14:paraId="7461C3B5" w14:textId="77777777" w:rsidR="00000000" w:rsidRDefault="000A3118">
            <w:pPr>
              <w:rPr>
                <w:rFonts w:eastAsia="Times New Roman"/>
                <w:sz w:val="20"/>
                <w:szCs w:val="20"/>
              </w:rPr>
            </w:pPr>
          </w:p>
        </w:tc>
        <w:tc>
          <w:tcPr>
            <w:tcW w:w="443" w:type="pct"/>
            <w:vAlign w:val="center"/>
            <w:hideMark/>
          </w:tcPr>
          <w:p w14:paraId="659DF083" w14:textId="77777777" w:rsidR="00000000" w:rsidRDefault="000A3118">
            <w:pPr>
              <w:rPr>
                <w:rFonts w:eastAsia="Times New Roman"/>
                <w:sz w:val="20"/>
                <w:szCs w:val="20"/>
              </w:rPr>
            </w:pPr>
          </w:p>
        </w:tc>
        <w:tc>
          <w:tcPr>
            <w:tcW w:w="5" w:type="pct"/>
            <w:vAlign w:val="center"/>
            <w:hideMark/>
          </w:tcPr>
          <w:p w14:paraId="7720B1DF" w14:textId="77777777" w:rsidR="00000000" w:rsidRDefault="000A3118">
            <w:pPr>
              <w:rPr>
                <w:rFonts w:eastAsia="Times New Roman"/>
                <w:sz w:val="20"/>
                <w:szCs w:val="20"/>
              </w:rPr>
            </w:pPr>
          </w:p>
        </w:tc>
        <w:tc>
          <w:tcPr>
            <w:tcW w:w="5" w:type="pct"/>
            <w:vAlign w:val="center"/>
            <w:hideMark/>
          </w:tcPr>
          <w:p w14:paraId="3C54A183" w14:textId="77777777" w:rsidR="00000000" w:rsidRDefault="000A3118">
            <w:pPr>
              <w:rPr>
                <w:rFonts w:eastAsia="Times New Roman"/>
                <w:sz w:val="20"/>
                <w:szCs w:val="20"/>
              </w:rPr>
            </w:pPr>
          </w:p>
        </w:tc>
        <w:tc>
          <w:tcPr>
            <w:tcW w:w="26" w:type="pct"/>
            <w:vAlign w:val="center"/>
            <w:hideMark/>
          </w:tcPr>
          <w:p w14:paraId="15C4EED7" w14:textId="77777777" w:rsidR="00000000" w:rsidRDefault="000A3118">
            <w:pPr>
              <w:rPr>
                <w:rFonts w:eastAsia="Times New Roman"/>
                <w:sz w:val="20"/>
                <w:szCs w:val="20"/>
              </w:rPr>
            </w:pPr>
          </w:p>
        </w:tc>
        <w:tc>
          <w:tcPr>
            <w:tcW w:w="5" w:type="pct"/>
            <w:vAlign w:val="center"/>
            <w:hideMark/>
          </w:tcPr>
          <w:p w14:paraId="3F0B7630" w14:textId="77777777" w:rsidR="00000000" w:rsidRDefault="000A3118">
            <w:pPr>
              <w:rPr>
                <w:rFonts w:eastAsia="Times New Roman"/>
                <w:sz w:val="20"/>
                <w:szCs w:val="20"/>
              </w:rPr>
            </w:pPr>
          </w:p>
        </w:tc>
        <w:tc>
          <w:tcPr>
            <w:tcW w:w="50" w:type="pct"/>
            <w:vAlign w:val="center"/>
            <w:hideMark/>
          </w:tcPr>
          <w:p w14:paraId="35C1DF3D" w14:textId="77777777" w:rsidR="00000000" w:rsidRDefault="000A3118">
            <w:pPr>
              <w:rPr>
                <w:rFonts w:eastAsia="Times New Roman"/>
                <w:sz w:val="20"/>
                <w:szCs w:val="20"/>
              </w:rPr>
            </w:pPr>
          </w:p>
        </w:tc>
        <w:tc>
          <w:tcPr>
            <w:tcW w:w="443" w:type="pct"/>
            <w:vAlign w:val="center"/>
            <w:hideMark/>
          </w:tcPr>
          <w:p w14:paraId="699DEBCB" w14:textId="77777777" w:rsidR="00000000" w:rsidRDefault="000A3118">
            <w:pPr>
              <w:rPr>
                <w:rFonts w:eastAsia="Times New Roman"/>
                <w:sz w:val="20"/>
                <w:szCs w:val="20"/>
              </w:rPr>
            </w:pPr>
          </w:p>
        </w:tc>
        <w:tc>
          <w:tcPr>
            <w:tcW w:w="5" w:type="pct"/>
            <w:vAlign w:val="center"/>
            <w:hideMark/>
          </w:tcPr>
          <w:p w14:paraId="6A6BB345" w14:textId="77777777" w:rsidR="00000000" w:rsidRDefault="000A3118">
            <w:pPr>
              <w:rPr>
                <w:rFonts w:eastAsia="Times New Roman"/>
                <w:sz w:val="20"/>
                <w:szCs w:val="20"/>
              </w:rPr>
            </w:pPr>
          </w:p>
        </w:tc>
      </w:tr>
      <w:tr w:rsidR="00000000" w14:paraId="158F5CA4" w14:textId="77777777">
        <w:trPr>
          <w:divId w:val="1773741967"/>
          <w:trHeight w:val="300"/>
        </w:trPr>
        <w:tc>
          <w:tcPr>
            <w:tcW w:w="0" w:type="auto"/>
            <w:gridSpan w:val="3"/>
            <w:vMerge w:val="restart"/>
            <w:tcMar>
              <w:top w:w="30" w:type="dxa"/>
              <w:left w:w="20" w:type="dxa"/>
              <w:bottom w:w="30" w:type="dxa"/>
              <w:right w:w="20" w:type="dxa"/>
            </w:tcMar>
            <w:vAlign w:val="center"/>
            <w:hideMark/>
          </w:tcPr>
          <w:p w14:paraId="04AE9739" w14:textId="77777777" w:rsidR="00000000" w:rsidRDefault="000A3118">
            <w:pPr>
              <w:jc w:val="center"/>
              <w:rPr>
                <w:rFonts w:eastAsia="Times New Roman"/>
              </w:rPr>
            </w:pPr>
            <w:r>
              <w:rPr>
                <w:rFonts w:eastAsia="Times New Roman"/>
                <w:b/>
                <w:bCs/>
                <w:color w:val="000000"/>
                <w:sz w:val="16"/>
                <w:szCs w:val="16"/>
              </w:rPr>
              <w:t xml:space="preserve">Amount of Gain (Loss) Recognized in Accumulated Other Comprehensive Income </w:t>
            </w:r>
          </w:p>
        </w:tc>
        <w:tc>
          <w:tcPr>
            <w:tcW w:w="0" w:type="auto"/>
            <w:gridSpan w:val="9"/>
            <w:tcBorders>
              <w:bottom w:val="single" w:sz="8" w:space="0" w:color="000000"/>
            </w:tcBorders>
            <w:tcMar>
              <w:top w:w="30" w:type="dxa"/>
              <w:left w:w="20" w:type="dxa"/>
              <w:bottom w:w="30" w:type="dxa"/>
              <w:right w:w="20" w:type="dxa"/>
            </w:tcMar>
            <w:vAlign w:val="center"/>
            <w:hideMark/>
          </w:tcPr>
          <w:p w14:paraId="38EC0A46" w14:textId="77777777" w:rsidR="00000000" w:rsidRDefault="000A3118">
            <w:pPr>
              <w:jc w:val="center"/>
              <w:rPr>
                <w:rFonts w:eastAsia="Times New Roman"/>
              </w:rPr>
            </w:pPr>
            <w:r>
              <w:rPr>
                <w:rFonts w:eastAsia="Times New Roman"/>
                <w:b/>
                <w:bCs/>
                <w:color w:val="000000"/>
                <w:sz w:val="16"/>
                <w:szCs w:val="16"/>
              </w:rPr>
              <w:t>For the Three Months Ended</w:t>
            </w:r>
          </w:p>
        </w:tc>
        <w:tc>
          <w:tcPr>
            <w:tcW w:w="0" w:type="auto"/>
            <w:gridSpan w:val="3"/>
            <w:shd w:val="clear" w:color="auto" w:fill="FFFFFF"/>
            <w:tcMar>
              <w:top w:w="0" w:type="dxa"/>
              <w:left w:w="20" w:type="dxa"/>
              <w:bottom w:w="0" w:type="dxa"/>
              <w:right w:w="20" w:type="dxa"/>
            </w:tcMar>
            <w:vAlign w:val="center"/>
            <w:hideMark/>
          </w:tcPr>
          <w:p w14:paraId="5252EB7B" w14:textId="77777777" w:rsidR="00000000" w:rsidRDefault="000A3118">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center"/>
            <w:hideMark/>
          </w:tcPr>
          <w:p w14:paraId="5220B589" w14:textId="77777777" w:rsidR="00000000" w:rsidRDefault="000A3118">
            <w:pPr>
              <w:jc w:val="center"/>
              <w:rPr>
                <w:rFonts w:eastAsia="Times New Roman"/>
              </w:rPr>
            </w:pPr>
            <w:r>
              <w:rPr>
                <w:rFonts w:eastAsia="Times New Roman"/>
                <w:b/>
                <w:bCs/>
                <w:color w:val="000000"/>
                <w:sz w:val="16"/>
                <w:szCs w:val="16"/>
              </w:rPr>
              <w:t xml:space="preserve">Amount of Gain (Loss) Reclassified from Accumulated Other Comprehensive Income into Income </w:t>
            </w:r>
          </w:p>
        </w:tc>
        <w:tc>
          <w:tcPr>
            <w:tcW w:w="0" w:type="auto"/>
            <w:gridSpan w:val="9"/>
            <w:tcBorders>
              <w:bottom w:val="single" w:sz="8" w:space="0" w:color="000000"/>
            </w:tcBorders>
            <w:shd w:val="clear" w:color="auto" w:fill="FFFFFF"/>
            <w:tcMar>
              <w:top w:w="30" w:type="dxa"/>
              <w:left w:w="20" w:type="dxa"/>
              <w:bottom w:w="30" w:type="dxa"/>
              <w:right w:w="20" w:type="dxa"/>
            </w:tcMar>
            <w:vAlign w:val="center"/>
            <w:hideMark/>
          </w:tcPr>
          <w:p w14:paraId="4BE1192B" w14:textId="77777777" w:rsidR="00000000" w:rsidRDefault="000A3118">
            <w:pPr>
              <w:jc w:val="center"/>
              <w:rPr>
                <w:rFonts w:eastAsia="Times New Roman"/>
              </w:rPr>
            </w:pPr>
            <w:r>
              <w:rPr>
                <w:rFonts w:eastAsia="Times New Roman"/>
                <w:b/>
                <w:bCs/>
                <w:color w:val="000000"/>
                <w:sz w:val="16"/>
                <w:szCs w:val="16"/>
              </w:rPr>
              <w:t>For the Three Months Ended</w:t>
            </w:r>
          </w:p>
        </w:tc>
      </w:tr>
      <w:tr w:rsidR="00000000" w14:paraId="53A575C8" w14:textId="77777777">
        <w:trPr>
          <w:divId w:val="1773741967"/>
          <w:trHeight w:val="240"/>
        </w:trPr>
        <w:tc>
          <w:tcPr>
            <w:tcW w:w="0" w:type="auto"/>
            <w:gridSpan w:val="3"/>
            <w:vMerge/>
            <w:vAlign w:val="center"/>
            <w:hideMark/>
          </w:tcPr>
          <w:p w14:paraId="37E1C723" w14:textId="77777777" w:rsidR="00000000" w:rsidRDefault="000A3118">
            <w:pP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14:paraId="6BA14F19"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shd w:val="clear" w:color="auto" w:fill="FFFFFF"/>
            <w:tcMar>
              <w:top w:w="0" w:type="dxa"/>
              <w:left w:w="20" w:type="dxa"/>
              <w:bottom w:w="0" w:type="dxa"/>
              <w:right w:w="20" w:type="dxa"/>
            </w:tcMar>
            <w:vAlign w:val="center"/>
            <w:hideMark/>
          </w:tcPr>
          <w:p w14:paraId="26645391" w14:textId="77777777" w:rsidR="00000000" w:rsidRDefault="000A3118">
            <w:pPr>
              <w:jc w:val="center"/>
              <w:rPr>
                <w:rFonts w:eastAsia="Times New Roman"/>
              </w:rPr>
            </w:pPr>
          </w:p>
        </w:tc>
        <w:tc>
          <w:tcPr>
            <w:tcW w:w="0" w:type="auto"/>
            <w:gridSpan w:val="3"/>
            <w:vMerge/>
            <w:vAlign w:val="center"/>
            <w:hideMark/>
          </w:tcPr>
          <w:p w14:paraId="71E6A14A" w14:textId="77777777" w:rsidR="00000000" w:rsidRDefault="000A3118">
            <w:pP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center"/>
            <w:hideMark/>
          </w:tcPr>
          <w:p w14:paraId="37C675E4" w14:textId="77777777" w:rsidR="00000000" w:rsidRDefault="000A3118">
            <w:pPr>
              <w:jc w:val="center"/>
              <w:rPr>
                <w:rFonts w:eastAsia="Times New Roman"/>
              </w:rPr>
            </w:pPr>
            <w:r>
              <w:rPr>
                <w:rFonts w:eastAsia="Times New Roman"/>
                <w:b/>
                <w:bCs/>
                <w:color w:val="000000"/>
                <w:sz w:val="16"/>
                <w:szCs w:val="16"/>
              </w:rPr>
              <w:t>September 30,</w:t>
            </w:r>
          </w:p>
        </w:tc>
      </w:tr>
      <w:tr w:rsidR="00000000" w14:paraId="6D6AB9AB" w14:textId="77777777">
        <w:trPr>
          <w:divId w:val="1773741967"/>
        </w:trPr>
        <w:tc>
          <w:tcPr>
            <w:tcW w:w="0" w:type="auto"/>
            <w:gridSpan w:val="3"/>
            <w:tcBorders>
              <w:top w:val="single" w:sz="8" w:space="0" w:color="000000"/>
            </w:tcBorders>
            <w:tcMar>
              <w:top w:w="30" w:type="dxa"/>
              <w:left w:w="20" w:type="dxa"/>
              <w:bottom w:w="30" w:type="dxa"/>
              <w:right w:w="20" w:type="dxa"/>
            </w:tcMar>
            <w:vAlign w:val="center"/>
            <w:hideMark/>
          </w:tcPr>
          <w:p w14:paraId="0DA45E37" w14:textId="77777777" w:rsidR="00000000" w:rsidRDefault="000A3118">
            <w:pPr>
              <w:rPr>
                <w:rFonts w:eastAsia="Times New Roman"/>
              </w:rPr>
            </w:pPr>
            <w:r>
              <w:rPr>
                <w:rFonts w:eastAsia="Times New Roman"/>
                <w:b/>
                <w:bCs/>
                <w:color w:val="000000"/>
                <w:sz w:val="16"/>
                <w:szCs w:val="16"/>
              </w:rPr>
              <w:t>Derivative Instruments</w:t>
            </w:r>
          </w:p>
        </w:tc>
        <w:tc>
          <w:tcPr>
            <w:tcW w:w="0" w:type="auto"/>
            <w:gridSpan w:val="3"/>
            <w:tcBorders>
              <w:top w:val="single" w:sz="8" w:space="0" w:color="000000"/>
            </w:tcBorders>
            <w:tcMar>
              <w:top w:w="30" w:type="dxa"/>
              <w:left w:w="20" w:type="dxa"/>
              <w:bottom w:w="30" w:type="dxa"/>
              <w:right w:w="20" w:type="dxa"/>
            </w:tcMar>
            <w:vAlign w:val="center"/>
            <w:hideMark/>
          </w:tcPr>
          <w:p w14:paraId="75BF0E50"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D9504F4"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8EBE214"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shd w:val="clear" w:color="auto" w:fill="FFFFFF"/>
            <w:tcMar>
              <w:top w:w="0" w:type="dxa"/>
              <w:left w:w="20" w:type="dxa"/>
              <w:bottom w:w="0" w:type="dxa"/>
              <w:right w:w="20" w:type="dxa"/>
            </w:tcMar>
            <w:vAlign w:val="center"/>
            <w:hideMark/>
          </w:tcPr>
          <w:p w14:paraId="2C4CE026"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C3FE534" w14:textId="77777777" w:rsidR="00000000" w:rsidRDefault="000A3118">
            <w:pPr>
              <w:rPr>
                <w:rFonts w:eastAsia="Times New Roman"/>
              </w:rPr>
            </w:pPr>
            <w:r>
              <w:rPr>
                <w:rFonts w:eastAsia="Times New Roman"/>
                <w:b/>
                <w:bCs/>
                <w:color w:val="000000"/>
                <w:sz w:val="16"/>
                <w:szCs w:val="16"/>
              </w:rPr>
              <w:t>Location</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5A48B5BC"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270CFD4" w14:textId="77777777" w:rsidR="00000000" w:rsidRDefault="000A311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2CE1CC63" w14:textId="77777777" w:rsidR="00000000" w:rsidRDefault="000A3118">
            <w:pPr>
              <w:jc w:val="center"/>
              <w:rPr>
                <w:rFonts w:eastAsia="Times New Roman"/>
              </w:rPr>
            </w:pPr>
            <w:r>
              <w:rPr>
                <w:rFonts w:eastAsia="Times New Roman"/>
                <w:b/>
                <w:bCs/>
                <w:color w:val="000000"/>
                <w:sz w:val="16"/>
                <w:szCs w:val="16"/>
              </w:rPr>
              <w:t>2019</w:t>
            </w:r>
          </w:p>
        </w:tc>
      </w:tr>
      <w:tr w:rsidR="00000000" w14:paraId="17D3AC77" w14:textId="77777777">
        <w:trPr>
          <w:divId w:val="1773741967"/>
        </w:trPr>
        <w:tc>
          <w:tcPr>
            <w:tcW w:w="0" w:type="auto"/>
            <w:gridSpan w:val="3"/>
            <w:vAlign w:val="center"/>
            <w:hideMark/>
          </w:tcPr>
          <w:p w14:paraId="3261CECE" w14:textId="77777777" w:rsidR="00000000" w:rsidRDefault="000A3118">
            <w:pPr>
              <w:jc w:val="center"/>
              <w:rPr>
                <w:rFonts w:eastAsia="Times New Roman"/>
              </w:rPr>
            </w:pPr>
          </w:p>
        </w:tc>
        <w:tc>
          <w:tcPr>
            <w:tcW w:w="0" w:type="auto"/>
            <w:gridSpan w:val="3"/>
            <w:vAlign w:val="center"/>
            <w:hideMark/>
          </w:tcPr>
          <w:p w14:paraId="6D478E13" w14:textId="77777777" w:rsidR="00000000" w:rsidRDefault="000A3118">
            <w:pPr>
              <w:rPr>
                <w:rFonts w:eastAsia="Times New Roman"/>
                <w:sz w:val="20"/>
                <w:szCs w:val="20"/>
              </w:rPr>
            </w:pPr>
          </w:p>
        </w:tc>
        <w:tc>
          <w:tcPr>
            <w:tcW w:w="0" w:type="auto"/>
            <w:gridSpan w:val="3"/>
            <w:vAlign w:val="center"/>
            <w:hideMark/>
          </w:tcPr>
          <w:p w14:paraId="6D22558D" w14:textId="77777777" w:rsidR="00000000" w:rsidRDefault="000A3118">
            <w:pPr>
              <w:rPr>
                <w:rFonts w:eastAsia="Times New Roman"/>
                <w:sz w:val="20"/>
                <w:szCs w:val="20"/>
              </w:rPr>
            </w:pPr>
          </w:p>
        </w:tc>
        <w:tc>
          <w:tcPr>
            <w:tcW w:w="0" w:type="auto"/>
            <w:gridSpan w:val="3"/>
            <w:vAlign w:val="center"/>
            <w:hideMark/>
          </w:tcPr>
          <w:p w14:paraId="5938FCBB" w14:textId="77777777" w:rsidR="00000000" w:rsidRDefault="000A3118">
            <w:pPr>
              <w:rPr>
                <w:rFonts w:eastAsia="Times New Roman"/>
                <w:sz w:val="20"/>
                <w:szCs w:val="20"/>
              </w:rPr>
            </w:pPr>
          </w:p>
        </w:tc>
        <w:tc>
          <w:tcPr>
            <w:tcW w:w="0" w:type="auto"/>
            <w:gridSpan w:val="3"/>
            <w:vAlign w:val="center"/>
            <w:hideMark/>
          </w:tcPr>
          <w:p w14:paraId="7A446B2C" w14:textId="77777777" w:rsidR="00000000" w:rsidRDefault="000A3118">
            <w:pPr>
              <w:rPr>
                <w:rFonts w:eastAsia="Times New Roman"/>
                <w:sz w:val="20"/>
                <w:szCs w:val="20"/>
              </w:rPr>
            </w:pPr>
          </w:p>
        </w:tc>
        <w:tc>
          <w:tcPr>
            <w:tcW w:w="0" w:type="auto"/>
            <w:gridSpan w:val="3"/>
            <w:vAlign w:val="center"/>
            <w:hideMark/>
          </w:tcPr>
          <w:p w14:paraId="2DD05DA3" w14:textId="77777777" w:rsidR="00000000" w:rsidRDefault="000A3118">
            <w:pPr>
              <w:rPr>
                <w:rFonts w:eastAsia="Times New Roman"/>
                <w:sz w:val="20"/>
                <w:szCs w:val="20"/>
              </w:rPr>
            </w:pPr>
          </w:p>
        </w:tc>
        <w:tc>
          <w:tcPr>
            <w:tcW w:w="0" w:type="auto"/>
            <w:gridSpan w:val="3"/>
            <w:vAlign w:val="center"/>
            <w:hideMark/>
          </w:tcPr>
          <w:p w14:paraId="2DA50A5C" w14:textId="77777777" w:rsidR="00000000" w:rsidRDefault="000A3118">
            <w:pPr>
              <w:rPr>
                <w:rFonts w:eastAsia="Times New Roman"/>
                <w:sz w:val="20"/>
                <w:szCs w:val="20"/>
              </w:rPr>
            </w:pPr>
          </w:p>
        </w:tc>
        <w:tc>
          <w:tcPr>
            <w:tcW w:w="0" w:type="auto"/>
            <w:gridSpan w:val="3"/>
            <w:vAlign w:val="center"/>
            <w:hideMark/>
          </w:tcPr>
          <w:p w14:paraId="2F8B4496" w14:textId="77777777" w:rsidR="00000000" w:rsidRDefault="000A3118">
            <w:pPr>
              <w:rPr>
                <w:rFonts w:eastAsia="Times New Roman"/>
                <w:sz w:val="20"/>
                <w:szCs w:val="20"/>
              </w:rPr>
            </w:pPr>
          </w:p>
        </w:tc>
        <w:tc>
          <w:tcPr>
            <w:tcW w:w="0" w:type="auto"/>
            <w:gridSpan w:val="3"/>
            <w:vAlign w:val="center"/>
            <w:hideMark/>
          </w:tcPr>
          <w:p w14:paraId="0CD30E2E" w14:textId="77777777" w:rsidR="00000000" w:rsidRDefault="000A3118">
            <w:pPr>
              <w:rPr>
                <w:rFonts w:eastAsia="Times New Roman"/>
                <w:sz w:val="20"/>
                <w:szCs w:val="20"/>
              </w:rPr>
            </w:pPr>
          </w:p>
        </w:tc>
      </w:tr>
      <w:tr w:rsidR="00000000" w14:paraId="3193EBE6" w14:textId="77777777">
        <w:trPr>
          <w:divId w:val="177374196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E8C1C16" w14:textId="77777777" w:rsidR="00000000" w:rsidRDefault="000A3118">
            <w:pPr>
              <w:rPr>
                <w:rFonts w:eastAsia="Times New Roman"/>
              </w:rPr>
            </w:pPr>
            <w:r>
              <w:rPr>
                <w:rFonts w:eastAsia="Times New Roman"/>
                <w:color w:val="000000"/>
                <w:sz w:val="16"/>
                <w:szCs w:val="16"/>
              </w:rPr>
              <w:t>Commodity contracts</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01E3D1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319EDE0" w14:textId="77777777" w:rsidR="00000000" w:rsidRDefault="000A3118">
            <w:pPr>
              <w:jc w:val="right"/>
              <w:rPr>
                <w:rFonts w:eastAsia="Times New Roman"/>
              </w:rPr>
            </w:pPr>
            <w:r>
              <w:rPr>
                <w:rFonts w:eastAsia="Times New Roman"/>
                <w:color w:val="000000"/>
                <w:sz w:val="16"/>
                <w:szCs w:val="16"/>
              </w:rPr>
              <w:t>(22.0)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C77A67"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AF7497"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D18C76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AA5BE43" w14:textId="77777777" w:rsidR="00000000" w:rsidRDefault="000A3118">
            <w:pPr>
              <w:jc w:val="right"/>
              <w:rPr>
                <w:rFonts w:eastAsia="Times New Roman"/>
              </w:rPr>
            </w:pPr>
            <w:r>
              <w:rPr>
                <w:rFonts w:eastAsia="Times New Roman"/>
                <w:color w:val="000000"/>
                <w:sz w:val="16"/>
                <w:szCs w:val="16"/>
              </w:rPr>
              <w:t>41.6 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80EB0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456F5"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E48EDCA" w14:textId="77777777" w:rsidR="00000000" w:rsidRDefault="000A3118">
            <w:pPr>
              <w:rPr>
                <w:rFonts w:eastAsia="Times New Roman"/>
              </w:rPr>
            </w:pPr>
            <w:r>
              <w:rPr>
                <w:rFonts w:eastAsia="Times New Roman"/>
                <w:color w:val="000000"/>
                <w:sz w:val="16"/>
                <w:szCs w:val="16"/>
              </w:rPr>
              <w:t>Revenue</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ED730B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0754151" w14:textId="77777777" w:rsidR="00000000" w:rsidRDefault="000A3118">
            <w:pPr>
              <w:jc w:val="right"/>
              <w:rPr>
                <w:rFonts w:eastAsia="Times New Roman"/>
              </w:rPr>
            </w:pPr>
            <w:r>
              <w:rPr>
                <w:rFonts w:eastAsia="Times New Roman"/>
                <w:color w:val="000000"/>
                <w:sz w:val="16"/>
                <w:szCs w:val="16"/>
              </w:rPr>
              <w:t>(</w:t>
            </w:r>
            <w:r>
              <w:rPr>
                <w:rFonts w:eastAsia="Times New Roman"/>
                <w:color w:val="000000"/>
                <w:sz w:val="16"/>
                <w:szCs w:val="16"/>
              </w:rPr>
              <w:t>2.8)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D57699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798871"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A740ED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169F748" w14:textId="77777777" w:rsidR="00000000" w:rsidRDefault="000A3118">
            <w:pPr>
              <w:jc w:val="right"/>
              <w:rPr>
                <w:rFonts w:eastAsia="Times New Roman"/>
              </w:rPr>
            </w:pPr>
            <w:r>
              <w:rPr>
                <w:rFonts w:eastAsia="Times New Roman"/>
                <w:color w:val="000000"/>
                <w:sz w:val="16"/>
                <w:szCs w:val="16"/>
              </w:rPr>
              <w:t>(0.2)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404494" w14:textId="77777777" w:rsidR="00000000" w:rsidRDefault="000A3118">
            <w:pPr>
              <w:jc w:val="right"/>
              <w:rPr>
                <w:rFonts w:eastAsia="Times New Roman"/>
              </w:rPr>
            </w:pPr>
          </w:p>
        </w:tc>
      </w:tr>
      <w:tr w:rsidR="00000000" w14:paraId="5DB3D12A" w14:textId="77777777">
        <w:trPr>
          <w:divId w:val="1773741967"/>
        </w:trPr>
        <w:tc>
          <w:tcPr>
            <w:tcW w:w="0" w:type="auto"/>
            <w:gridSpan w:val="3"/>
            <w:shd w:val="clear" w:color="auto" w:fill="FFFFFF"/>
            <w:tcMar>
              <w:top w:w="30" w:type="dxa"/>
              <w:left w:w="20" w:type="dxa"/>
              <w:bottom w:w="30" w:type="dxa"/>
              <w:right w:w="20" w:type="dxa"/>
            </w:tcMar>
            <w:vAlign w:val="center"/>
            <w:hideMark/>
          </w:tcPr>
          <w:p w14:paraId="12CD97AC" w14:textId="77777777" w:rsidR="00000000" w:rsidRDefault="000A3118">
            <w:pPr>
              <w:rPr>
                <w:rFonts w:eastAsia="Times New Roman"/>
              </w:rPr>
            </w:pPr>
            <w:r>
              <w:rPr>
                <w:rFonts w:eastAsia="Times New Roman"/>
                <w:color w:val="000000"/>
                <w:sz w:val="16"/>
                <w:szCs w:val="16"/>
              </w:rPr>
              <w:t>Commodity contracts</w:t>
            </w:r>
          </w:p>
        </w:tc>
        <w:tc>
          <w:tcPr>
            <w:tcW w:w="0" w:type="auto"/>
            <w:gridSpan w:val="2"/>
            <w:shd w:val="clear" w:color="auto" w:fill="FFFFFF"/>
            <w:tcMar>
              <w:top w:w="30" w:type="dxa"/>
              <w:left w:w="20" w:type="dxa"/>
              <w:bottom w:w="30" w:type="dxa"/>
              <w:right w:w="0" w:type="dxa"/>
            </w:tcMar>
            <w:vAlign w:val="center"/>
            <w:hideMark/>
          </w:tcPr>
          <w:p w14:paraId="74404F0A" w14:textId="77777777" w:rsidR="00000000" w:rsidRDefault="000A3118">
            <w:pPr>
              <w:jc w:val="right"/>
              <w:rPr>
                <w:rFonts w:eastAsia="Times New Roman"/>
              </w:rPr>
            </w:pPr>
            <w:r>
              <w:rPr>
                <w:rFonts w:eastAsia="Times New Roman"/>
                <w:color w:val="000000"/>
                <w:sz w:val="16"/>
                <w:szCs w:val="16"/>
              </w:rPr>
              <w:t>(39.8)</w:t>
            </w:r>
          </w:p>
        </w:tc>
        <w:tc>
          <w:tcPr>
            <w:tcW w:w="0" w:type="auto"/>
            <w:shd w:val="clear" w:color="auto" w:fill="FFFFFF"/>
            <w:tcMar>
              <w:top w:w="30" w:type="dxa"/>
              <w:left w:w="0" w:type="dxa"/>
              <w:bottom w:w="30" w:type="dxa"/>
              <w:right w:w="20" w:type="dxa"/>
            </w:tcMar>
            <w:vAlign w:val="center"/>
            <w:hideMark/>
          </w:tcPr>
          <w:p w14:paraId="62251D4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032B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073441" w14:textId="77777777" w:rsidR="00000000" w:rsidRDefault="000A3118">
            <w:pPr>
              <w:jc w:val="right"/>
              <w:rPr>
                <w:rFonts w:eastAsia="Times New Roman"/>
              </w:rPr>
            </w:pPr>
            <w:r>
              <w:rPr>
                <w:rFonts w:eastAsia="Times New Roman"/>
                <w:color w:val="000000"/>
                <w:sz w:val="16"/>
                <w:szCs w:val="16"/>
              </w:rPr>
              <w:t>(19.8)</w:t>
            </w:r>
          </w:p>
        </w:tc>
        <w:tc>
          <w:tcPr>
            <w:tcW w:w="0" w:type="auto"/>
            <w:shd w:val="clear" w:color="auto" w:fill="FFFFFF"/>
            <w:tcMar>
              <w:top w:w="30" w:type="dxa"/>
              <w:left w:w="0" w:type="dxa"/>
              <w:bottom w:w="30" w:type="dxa"/>
              <w:right w:w="20" w:type="dxa"/>
            </w:tcMar>
            <w:vAlign w:val="center"/>
            <w:hideMark/>
          </w:tcPr>
          <w:p w14:paraId="776C994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40EF58" w14:textId="77777777" w:rsidR="00000000" w:rsidRDefault="000A311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022ABF71" w14:textId="77777777" w:rsidR="00000000" w:rsidRDefault="000A3118">
            <w:pPr>
              <w:rPr>
                <w:rFonts w:eastAsia="Times New Roman"/>
              </w:rPr>
            </w:pPr>
            <w:r>
              <w:rPr>
                <w:rFonts w:eastAsia="Times New Roman"/>
                <w:color w:val="000000"/>
                <w:sz w:val="16"/>
                <w:szCs w:val="16"/>
              </w:rPr>
              <w:t>Cost of revenue</w:t>
            </w:r>
          </w:p>
        </w:tc>
        <w:tc>
          <w:tcPr>
            <w:tcW w:w="0" w:type="auto"/>
            <w:gridSpan w:val="2"/>
            <w:shd w:val="clear" w:color="auto" w:fill="FFFFFF"/>
            <w:tcMar>
              <w:top w:w="30" w:type="dxa"/>
              <w:left w:w="20" w:type="dxa"/>
              <w:bottom w:w="30" w:type="dxa"/>
              <w:right w:w="0" w:type="dxa"/>
            </w:tcMar>
            <w:vAlign w:val="center"/>
            <w:hideMark/>
          </w:tcPr>
          <w:p w14:paraId="3CFEF591" w14:textId="77777777" w:rsidR="00000000" w:rsidRDefault="000A3118">
            <w:pPr>
              <w:jc w:val="right"/>
              <w:rPr>
                <w:rFonts w:eastAsia="Times New Roman"/>
              </w:rPr>
            </w:pPr>
            <w:r>
              <w:rPr>
                <w:rFonts w:eastAsia="Times New Roman"/>
                <w:color w:val="000000"/>
                <w:sz w:val="16"/>
                <w:szCs w:val="16"/>
              </w:rPr>
              <w:t>(65.0)</w:t>
            </w:r>
          </w:p>
        </w:tc>
        <w:tc>
          <w:tcPr>
            <w:tcW w:w="0" w:type="auto"/>
            <w:shd w:val="clear" w:color="auto" w:fill="FFFFFF"/>
            <w:tcMar>
              <w:top w:w="30" w:type="dxa"/>
              <w:left w:w="0" w:type="dxa"/>
              <w:bottom w:w="30" w:type="dxa"/>
              <w:right w:w="20" w:type="dxa"/>
            </w:tcMar>
            <w:vAlign w:val="center"/>
            <w:hideMark/>
          </w:tcPr>
          <w:p w14:paraId="1C1F994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78B2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B28C58" w14:textId="77777777" w:rsidR="00000000" w:rsidRDefault="000A3118">
            <w:pPr>
              <w:jc w:val="right"/>
              <w:rPr>
                <w:rFonts w:eastAsia="Times New Roman"/>
              </w:rPr>
            </w:pPr>
            <w:r>
              <w:rPr>
                <w:rFonts w:eastAsia="Times New Roman"/>
                <w:color w:val="000000"/>
                <w:sz w:val="16"/>
                <w:szCs w:val="16"/>
              </w:rPr>
              <w:t>13.7 </w:t>
            </w:r>
          </w:p>
        </w:tc>
        <w:tc>
          <w:tcPr>
            <w:tcW w:w="0" w:type="auto"/>
            <w:shd w:val="clear" w:color="auto" w:fill="FFFFFF"/>
            <w:tcMar>
              <w:top w:w="30" w:type="dxa"/>
              <w:left w:w="0" w:type="dxa"/>
              <w:bottom w:w="30" w:type="dxa"/>
              <w:right w:w="20" w:type="dxa"/>
            </w:tcMar>
            <w:vAlign w:val="center"/>
            <w:hideMark/>
          </w:tcPr>
          <w:p w14:paraId="5EBEEDC0" w14:textId="77777777" w:rsidR="00000000" w:rsidRDefault="000A3118">
            <w:pPr>
              <w:jc w:val="right"/>
              <w:rPr>
                <w:rFonts w:eastAsia="Times New Roman"/>
              </w:rPr>
            </w:pPr>
          </w:p>
        </w:tc>
      </w:tr>
      <w:tr w:rsidR="00000000" w14:paraId="7D1BD348" w14:textId="77777777">
        <w:trPr>
          <w:divId w:val="1773741967"/>
        </w:trPr>
        <w:tc>
          <w:tcPr>
            <w:tcW w:w="0" w:type="auto"/>
            <w:gridSpan w:val="3"/>
            <w:shd w:val="clear" w:color="auto" w:fill="CCEEFF"/>
            <w:tcMar>
              <w:top w:w="30" w:type="dxa"/>
              <w:left w:w="20" w:type="dxa"/>
              <w:bottom w:w="30" w:type="dxa"/>
              <w:right w:w="20" w:type="dxa"/>
            </w:tcMar>
            <w:vAlign w:val="center"/>
            <w:hideMark/>
          </w:tcPr>
          <w:p w14:paraId="566C201B" w14:textId="77777777" w:rsidR="00000000" w:rsidRDefault="000A3118">
            <w:pPr>
              <w:rPr>
                <w:rFonts w:eastAsia="Times New Roman"/>
              </w:rPr>
            </w:pPr>
            <w:r>
              <w:rPr>
                <w:rFonts w:eastAsia="Times New Roman"/>
                <w:color w:val="000000"/>
                <w:sz w:val="16"/>
                <w:szCs w:val="16"/>
              </w:rPr>
              <w:t>Interest rate contracts</w:t>
            </w:r>
          </w:p>
        </w:tc>
        <w:tc>
          <w:tcPr>
            <w:tcW w:w="0" w:type="auto"/>
            <w:gridSpan w:val="2"/>
            <w:shd w:val="clear" w:color="auto" w:fill="CCEEFF"/>
            <w:tcMar>
              <w:top w:w="30" w:type="dxa"/>
              <w:left w:w="20" w:type="dxa"/>
              <w:bottom w:w="30" w:type="dxa"/>
              <w:right w:w="0" w:type="dxa"/>
            </w:tcMar>
            <w:vAlign w:val="center"/>
            <w:hideMark/>
          </w:tcPr>
          <w:p w14:paraId="0D18A293" w14:textId="77777777" w:rsidR="00000000" w:rsidRDefault="000A3118">
            <w:pPr>
              <w:jc w:val="right"/>
              <w:rPr>
                <w:rFonts w:eastAsia="Times New Roman"/>
              </w:rPr>
            </w:pPr>
            <w:r>
              <w:rPr>
                <w:rFonts w:eastAsia="Times New Roman"/>
                <w:color w:val="000000"/>
                <w:sz w:val="16"/>
                <w:szCs w:val="16"/>
              </w:rPr>
              <w:t>(0.1)</w:t>
            </w:r>
          </w:p>
        </w:tc>
        <w:tc>
          <w:tcPr>
            <w:tcW w:w="0" w:type="auto"/>
            <w:shd w:val="clear" w:color="auto" w:fill="CCEEFF"/>
            <w:tcMar>
              <w:top w:w="30" w:type="dxa"/>
              <w:left w:w="0" w:type="dxa"/>
              <w:bottom w:w="30" w:type="dxa"/>
              <w:right w:w="20" w:type="dxa"/>
            </w:tcMar>
            <w:vAlign w:val="center"/>
            <w:hideMark/>
          </w:tcPr>
          <w:p w14:paraId="0521911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6B40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F4761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563F1C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03950" w14:textId="77777777" w:rsidR="00000000" w:rsidRDefault="000A311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08E384DD" w14:textId="77777777" w:rsidR="00000000" w:rsidRDefault="000A3118">
            <w:pPr>
              <w:rPr>
                <w:rFonts w:eastAsia="Times New Roman"/>
              </w:rPr>
            </w:pPr>
            <w:r>
              <w:rPr>
                <w:rFonts w:eastAsia="Times New Roman"/>
                <w:color w:val="000000"/>
                <w:sz w:val="16"/>
                <w:szCs w:val="16"/>
              </w:rPr>
              <w:t>Interest expense and other financing costs, net</w:t>
            </w:r>
          </w:p>
        </w:tc>
        <w:tc>
          <w:tcPr>
            <w:tcW w:w="0" w:type="auto"/>
            <w:gridSpan w:val="2"/>
            <w:shd w:val="clear" w:color="auto" w:fill="CCEEFF"/>
            <w:tcMar>
              <w:top w:w="30" w:type="dxa"/>
              <w:left w:w="20" w:type="dxa"/>
              <w:bottom w:w="30" w:type="dxa"/>
              <w:right w:w="0" w:type="dxa"/>
            </w:tcMar>
            <w:vAlign w:val="center"/>
            <w:hideMark/>
          </w:tcPr>
          <w:p w14:paraId="1B6CBAC0" w14:textId="77777777" w:rsidR="00000000" w:rsidRDefault="000A3118">
            <w:pPr>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center"/>
            <w:hideMark/>
          </w:tcPr>
          <w:p w14:paraId="35450E8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AFC0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B4629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B378CA7" w14:textId="77777777" w:rsidR="00000000" w:rsidRDefault="000A3118">
            <w:pPr>
              <w:jc w:val="right"/>
              <w:rPr>
                <w:rFonts w:eastAsia="Times New Roman"/>
              </w:rPr>
            </w:pPr>
          </w:p>
        </w:tc>
      </w:tr>
      <w:tr w:rsidR="00000000" w14:paraId="731FD6F8" w14:textId="77777777">
        <w:trPr>
          <w:divId w:val="1773741967"/>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2F857196" w14:textId="77777777" w:rsidR="00000000" w:rsidRDefault="000A3118">
            <w:pPr>
              <w:rPr>
                <w:rFonts w:eastAsia="Times New Roman"/>
              </w:rPr>
            </w:pPr>
            <w:r>
              <w:rPr>
                <w:rFonts w:eastAsia="Times New Roman"/>
                <w:color w:val="000000"/>
                <w:sz w:val="16"/>
                <w:szCs w:val="16"/>
              </w:rPr>
              <w:t>Total Gain (Loss)</w:t>
            </w: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D6347D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4C87785" w14:textId="77777777" w:rsidR="00000000" w:rsidRDefault="000A3118">
            <w:pPr>
              <w:jc w:val="right"/>
              <w:rPr>
                <w:rFonts w:eastAsia="Times New Roman"/>
              </w:rPr>
            </w:pPr>
            <w:r>
              <w:rPr>
                <w:rFonts w:eastAsia="Times New Roman"/>
                <w:color w:val="000000"/>
                <w:sz w:val="16"/>
                <w:szCs w:val="16"/>
              </w:rPr>
              <w:t>(61.9)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99E16CA"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DD0552"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A21EEA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2CCA081" w14:textId="77777777" w:rsidR="00000000" w:rsidRDefault="000A3118">
            <w:pPr>
              <w:jc w:val="right"/>
              <w:rPr>
                <w:rFonts w:eastAsia="Times New Roman"/>
              </w:rPr>
            </w:pPr>
            <w:r>
              <w:rPr>
                <w:rFonts w:eastAsia="Times New Roman"/>
                <w:color w:val="000000"/>
                <w:sz w:val="16"/>
                <w:szCs w:val="16"/>
              </w:rPr>
              <w:t>21.7 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36650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EBA99"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19D95F7E" w14:textId="77777777" w:rsidR="00000000" w:rsidRDefault="000A3118">
            <w:pPr>
              <w:rPr>
                <w:rFonts w:eastAsia="Times New Roman"/>
              </w:rPr>
            </w:pPr>
            <w:r>
              <w:rPr>
                <w:rFonts w:eastAsia="Times New Roman"/>
                <w:color w:val="000000"/>
                <w:sz w:val="16"/>
                <w:szCs w:val="16"/>
              </w:rPr>
              <w:t>Total Gain (Loss)</w:t>
            </w: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3312B6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05BFFD0" w14:textId="77777777" w:rsidR="00000000" w:rsidRDefault="000A3118">
            <w:pPr>
              <w:jc w:val="right"/>
              <w:rPr>
                <w:rFonts w:eastAsia="Times New Roman"/>
              </w:rPr>
            </w:pPr>
            <w:r>
              <w:rPr>
                <w:rFonts w:eastAsia="Times New Roman"/>
                <w:color w:val="000000"/>
                <w:sz w:val="16"/>
                <w:szCs w:val="16"/>
              </w:rPr>
              <w:t>(68.1)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471BB21"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A24E8C2"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502396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161504E" w14:textId="77777777" w:rsidR="00000000" w:rsidRDefault="000A3118">
            <w:pPr>
              <w:jc w:val="right"/>
              <w:rPr>
                <w:rFonts w:eastAsia="Times New Roman"/>
              </w:rPr>
            </w:pPr>
            <w:r>
              <w:rPr>
                <w:rFonts w:eastAsia="Times New Roman"/>
                <w:color w:val="000000"/>
                <w:sz w:val="16"/>
                <w:szCs w:val="16"/>
              </w:rPr>
              <w:t>13.5 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D528E09" w14:textId="77777777" w:rsidR="00000000" w:rsidRDefault="000A3118">
            <w:pPr>
              <w:jc w:val="right"/>
              <w:rPr>
                <w:rFonts w:eastAsia="Times New Roman"/>
              </w:rPr>
            </w:pPr>
          </w:p>
        </w:tc>
      </w:tr>
      <w:tr w:rsidR="00000000" w14:paraId="20621295" w14:textId="77777777">
        <w:trPr>
          <w:divId w:val="1773741967"/>
          <w:trHeight w:val="24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86D0EC"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A09A5B4"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F26DE87"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133CFDC"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BA1D8F"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0CF3DA"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1F3EA9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57C122C"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D22855" w14:textId="77777777" w:rsidR="00000000" w:rsidRDefault="000A3118">
            <w:pPr>
              <w:rPr>
                <w:rFonts w:eastAsia="Times New Roman"/>
                <w:sz w:val="20"/>
                <w:szCs w:val="20"/>
              </w:rPr>
            </w:pPr>
          </w:p>
        </w:tc>
      </w:tr>
      <w:tr w:rsidR="00000000" w14:paraId="32698928" w14:textId="77777777">
        <w:trPr>
          <w:divId w:val="1773741967"/>
          <w:trHeight w:val="300"/>
        </w:trPr>
        <w:tc>
          <w:tcPr>
            <w:tcW w:w="0" w:type="auto"/>
            <w:gridSpan w:val="3"/>
            <w:vMerge w:val="restart"/>
            <w:tcMar>
              <w:top w:w="30" w:type="dxa"/>
              <w:left w:w="20" w:type="dxa"/>
              <w:bottom w:w="30" w:type="dxa"/>
              <w:right w:w="20" w:type="dxa"/>
            </w:tcMar>
            <w:vAlign w:val="center"/>
            <w:hideMark/>
          </w:tcPr>
          <w:p w14:paraId="6D6F9F77" w14:textId="77777777" w:rsidR="00000000" w:rsidRDefault="000A3118">
            <w:pPr>
              <w:jc w:val="center"/>
              <w:rPr>
                <w:rFonts w:eastAsia="Times New Roman"/>
              </w:rPr>
            </w:pPr>
            <w:r>
              <w:rPr>
                <w:rFonts w:eastAsia="Times New Roman"/>
                <w:b/>
                <w:bCs/>
                <w:color w:val="000000"/>
                <w:sz w:val="16"/>
                <w:szCs w:val="16"/>
              </w:rPr>
              <w:t xml:space="preserve">Amount of Gain (Loss) Recognized in Accumulated Other Comprehensive Income </w:t>
            </w:r>
          </w:p>
        </w:tc>
        <w:tc>
          <w:tcPr>
            <w:tcW w:w="0" w:type="auto"/>
            <w:gridSpan w:val="9"/>
            <w:tcBorders>
              <w:bottom w:val="single" w:sz="8" w:space="0" w:color="000000"/>
            </w:tcBorders>
            <w:tcMar>
              <w:top w:w="30" w:type="dxa"/>
              <w:left w:w="20" w:type="dxa"/>
              <w:bottom w:w="30" w:type="dxa"/>
              <w:right w:w="20" w:type="dxa"/>
            </w:tcMar>
            <w:vAlign w:val="center"/>
            <w:hideMark/>
          </w:tcPr>
          <w:p w14:paraId="6E45810D" w14:textId="77777777" w:rsidR="00000000" w:rsidRDefault="000A3118">
            <w:pPr>
              <w:jc w:val="center"/>
              <w:rPr>
                <w:rFonts w:eastAsia="Times New Roman"/>
              </w:rPr>
            </w:pPr>
            <w:r>
              <w:rPr>
                <w:rFonts w:eastAsia="Times New Roman"/>
                <w:b/>
                <w:bCs/>
                <w:color w:val="000000"/>
                <w:sz w:val="16"/>
                <w:szCs w:val="16"/>
              </w:rPr>
              <w:t>For the Nine Months Ended</w:t>
            </w:r>
          </w:p>
        </w:tc>
        <w:tc>
          <w:tcPr>
            <w:tcW w:w="0" w:type="auto"/>
            <w:gridSpan w:val="3"/>
            <w:shd w:val="clear" w:color="auto" w:fill="FFFFFF"/>
            <w:tcMar>
              <w:top w:w="0" w:type="dxa"/>
              <w:left w:w="20" w:type="dxa"/>
              <w:bottom w:w="0" w:type="dxa"/>
              <w:right w:w="20" w:type="dxa"/>
            </w:tcMar>
            <w:vAlign w:val="center"/>
            <w:hideMark/>
          </w:tcPr>
          <w:p w14:paraId="7B74D46B" w14:textId="77777777" w:rsidR="00000000" w:rsidRDefault="000A3118">
            <w:pPr>
              <w:jc w:val="center"/>
              <w:rPr>
                <w:rFonts w:eastAsia="Times New Roman"/>
              </w:rPr>
            </w:pPr>
          </w:p>
        </w:tc>
        <w:tc>
          <w:tcPr>
            <w:tcW w:w="0" w:type="auto"/>
            <w:gridSpan w:val="3"/>
            <w:vMerge w:val="restart"/>
            <w:tcMar>
              <w:top w:w="30" w:type="dxa"/>
              <w:left w:w="20" w:type="dxa"/>
              <w:bottom w:w="30" w:type="dxa"/>
              <w:right w:w="20" w:type="dxa"/>
            </w:tcMar>
            <w:vAlign w:val="center"/>
            <w:hideMark/>
          </w:tcPr>
          <w:p w14:paraId="4C060116" w14:textId="77777777" w:rsidR="00000000" w:rsidRDefault="000A3118">
            <w:pPr>
              <w:jc w:val="center"/>
              <w:rPr>
                <w:rFonts w:eastAsia="Times New Roman"/>
              </w:rPr>
            </w:pPr>
            <w:r>
              <w:rPr>
                <w:rFonts w:eastAsia="Times New Roman"/>
                <w:b/>
                <w:bCs/>
                <w:color w:val="000000"/>
                <w:sz w:val="16"/>
                <w:szCs w:val="16"/>
              </w:rPr>
              <w:t xml:space="preserve">Amount of Gain (Loss) Reclassified from Accumulated Other Comprehensive Income into Income </w:t>
            </w:r>
          </w:p>
        </w:tc>
        <w:tc>
          <w:tcPr>
            <w:tcW w:w="0" w:type="auto"/>
            <w:gridSpan w:val="9"/>
            <w:tcBorders>
              <w:bottom w:val="single" w:sz="8" w:space="0" w:color="000000"/>
            </w:tcBorders>
            <w:shd w:val="clear" w:color="auto" w:fill="FFFFFF"/>
            <w:tcMar>
              <w:top w:w="30" w:type="dxa"/>
              <w:left w:w="20" w:type="dxa"/>
              <w:bottom w:w="30" w:type="dxa"/>
              <w:right w:w="20" w:type="dxa"/>
            </w:tcMar>
            <w:vAlign w:val="center"/>
            <w:hideMark/>
          </w:tcPr>
          <w:p w14:paraId="1D647858" w14:textId="77777777" w:rsidR="00000000" w:rsidRDefault="000A3118">
            <w:pPr>
              <w:jc w:val="center"/>
              <w:rPr>
                <w:rFonts w:eastAsia="Times New Roman"/>
              </w:rPr>
            </w:pPr>
            <w:r>
              <w:rPr>
                <w:rFonts w:eastAsia="Times New Roman"/>
                <w:b/>
                <w:bCs/>
                <w:color w:val="000000"/>
                <w:sz w:val="16"/>
                <w:szCs w:val="16"/>
              </w:rPr>
              <w:t>For the Nine Months Ended</w:t>
            </w:r>
          </w:p>
        </w:tc>
      </w:tr>
      <w:tr w:rsidR="00000000" w14:paraId="30C27C89" w14:textId="77777777">
        <w:trPr>
          <w:divId w:val="1773741967"/>
          <w:trHeight w:val="240"/>
        </w:trPr>
        <w:tc>
          <w:tcPr>
            <w:tcW w:w="0" w:type="auto"/>
            <w:gridSpan w:val="3"/>
            <w:vMerge/>
            <w:vAlign w:val="center"/>
            <w:hideMark/>
          </w:tcPr>
          <w:p w14:paraId="15BF9E6C" w14:textId="77777777" w:rsidR="00000000" w:rsidRDefault="000A3118">
            <w:pP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14:paraId="732D555F"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shd w:val="clear" w:color="auto" w:fill="FFFFFF"/>
            <w:tcMar>
              <w:top w:w="0" w:type="dxa"/>
              <w:left w:w="20" w:type="dxa"/>
              <w:bottom w:w="0" w:type="dxa"/>
              <w:right w:w="20" w:type="dxa"/>
            </w:tcMar>
            <w:vAlign w:val="center"/>
            <w:hideMark/>
          </w:tcPr>
          <w:p w14:paraId="2D3109EF" w14:textId="77777777" w:rsidR="00000000" w:rsidRDefault="000A3118">
            <w:pPr>
              <w:jc w:val="center"/>
              <w:rPr>
                <w:rFonts w:eastAsia="Times New Roman"/>
              </w:rPr>
            </w:pPr>
          </w:p>
        </w:tc>
        <w:tc>
          <w:tcPr>
            <w:tcW w:w="0" w:type="auto"/>
            <w:gridSpan w:val="3"/>
            <w:vMerge/>
            <w:vAlign w:val="center"/>
            <w:hideMark/>
          </w:tcPr>
          <w:p w14:paraId="4D56E95E" w14:textId="77777777" w:rsidR="00000000" w:rsidRDefault="000A3118">
            <w:pP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14:paraId="1A43A94C" w14:textId="77777777" w:rsidR="00000000" w:rsidRDefault="000A3118">
            <w:pPr>
              <w:jc w:val="center"/>
              <w:rPr>
                <w:rFonts w:eastAsia="Times New Roman"/>
              </w:rPr>
            </w:pPr>
            <w:r>
              <w:rPr>
                <w:rFonts w:eastAsia="Times New Roman"/>
                <w:b/>
                <w:bCs/>
                <w:color w:val="000000"/>
                <w:sz w:val="16"/>
                <w:szCs w:val="16"/>
              </w:rPr>
              <w:t>September 30,</w:t>
            </w:r>
          </w:p>
        </w:tc>
      </w:tr>
      <w:tr w:rsidR="00000000" w14:paraId="4DC17819" w14:textId="77777777">
        <w:trPr>
          <w:divId w:val="1773741967"/>
        </w:trPr>
        <w:tc>
          <w:tcPr>
            <w:tcW w:w="0" w:type="auto"/>
            <w:gridSpan w:val="3"/>
            <w:tcBorders>
              <w:top w:val="single" w:sz="8" w:space="0" w:color="000000"/>
            </w:tcBorders>
            <w:tcMar>
              <w:top w:w="30" w:type="dxa"/>
              <w:left w:w="20" w:type="dxa"/>
              <w:bottom w:w="30" w:type="dxa"/>
              <w:right w:w="20" w:type="dxa"/>
            </w:tcMar>
            <w:vAlign w:val="center"/>
            <w:hideMark/>
          </w:tcPr>
          <w:p w14:paraId="303068E4" w14:textId="77777777" w:rsidR="00000000" w:rsidRDefault="000A3118">
            <w:pPr>
              <w:rPr>
                <w:rFonts w:eastAsia="Times New Roman"/>
              </w:rPr>
            </w:pPr>
            <w:r>
              <w:rPr>
                <w:rFonts w:eastAsia="Times New Roman"/>
                <w:b/>
                <w:bCs/>
                <w:color w:val="000000"/>
                <w:sz w:val="16"/>
                <w:szCs w:val="16"/>
              </w:rPr>
              <w:t>Derivative Instruments</w:t>
            </w:r>
          </w:p>
        </w:tc>
        <w:tc>
          <w:tcPr>
            <w:tcW w:w="0" w:type="auto"/>
            <w:gridSpan w:val="3"/>
            <w:tcBorders>
              <w:top w:val="single" w:sz="8" w:space="0" w:color="000000"/>
            </w:tcBorders>
            <w:tcMar>
              <w:top w:w="30" w:type="dxa"/>
              <w:left w:w="20" w:type="dxa"/>
              <w:bottom w:w="30" w:type="dxa"/>
              <w:right w:w="20" w:type="dxa"/>
            </w:tcMar>
            <w:vAlign w:val="center"/>
            <w:hideMark/>
          </w:tcPr>
          <w:p w14:paraId="4C34B37E"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CD6B940"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48D82DF"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shd w:val="clear" w:color="auto" w:fill="FFFFFF"/>
            <w:tcMar>
              <w:top w:w="0" w:type="dxa"/>
              <w:left w:w="20" w:type="dxa"/>
              <w:bottom w:w="0" w:type="dxa"/>
              <w:right w:w="20" w:type="dxa"/>
            </w:tcMar>
            <w:vAlign w:val="center"/>
            <w:hideMark/>
          </w:tcPr>
          <w:p w14:paraId="73E28ECF"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558D8752" w14:textId="77777777" w:rsidR="00000000" w:rsidRDefault="000A3118">
            <w:pPr>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30" w:type="dxa"/>
              <w:left w:w="20" w:type="dxa"/>
              <w:bottom w:w="30" w:type="dxa"/>
              <w:right w:w="20" w:type="dxa"/>
            </w:tcMar>
            <w:vAlign w:val="center"/>
            <w:hideMark/>
          </w:tcPr>
          <w:p w14:paraId="318D32D3"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0E3A0EC"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7A1302A" w14:textId="77777777" w:rsidR="00000000" w:rsidRDefault="000A3118">
            <w:pPr>
              <w:jc w:val="center"/>
              <w:rPr>
                <w:rFonts w:eastAsia="Times New Roman"/>
              </w:rPr>
            </w:pPr>
            <w:r>
              <w:rPr>
                <w:rFonts w:eastAsia="Times New Roman"/>
                <w:b/>
                <w:bCs/>
                <w:color w:val="000000"/>
                <w:sz w:val="16"/>
                <w:szCs w:val="16"/>
              </w:rPr>
              <w:t>2019</w:t>
            </w:r>
          </w:p>
        </w:tc>
      </w:tr>
      <w:tr w:rsidR="00000000" w14:paraId="1D648EBD" w14:textId="77777777">
        <w:trPr>
          <w:divId w:val="1773741967"/>
        </w:trPr>
        <w:tc>
          <w:tcPr>
            <w:tcW w:w="0" w:type="auto"/>
            <w:gridSpan w:val="3"/>
            <w:vAlign w:val="center"/>
            <w:hideMark/>
          </w:tcPr>
          <w:p w14:paraId="122943CE" w14:textId="77777777" w:rsidR="00000000" w:rsidRDefault="000A3118">
            <w:pPr>
              <w:jc w:val="center"/>
              <w:rPr>
                <w:rFonts w:eastAsia="Times New Roman"/>
              </w:rPr>
            </w:pPr>
          </w:p>
        </w:tc>
        <w:tc>
          <w:tcPr>
            <w:tcW w:w="0" w:type="auto"/>
            <w:gridSpan w:val="3"/>
            <w:vAlign w:val="center"/>
            <w:hideMark/>
          </w:tcPr>
          <w:p w14:paraId="541AFED1" w14:textId="77777777" w:rsidR="00000000" w:rsidRDefault="000A3118">
            <w:pPr>
              <w:rPr>
                <w:rFonts w:eastAsia="Times New Roman"/>
                <w:sz w:val="20"/>
                <w:szCs w:val="20"/>
              </w:rPr>
            </w:pPr>
          </w:p>
        </w:tc>
        <w:tc>
          <w:tcPr>
            <w:tcW w:w="0" w:type="auto"/>
            <w:gridSpan w:val="3"/>
            <w:vAlign w:val="center"/>
            <w:hideMark/>
          </w:tcPr>
          <w:p w14:paraId="2AAE6E9F" w14:textId="77777777" w:rsidR="00000000" w:rsidRDefault="000A3118">
            <w:pPr>
              <w:rPr>
                <w:rFonts w:eastAsia="Times New Roman"/>
                <w:sz w:val="20"/>
                <w:szCs w:val="20"/>
              </w:rPr>
            </w:pPr>
          </w:p>
        </w:tc>
        <w:tc>
          <w:tcPr>
            <w:tcW w:w="0" w:type="auto"/>
            <w:gridSpan w:val="3"/>
            <w:vAlign w:val="center"/>
            <w:hideMark/>
          </w:tcPr>
          <w:p w14:paraId="00D68350" w14:textId="77777777" w:rsidR="00000000" w:rsidRDefault="000A3118">
            <w:pPr>
              <w:rPr>
                <w:rFonts w:eastAsia="Times New Roman"/>
                <w:sz w:val="20"/>
                <w:szCs w:val="20"/>
              </w:rPr>
            </w:pPr>
          </w:p>
        </w:tc>
        <w:tc>
          <w:tcPr>
            <w:tcW w:w="0" w:type="auto"/>
            <w:gridSpan w:val="3"/>
            <w:vAlign w:val="center"/>
            <w:hideMark/>
          </w:tcPr>
          <w:p w14:paraId="4078345B" w14:textId="77777777" w:rsidR="00000000" w:rsidRDefault="000A3118">
            <w:pPr>
              <w:rPr>
                <w:rFonts w:eastAsia="Times New Roman"/>
                <w:sz w:val="20"/>
                <w:szCs w:val="20"/>
              </w:rPr>
            </w:pPr>
          </w:p>
        </w:tc>
        <w:tc>
          <w:tcPr>
            <w:tcW w:w="0" w:type="auto"/>
            <w:gridSpan w:val="3"/>
            <w:vAlign w:val="center"/>
            <w:hideMark/>
          </w:tcPr>
          <w:p w14:paraId="5E7D6BE9" w14:textId="77777777" w:rsidR="00000000" w:rsidRDefault="000A3118">
            <w:pPr>
              <w:rPr>
                <w:rFonts w:eastAsia="Times New Roman"/>
                <w:sz w:val="20"/>
                <w:szCs w:val="20"/>
              </w:rPr>
            </w:pPr>
          </w:p>
        </w:tc>
        <w:tc>
          <w:tcPr>
            <w:tcW w:w="0" w:type="auto"/>
            <w:gridSpan w:val="3"/>
            <w:vAlign w:val="center"/>
            <w:hideMark/>
          </w:tcPr>
          <w:p w14:paraId="0CA1C1AF" w14:textId="77777777" w:rsidR="00000000" w:rsidRDefault="000A3118">
            <w:pPr>
              <w:rPr>
                <w:rFonts w:eastAsia="Times New Roman"/>
                <w:sz w:val="20"/>
                <w:szCs w:val="20"/>
              </w:rPr>
            </w:pPr>
          </w:p>
        </w:tc>
        <w:tc>
          <w:tcPr>
            <w:tcW w:w="0" w:type="auto"/>
            <w:gridSpan w:val="3"/>
            <w:vAlign w:val="center"/>
            <w:hideMark/>
          </w:tcPr>
          <w:p w14:paraId="3490099A" w14:textId="77777777" w:rsidR="00000000" w:rsidRDefault="000A3118">
            <w:pPr>
              <w:rPr>
                <w:rFonts w:eastAsia="Times New Roman"/>
                <w:sz w:val="20"/>
                <w:szCs w:val="20"/>
              </w:rPr>
            </w:pPr>
          </w:p>
        </w:tc>
        <w:tc>
          <w:tcPr>
            <w:tcW w:w="0" w:type="auto"/>
            <w:gridSpan w:val="3"/>
            <w:vAlign w:val="center"/>
            <w:hideMark/>
          </w:tcPr>
          <w:p w14:paraId="14CD272C" w14:textId="77777777" w:rsidR="00000000" w:rsidRDefault="000A3118">
            <w:pPr>
              <w:rPr>
                <w:rFonts w:eastAsia="Times New Roman"/>
                <w:sz w:val="20"/>
                <w:szCs w:val="20"/>
              </w:rPr>
            </w:pPr>
          </w:p>
        </w:tc>
      </w:tr>
      <w:tr w:rsidR="00000000" w14:paraId="7FA977C7" w14:textId="77777777">
        <w:trPr>
          <w:divId w:val="177374196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5C4B4A3" w14:textId="77777777" w:rsidR="00000000" w:rsidRDefault="000A3118">
            <w:pPr>
              <w:rPr>
                <w:rFonts w:eastAsia="Times New Roman"/>
              </w:rPr>
            </w:pPr>
            <w:r>
              <w:rPr>
                <w:rFonts w:eastAsia="Times New Roman"/>
                <w:color w:val="000000"/>
                <w:sz w:val="16"/>
                <w:szCs w:val="16"/>
              </w:rPr>
              <w:t>Commodity contracts</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652B21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D873D9A" w14:textId="77777777" w:rsidR="00000000" w:rsidRDefault="000A3118">
            <w:pPr>
              <w:jc w:val="right"/>
              <w:rPr>
                <w:rFonts w:eastAsia="Times New Roman"/>
              </w:rPr>
            </w:pPr>
            <w:r>
              <w:rPr>
                <w:rFonts w:eastAsia="Times New Roman"/>
                <w:color w:val="000000"/>
                <w:sz w:val="16"/>
                <w:szCs w:val="16"/>
              </w:rPr>
              <w:t>163.6 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8531298"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FCF5EE"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473ABD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4932A3E" w14:textId="77777777" w:rsidR="00000000" w:rsidRDefault="000A3118">
            <w:pPr>
              <w:jc w:val="right"/>
              <w:rPr>
                <w:rFonts w:eastAsia="Times New Roman"/>
              </w:rPr>
            </w:pPr>
            <w:r>
              <w:rPr>
                <w:rFonts w:eastAsia="Times New Roman"/>
                <w:color w:val="000000"/>
                <w:sz w:val="16"/>
                <w:szCs w:val="16"/>
              </w:rPr>
              <w:t>(136.1)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C88B0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97038"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7A2D981" w14:textId="77777777" w:rsidR="00000000" w:rsidRDefault="000A3118">
            <w:pPr>
              <w:rPr>
                <w:rFonts w:eastAsia="Times New Roman"/>
              </w:rPr>
            </w:pPr>
            <w:r>
              <w:rPr>
                <w:rFonts w:eastAsia="Times New Roman"/>
                <w:color w:val="000000"/>
                <w:sz w:val="16"/>
                <w:szCs w:val="16"/>
              </w:rPr>
              <w:t>Revenue</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D7EF67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AC118F3" w14:textId="77777777" w:rsidR="00000000" w:rsidRDefault="000A3118">
            <w:pPr>
              <w:jc w:val="right"/>
              <w:rPr>
                <w:rFonts w:eastAsia="Times New Roman"/>
              </w:rPr>
            </w:pPr>
            <w:r>
              <w:rPr>
                <w:rFonts w:eastAsia="Times New Roman"/>
                <w:color w:val="000000"/>
                <w:sz w:val="16"/>
                <w:szCs w:val="16"/>
              </w:rPr>
              <w:t>38.2 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E7228F"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257A3B"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ACED85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C4E5034" w14:textId="77777777" w:rsidR="00000000" w:rsidRDefault="000A3118">
            <w:pPr>
              <w:jc w:val="right"/>
              <w:rPr>
                <w:rFonts w:eastAsia="Times New Roman"/>
              </w:rPr>
            </w:pPr>
            <w:r>
              <w:rPr>
                <w:rFonts w:eastAsia="Times New Roman"/>
                <w:color w:val="000000"/>
                <w:sz w:val="16"/>
                <w:szCs w:val="16"/>
              </w:rPr>
              <w:t>(6.5)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67C97C" w14:textId="77777777" w:rsidR="00000000" w:rsidRDefault="000A3118">
            <w:pPr>
              <w:jc w:val="right"/>
              <w:rPr>
                <w:rFonts w:eastAsia="Times New Roman"/>
              </w:rPr>
            </w:pPr>
          </w:p>
        </w:tc>
      </w:tr>
      <w:tr w:rsidR="00000000" w14:paraId="2073765D" w14:textId="77777777">
        <w:trPr>
          <w:divId w:val="1773741967"/>
        </w:trPr>
        <w:tc>
          <w:tcPr>
            <w:tcW w:w="0" w:type="auto"/>
            <w:gridSpan w:val="3"/>
            <w:shd w:val="clear" w:color="auto" w:fill="FFFFFF"/>
            <w:tcMar>
              <w:top w:w="30" w:type="dxa"/>
              <w:left w:w="20" w:type="dxa"/>
              <w:bottom w:w="30" w:type="dxa"/>
              <w:right w:w="20" w:type="dxa"/>
            </w:tcMar>
            <w:vAlign w:val="center"/>
            <w:hideMark/>
          </w:tcPr>
          <w:p w14:paraId="2365166A" w14:textId="77777777" w:rsidR="00000000" w:rsidRDefault="000A3118">
            <w:pPr>
              <w:rPr>
                <w:rFonts w:eastAsia="Times New Roman"/>
              </w:rPr>
            </w:pPr>
            <w:r>
              <w:rPr>
                <w:rFonts w:eastAsia="Times New Roman"/>
                <w:color w:val="000000"/>
                <w:sz w:val="16"/>
                <w:szCs w:val="16"/>
              </w:rPr>
              <w:t>Commodity contracts</w:t>
            </w:r>
          </w:p>
        </w:tc>
        <w:tc>
          <w:tcPr>
            <w:tcW w:w="0" w:type="auto"/>
            <w:gridSpan w:val="2"/>
            <w:shd w:val="clear" w:color="auto" w:fill="FFFFFF"/>
            <w:tcMar>
              <w:top w:w="30" w:type="dxa"/>
              <w:left w:w="20" w:type="dxa"/>
              <w:bottom w:w="30" w:type="dxa"/>
              <w:right w:w="0" w:type="dxa"/>
            </w:tcMar>
            <w:vAlign w:val="center"/>
            <w:hideMark/>
          </w:tcPr>
          <w:p w14:paraId="7819A391" w14:textId="77777777" w:rsidR="00000000" w:rsidRDefault="000A3118">
            <w:pPr>
              <w:jc w:val="right"/>
              <w:rPr>
                <w:rFonts w:eastAsia="Times New Roman"/>
              </w:rPr>
            </w:pPr>
            <w:r>
              <w:rPr>
                <w:rFonts w:eastAsia="Times New Roman"/>
                <w:color w:val="000000"/>
                <w:sz w:val="16"/>
                <w:szCs w:val="16"/>
              </w:rPr>
              <w:t>(237.2)</w:t>
            </w:r>
          </w:p>
        </w:tc>
        <w:tc>
          <w:tcPr>
            <w:tcW w:w="0" w:type="auto"/>
            <w:shd w:val="clear" w:color="auto" w:fill="FFFFFF"/>
            <w:tcMar>
              <w:top w:w="30" w:type="dxa"/>
              <w:left w:w="0" w:type="dxa"/>
              <w:bottom w:w="30" w:type="dxa"/>
              <w:right w:w="20" w:type="dxa"/>
            </w:tcMar>
            <w:vAlign w:val="center"/>
            <w:hideMark/>
          </w:tcPr>
          <w:p w14:paraId="0AA4E15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4D32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04E971" w14:textId="77777777" w:rsidR="00000000" w:rsidRDefault="000A3118">
            <w:pPr>
              <w:jc w:val="right"/>
              <w:rPr>
                <w:rFonts w:eastAsia="Times New Roman"/>
              </w:rPr>
            </w:pPr>
            <w:r>
              <w:rPr>
                <w:rFonts w:eastAsia="Times New Roman"/>
                <w:color w:val="000000"/>
                <w:sz w:val="16"/>
                <w:szCs w:val="16"/>
              </w:rPr>
              <w:t>153.9 </w:t>
            </w:r>
          </w:p>
        </w:tc>
        <w:tc>
          <w:tcPr>
            <w:tcW w:w="0" w:type="auto"/>
            <w:shd w:val="clear" w:color="auto" w:fill="FFFFFF"/>
            <w:tcMar>
              <w:top w:w="30" w:type="dxa"/>
              <w:left w:w="0" w:type="dxa"/>
              <w:bottom w:w="30" w:type="dxa"/>
              <w:right w:w="20" w:type="dxa"/>
            </w:tcMar>
            <w:vAlign w:val="center"/>
            <w:hideMark/>
          </w:tcPr>
          <w:p w14:paraId="547C541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3C1FD" w14:textId="77777777" w:rsidR="00000000" w:rsidRDefault="000A311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4B25DE80" w14:textId="77777777" w:rsidR="00000000" w:rsidRDefault="000A3118">
            <w:pPr>
              <w:rPr>
                <w:rFonts w:eastAsia="Times New Roman"/>
              </w:rPr>
            </w:pPr>
            <w:r>
              <w:rPr>
                <w:rFonts w:eastAsia="Times New Roman"/>
                <w:color w:val="000000"/>
                <w:sz w:val="16"/>
                <w:szCs w:val="16"/>
              </w:rPr>
              <w:t>Cost of Revenue</w:t>
            </w:r>
          </w:p>
        </w:tc>
        <w:tc>
          <w:tcPr>
            <w:tcW w:w="0" w:type="auto"/>
            <w:gridSpan w:val="2"/>
            <w:shd w:val="clear" w:color="auto" w:fill="FFFFFF"/>
            <w:tcMar>
              <w:top w:w="30" w:type="dxa"/>
              <w:left w:w="20" w:type="dxa"/>
              <w:bottom w:w="30" w:type="dxa"/>
              <w:right w:w="0" w:type="dxa"/>
            </w:tcMar>
            <w:vAlign w:val="center"/>
            <w:hideMark/>
          </w:tcPr>
          <w:p w14:paraId="06D5BB4E" w14:textId="77777777" w:rsidR="00000000" w:rsidRDefault="000A3118">
            <w:pPr>
              <w:jc w:val="right"/>
              <w:rPr>
                <w:rFonts w:eastAsia="Times New Roman"/>
              </w:rPr>
            </w:pPr>
            <w:r>
              <w:rPr>
                <w:rFonts w:eastAsia="Times New Roman"/>
                <w:color w:val="000000"/>
                <w:sz w:val="16"/>
                <w:szCs w:val="16"/>
              </w:rPr>
              <w:t>(122.3)</w:t>
            </w:r>
          </w:p>
        </w:tc>
        <w:tc>
          <w:tcPr>
            <w:tcW w:w="0" w:type="auto"/>
            <w:shd w:val="clear" w:color="auto" w:fill="FFFFFF"/>
            <w:tcMar>
              <w:top w:w="30" w:type="dxa"/>
              <w:left w:w="0" w:type="dxa"/>
              <w:bottom w:w="30" w:type="dxa"/>
              <w:right w:w="20" w:type="dxa"/>
            </w:tcMar>
            <w:vAlign w:val="center"/>
            <w:hideMark/>
          </w:tcPr>
          <w:p w14:paraId="507F5AE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CF394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D4CE60" w14:textId="77777777" w:rsidR="00000000" w:rsidRDefault="000A3118">
            <w:pPr>
              <w:jc w:val="right"/>
              <w:rPr>
                <w:rFonts w:eastAsia="Times New Roman"/>
              </w:rPr>
            </w:pPr>
            <w:r>
              <w:rPr>
                <w:rFonts w:eastAsia="Times New Roman"/>
                <w:color w:val="000000"/>
                <w:sz w:val="16"/>
                <w:szCs w:val="16"/>
              </w:rPr>
              <w:t>31.1 </w:t>
            </w:r>
          </w:p>
        </w:tc>
        <w:tc>
          <w:tcPr>
            <w:tcW w:w="0" w:type="auto"/>
            <w:shd w:val="clear" w:color="auto" w:fill="FFFFFF"/>
            <w:tcMar>
              <w:top w:w="30" w:type="dxa"/>
              <w:left w:w="0" w:type="dxa"/>
              <w:bottom w:w="30" w:type="dxa"/>
              <w:right w:w="20" w:type="dxa"/>
            </w:tcMar>
            <w:vAlign w:val="center"/>
            <w:hideMark/>
          </w:tcPr>
          <w:p w14:paraId="46FE2F90" w14:textId="77777777" w:rsidR="00000000" w:rsidRDefault="000A3118">
            <w:pPr>
              <w:jc w:val="right"/>
              <w:rPr>
                <w:rFonts w:eastAsia="Times New Roman"/>
              </w:rPr>
            </w:pPr>
          </w:p>
        </w:tc>
      </w:tr>
      <w:tr w:rsidR="00000000" w14:paraId="52E137F3" w14:textId="77777777">
        <w:trPr>
          <w:divId w:val="1773741967"/>
        </w:trPr>
        <w:tc>
          <w:tcPr>
            <w:tcW w:w="0" w:type="auto"/>
            <w:gridSpan w:val="3"/>
            <w:vAlign w:val="center"/>
            <w:hideMark/>
          </w:tcPr>
          <w:p w14:paraId="08909977" w14:textId="77777777" w:rsidR="00000000" w:rsidRDefault="000A3118">
            <w:pPr>
              <w:jc w:val="right"/>
              <w:rPr>
                <w:rFonts w:eastAsia="Times New Roman"/>
                <w:sz w:val="20"/>
                <w:szCs w:val="20"/>
              </w:rPr>
            </w:pPr>
          </w:p>
        </w:tc>
        <w:tc>
          <w:tcPr>
            <w:tcW w:w="0" w:type="auto"/>
            <w:gridSpan w:val="3"/>
            <w:vAlign w:val="center"/>
            <w:hideMark/>
          </w:tcPr>
          <w:p w14:paraId="2E5C2F3E" w14:textId="77777777" w:rsidR="00000000" w:rsidRDefault="000A3118">
            <w:pPr>
              <w:rPr>
                <w:rFonts w:eastAsia="Times New Roman"/>
                <w:sz w:val="20"/>
                <w:szCs w:val="20"/>
              </w:rPr>
            </w:pPr>
          </w:p>
        </w:tc>
        <w:tc>
          <w:tcPr>
            <w:tcW w:w="0" w:type="auto"/>
            <w:gridSpan w:val="3"/>
            <w:vAlign w:val="center"/>
            <w:hideMark/>
          </w:tcPr>
          <w:p w14:paraId="218D1C2A" w14:textId="77777777" w:rsidR="00000000" w:rsidRDefault="000A3118">
            <w:pPr>
              <w:rPr>
                <w:rFonts w:eastAsia="Times New Roman"/>
                <w:sz w:val="20"/>
                <w:szCs w:val="20"/>
              </w:rPr>
            </w:pPr>
          </w:p>
        </w:tc>
        <w:tc>
          <w:tcPr>
            <w:tcW w:w="0" w:type="auto"/>
            <w:gridSpan w:val="3"/>
            <w:vAlign w:val="center"/>
            <w:hideMark/>
          </w:tcPr>
          <w:p w14:paraId="3D7E4B67" w14:textId="77777777" w:rsidR="00000000" w:rsidRDefault="000A3118">
            <w:pPr>
              <w:rPr>
                <w:rFonts w:eastAsia="Times New Roman"/>
                <w:sz w:val="20"/>
                <w:szCs w:val="20"/>
              </w:rPr>
            </w:pPr>
          </w:p>
        </w:tc>
        <w:tc>
          <w:tcPr>
            <w:tcW w:w="0" w:type="auto"/>
            <w:gridSpan w:val="3"/>
            <w:vAlign w:val="center"/>
            <w:hideMark/>
          </w:tcPr>
          <w:p w14:paraId="311F8795" w14:textId="77777777" w:rsidR="00000000" w:rsidRDefault="000A3118">
            <w:pPr>
              <w:rPr>
                <w:rFonts w:eastAsia="Times New Roman"/>
                <w:sz w:val="20"/>
                <w:szCs w:val="20"/>
              </w:rPr>
            </w:pPr>
          </w:p>
        </w:tc>
        <w:tc>
          <w:tcPr>
            <w:tcW w:w="0" w:type="auto"/>
            <w:gridSpan w:val="3"/>
            <w:vAlign w:val="center"/>
            <w:hideMark/>
          </w:tcPr>
          <w:p w14:paraId="21A13ED1" w14:textId="77777777" w:rsidR="00000000" w:rsidRDefault="000A3118">
            <w:pPr>
              <w:rPr>
                <w:rFonts w:eastAsia="Times New Roman"/>
                <w:sz w:val="20"/>
                <w:szCs w:val="20"/>
              </w:rPr>
            </w:pPr>
          </w:p>
        </w:tc>
        <w:tc>
          <w:tcPr>
            <w:tcW w:w="0" w:type="auto"/>
            <w:gridSpan w:val="3"/>
            <w:vAlign w:val="center"/>
            <w:hideMark/>
          </w:tcPr>
          <w:p w14:paraId="41F389AE" w14:textId="77777777" w:rsidR="00000000" w:rsidRDefault="000A3118">
            <w:pPr>
              <w:rPr>
                <w:rFonts w:eastAsia="Times New Roman"/>
                <w:sz w:val="20"/>
                <w:szCs w:val="20"/>
              </w:rPr>
            </w:pPr>
          </w:p>
        </w:tc>
        <w:tc>
          <w:tcPr>
            <w:tcW w:w="0" w:type="auto"/>
            <w:gridSpan w:val="3"/>
            <w:vAlign w:val="center"/>
            <w:hideMark/>
          </w:tcPr>
          <w:p w14:paraId="36F5A311" w14:textId="77777777" w:rsidR="00000000" w:rsidRDefault="000A3118">
            <w:pPr>
              <w:rPr>
                <w:rFonts w:eastAsia="Times New Roman"/>
                <w:sz w:val="20"/>
                <w:szCs w:val="20"/>
              </w:rPr>
            </w:pPr>
          </w:p>
        </w:tc>
        <w:tc>
          <w:tcPr>
            <w:tcW w:w="0" w:type="auto"/>
            <w:gridSpan w:val="3"/>
            <w:vAlign w:val="center"/>
            <w:hideMark/>
          </w:tcPr>
          <w:p w14:paraId="087D8843" w14:textId="77777777" w:rsidR="00000000" w:rsidRDefault="000A3118">
            <w:pPr>
              <w:rPr>
                <w:rFonts w:eastAsia="Times New Roman"/>
                <w:sz w:val="20"/>
                <w:szCs w:val="20"/>
              </w:rPr>
            </w:pPr>
          </w:p>
        </w:tc>
      </w:tr>
      <w:tr w:rsidR="00000000" w14:paraId="1E167D4E" w14:textId="77777777">
        <w:trPr>
          <w:divId w:val="1773741967"/>
        </w:trPr>
        <w:tc>
          <w:tcPr>
            <w:tcW w:w="0" w:type="auto"/>
            <w:gridSpan w:val="3"/>
            <w:shd w:val="clear" w:color="auto" w:fill="CCEEFF"/>
            <w:tcMar>
              <w:top w:w="30" w:type="dxa"/>
              <w:left w:w="20" w:type="dxa"/>
              <w:bottom w:w="30" w:type="dxa"/>
              <w:right w:w="20" w:type="dxa"/>
            </w:tcMar>
            <w:vAlign w:val="center"/>
            <w:hideMark/>
          </w:tcPr>
          <w:p w14:paraId="252C354D" w14:textId="77777777" w:rsidR="00000000" w:rsidRDefault="000A3118">
            <w:pPr>
              <w:rPr>
                <w:rFonts w:eastAsia="Times New Roman"/>
              </w:rPr>
            </w:pPr>
            <w:r>
              <w:rPr>
                <w:rFonts w:eastAsia="Times New Roman"/>
                <w:color w:val="000000"/>
                <w:sz w:val="16"/>
                <w:szCs w:val="16"/>
              </w:rPr>
              <w:t>Interest rate contracts</w:t>
            </w:r>
          </w:p>
        </w:tc>
        <w:tc>
          <w:tcPr>
            <w:tcW w:w="0" w:type="auto"/>
            <w:gridSpan w:val="2"/>
            <w:shd w:val="clear" w:color="auto" w:fill="CCEEFF"/>
            <w:tcMar>
              <w:top w:w="30" w:type="dxa"/>
              <w:left w:w="20" w:type="dxa"/>
              <w:bottom w:w="30" w:type="dxa"/>
              <w:right w:w="0" w:type="dxa"/>
            </w:tcMar>
            <w:vAlign w:val="center"/>
            <w:hideMark/>
          </w:tcPr>
          <w:p w14:paraId="2C05A483" w14:textId="77777777" w:rsidR="00000000" w:rsidRDefault="000A3118">
            <w:pPr>
              <w:jc w:val="right"/>
              <w:rPr>
                <w:rFonts w:eastAsia="Times New Roman"/>
              </w:rPr>
            </w:pPr>
            <w:r>
              <w:rPr>
                <w:rFonts w:eastAsia="Times New Roman"/>
                <w:color w:val="000000"/>
                <w:sz w:val="16"/>
                <w:szCs w:val="16"/>
              </w:rPr>
              <w:t>(3.8)</w:t>
            </w:r>
          </w:p>
        </w:tc>
        <w:tc>
          <w:tcPr>
            <w:tcW w:w="0" w:type="auto"/>
            <w:shd w:val="clear" w:color="auto" w:fill="CCEEFF"/>
            <w:tcMar>
              <w:top w:w="30" w:type="dxa"/>
              <w:left w:w="0" w:type="dxa"/>
              <w:bottom w:w="30" w:type="dxa"/>
              <w:right w:w="20" w:type="dxa"/>
            </w:tcMar>
            <w:vAlign w:val="center"/>
            <w:hideMark/>
          </w:tcPr>
          <w:p w14:paraId="6F8511C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6DC9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4AB2E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DBF0EE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BA7D4" w14:textId="77777777" w:rsidR="00000000" w:rsidRDefault="000A311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05527026" w14:textId="77777777" w:rsidR="00000000" w:rsidRDefault="000A3118">
            <w:pPr>
              <w:rPr>
                <w:rFonts w:eastAsia="Times New Roman"/>
              </w:rPr>
            </w:pPr>
            <w:r>
              <w:rPr>
                <w:rFonts w:eastAsia="Times New Roman"/>
                <w:color w:val="000000"/>
                <w:sz w:val="16"/>
                <w:szCs w:val="16"/>
              </w:rPr>
              <w:t>Interest expense and other financing costs, net</w:t>
            </w:r>
          </w:p>
        </w:tc>
        <w:tc>
          <w:tcPr>
            <w:tcW w:w="0" w:type="auto"/>
            <w:gridSpan w:val="2"/>
            <w:shd w:val="clear" w:color="auto" w:fill="CCEEFF"/>
            <w:tcMar>
              <w:top w:w="30" w:type="dxa"/>
              <w:left w:w="20" w:type="dxa"/>
              <w:bottom w:w="30" w:type="dxa"/>
              <w:right w:w="0" w:type="dxa"/>
            </w:tcMar>
            <w:vAlign w:val="center"/>
            <w:hideMark/>
          </w:tcPr>
          <w:p w14:paraId="46A50625" w14:textId="77777777" w:rsidR="00000000" w:rsidRDefault="000A3118">
            <w:pPr>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center"/>
            <w:hideMark/>
          </w:tcPr>
          <w:p w14:paraId="43E996F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0DC7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279D0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AC0B618" w14:textId="77777777" w:rsidR="00000000" w:rsidRDefault="000A3118">
            <w:pPr>
              <w:jc w:val="right"/>
              <w:rPr>
                <w:rFonts w:eastAsia="Times New Roman"/>
              </w:rPr>
            </w:pPr>
          </w:p>
        </w:tc>
      </w:tr>
      <w:tr w:rsidR="00000000" w14:paraId="54260E54" w14:textId="77777777">
        <w:trPr>
          <w:divId w:val="1773741967"/>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center"/>
            <w:hideMark/>
          </w:tcPr>
          <w:p w14:paraId="5FD1DF3C" w14:textId="77777777" w:rsidR="00000000" w:rsidRDefault="000A3118">
            <w:pPr>
              <w:rPr>
                <w:rFonts w:eastAsia="Times New Roman"/>
              </w:rPr>
            </w:pPr>
            <w:r>
              <w:rPr>
                <w:rFonts w:eastAsia="Times New Roman"/>
                <w:color w:val="000000"/>
                <w:sz w:val="16"/>
                <w:szCs w:val="16"/>
              </w:rPr>
              <w:t>Total Gain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16DDD7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ED53C13" w14:textId="77777777" w:rsidR="00000000" w:rsidRDefault="000A3118">
            <w:pPr>
              <w:jc w:val="right"/>
              <w:rPr>
                <w:rFonts w:eastAsia="Times New Roman"/>
              </w:rPr>
            </w:pPr>
            <w:r>
              <w:rPr>
                <w:rFonts w:eastAsia="Times New Roman"/>
                <w:color w:val="000000"/>
                <w:sz w:val="16"/>
                <w:szCs w:val="16"/>
              </w:rPr>
              <w:t>(77.4)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56E80B1"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B4BCD55"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611173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8B44A95" w14:textId="77777777" w:rsidR="00000000" w:rsidRDefault="000A3118">
            <w:pPr>
              <w:jc w:val="right"/>
              <w:rPr>
                <w:rFonts w:eastAsia="Times New Roman"/>
              </w:rPr>
            </w:pPr>
            <w:r>
              <w:rPr>
                <w:rFonts w:eastAsia="Times New Roman"/>
                <w:color w:val="000000"/>
                <w:sz w:val="16"/>
                <w:szCs w:val="16"/>
              </w:rPr>
              <w:t>17.7 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79E196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19E79"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center"/>
            <w:hideMark/>
          </w:tcPr>
          <w:p w14:paraId="4B694CD1" w14:textId="77777777" w:rsidR="00000000" w:rsidRDefault="000A3118">
            <w:pPr>
              <w:rPr>
                <w:rFonts w:eastAsia="Times New Roman"/>
              </w:rPr>
            </w:pPr>
            <w:r>
              <w:rPr>
                <w:rFonts w:eastAsia="Times New Roman"/>
                <w:color w:val="000000"/>
                <w:sz w:val="16"/>
                <w:szCs w:val="16"/>
              </w:rPr>
              <w:t>Total Gain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1B4C4F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EF620A9" w14:textId="77777777" w:rsidR="00000000" w:rsidRDefault="000A3118">
            <w:pPr>
              <w:jc w:val="right"/>
              <w:rPr>
                <w:rFonts w:eastAsia="Times New Roman"/>
              </w:rPr>
            </w:pPr>
            <w:r>
              <w:rPr>
                <w:rFonts w:eastAsia="Times New Roman"/>
                <w:color w:val="000000"/>
                <w:sz w:val="16"/>
                <w:szCs w:val="16"/>
              </w:rPr>
              <w:t>(84.4)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34FCBD0"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74AAAEE"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68C211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8DD29EB" w14:textId="77777777" w:rsidR="00000000" w:rsidRDefault="000A3118">
            <w:pPr>
              <w:jc w:val="right"/>
              <w:rPr>
                <w:rFonts w:eastAsia="Times New Roman"/>
              </w:rPr>
            </w:pPr>
            <w:r>
              <w:rPr>
                <w:rFonts w:eastAsia="Times New Roman"/>
                <w:color w:val="000000"/>
                <w:sz w:val="16"/>
                <w:szCs w:val="16"/>
              </w:rPr>
              <w:t>24.6 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79E04AD" w14:textId="77777777" w:rsidR="00000000" w:rsidRDefault="000A3118">
            <w:pPr>
              <w:jc w:val="right"/>
              <w:rPr>
                <w:rFonts w:eastAsia="Times New Roman"/>
              </w:rPr>
            </w:pPr>
          </w:p>
        </w:tc>
      </w:tr>
    </w:tbl>
    <w:p w14:paraId="5300902B" w14:textId="77777777" w:rsidR="00000000" w:rsidRDefault="000A3118">
      <w:pPr>
        <w:ind w:firstLine="360"/>
        <w:jc w:val="both"/>
        <w:divId w:val="449209627"/>
        <w:rPr>
          <w:rFonts w:eastAsia="Times New Roman"/>
        </w:rPr>
      </w:pPr>
    </w:p>
    <w:p w14:paraId="57A7B1CA" w14:textId="77777777" w:rsidR="00000000" w:rsidRDefault="000A3118">
      <w:pPr>
        <w:ind w:firstLine="360"/>
        <w:jc w:val="both"/>
        <w:divId w:val="1380938045"/>
        <w:rPr>
          <w:rFonts w:eastAsia="Times New Roman"/>
        </w:rPr>
      </w:pPr>
      <w:r>
        <w:rPr>
          <w:rFonts w:eastAsia="Times New Roman"/>
          <w:color w:val="000000"/>
          <w:sz w:val="20"/>
          <w:szCs w:val="20"/>
        </w:rPr>
        <w:t>The following table presents the effect and financial statement location of our derivative instruments not designated as hedging instruments on our Consolid</w:t>
      </w:r>
      <w:r>
        <w:rPr>
          <w:rFonts w:eastAsia="Times New Roman"/>
          <w:color w:val="000000"/>
          <w:sz w:val="20"/>
          <w:szCs w:val="20"/>
        </w:rPr>
        <w:t>ated Statements of Income and Comprehensive Income (in millions):</w:t>
      </w:r>
    </w:p>
    <w:tbl>
      <w:tblPr>
        <w:tblW w:w="4978" w:type="pct"/>
        <w:jc w:val="center"/>
        <w:tblCellMar>
          <w:top w:w="15" w:type="dxa"/>
          <w:left w:w="15" w:type="dxa"/>
          <w:bottom w:w="15" w:type="dxa"/>
          <w:right w:w="15" w:type="dxa"/>
        </w:tblCellMar>
        <w:tblLook w:val="04A0" w:firstRow="1" w:lastRow="0" w:firstColumn="1" w:lastColumn="0" w:noHBand="0" w:noVBand="1"/>
      </w:tblPr>
      <w:tblGrid>
        <w:gridCol w:w="45"/>
        <w:gridCol w:w="4479"/>
        <w:gridCol w:w="37"/>
        <w:gridCol w:w="36"/>
        <w:gridCol w:w="36"/>
        <w:gridCol w:w="36"/>
        <w:gridCol w:w="47"/>
        <w:gridCol w:w="1092"/>
        <w:gridCol w:w="37"/>
        <w:gridCol w:w="36"/>
        <w:gridCol w:w="36"/>
        <w:gridCol w:w="36"/>
        <w:gridCol w:w="100"/>
        <w:gridCol w:w="914"/>
        <w:gridCol w:w="36"/>
        <w:gridCol w:w="36"/>
        <w:gridCol w:w="36"/>
        <w:gridCol w:w="36"/>
        <w:gridCol w:w="100"/>
        <w:gridCol w:w="914"/>
        <w:gridCol w:w="36"/>
        <w:gridCol w:w="36"/>
        <w:gridCol w:w="36"/>
        <w:gridCol w:w="36"/>
      </w:tblGrid>
      <w:tr w:rsidR="00000000" w14:paraId="1C4F7BC5" w14:textId="77777777">
        <w:trPr>
          <w:divId w:val="693581917"/>
          <w:jc w:val="center"/>
        </w:trPr>
        <w:tc>
          <w:tcPr>
            <w:tcW w:w="50" w:type="pct"/>
            <w:vAlign w:val="center"/>
            <w:hideMark/>
          </w:tcPr>
          <w:p w14:paraId="575C6900" w14:textId="77777777" w:rsidR="00000000" w:rsidRDefault="000A3118">
            <w:pPr>
              <w:ind w:firstLine="360"/>
              <w:jc w:val="both"/>
              <w:rPr>
                <w:rFonts w:eastAsia="Times New Roman"/>
              </w:rPr>
            </w:pPr>
          </w:p>
        </w:tc>
        <w:tc>
          <w:tcPr>
            <w:tcW w:w="2764" w:type="pct"/>
            <w:vAlign w:val="center"/>
            <w:hideMark/>
          </w:tcPr>
          <w:p w14:paraId="0F34FDF1" w14:textId="77777777" w:rsidR="00000000" w:rsidRDefault="000A3118">
            <w:pPr>
              <w:rPr>
                <w:rFonts w:eastAsia="Times New Roman"/>
                <w:sz w:val="20"/>
                <w:szCs w:val="20"/>
              </w:rPr>
            </w:pPr>
          </w:p>
        </w:tc>
        <w:tc>
          <w:tcPr>
            <w:tcW w:w="5" w:type="pct"/>
            <w:vAlign w:val="center"/>
            <w:hideMark/>
          </w:tcPr>
          <w:p w14:paraId="7EFED153" w14:textId="77777777" w:rsidR="00000000" w:rsidRDefault="000A3118">
            <w:pPr>
              <w:rPr>
                <w:rFonts w:eastAsia="Times New Roman"/>
                <w:sz w:val="20"/>
                <w:szCs w:val="20"/>
              </w:rPr>
            </w:pPr>
          </w:p>
        </w:tc>
        <w:tc>
          <w:tcPr>
            <w:tcW w:w="5" w:type="pct"/>
            <w:vAlign w:val="center"/>
            <w:hideMark/>
          </w:tcPr>
          <w:p w14:paraId="10B167FF" w14:textId="77777777" w:rsidR="00000000" w:rsidRDefault="000A3118">
            <w:pPr>
              <w:rPr>
                <w:rFonts w:eastAsia="Times New Roman"/>
                <w:sz w:val="20"/>
                <w:szCs w:val="20"/>
              </w:rPr>
            </w:pPr>
          </w:p>
        </w:tc>
        <w:tc>
          <w:tcPr>
            <w:tcW w:w="26" w:type="pct"/>
            <w:vAlign w:val="center"/>
            <w:hideMark/>
          </w:tcPr>
          <w:p w14:paraId="00EF6B72" w14:textId="77777777" w:rsidR="00000000" w:rsidRDefault="000A3118">
            <w:pPr>
              <w:rPr>
                <w:rFonts w:eastAsia="Times New Roman"/>
                <w:sz w:val="20"/>
                <w:szCs w:val="20"/>
              </w:rPr>
            </w:pPr>
          </w:p>
        </w:tc>
        <w:tc>
          <w:tcPr>
            <w:tcW w:w="5" w:type="pct"/>
            <w:vAlign w:val="center"/>
            <w:hideMark/>
          </w:tcPr>
          <w:p w14:paraId="7BF9A4AA" w14:textId="77777777" w:rsidR="00000000" w:rsidRDefault="000A3118">
            <w:pPr>
              <w:rPr>
                <w:rFonts w:eastAsia="Times New Roman"/>
                <w:sz w:val="20"/>
                <w:szCs w:val="20"/>
              </w:rPr>
            </w:pPr>
          </w:p>
        </w:tc>
        <w:tc>
          <w:tcPr>
            <w:tcW w:w="50" w:type="pct"/>
            <w:vAlign w:val="center"/>
            <w:hideMark/>
          </w:tcPr>
          <w:p w14:paraId="332F0D10" w14:textId="77777777" w:rsidR="00000000" w:rsidRDefault="000A3118">
            <w:pPr>
              <w:rPr>
                <w:rFonts w:eastAsia="Times New Roman"/>
                <w:sz w:val="20"/>
                <w:szCs w:val="20"/>
              </w:rPr>
            </w:pPr>
          </w:p>
        </w:tc>
        <w:tc>
          <w:tcPr>
            <w:tcW w:w="708" w:type="pct"/>
            <w:vAlign w:val="center"/>
            <w:hideMark/>
          </w:tcPr>
          <w:p w14:paraId="2F14F535" w14:textId="77777777" w:rsidR="00000000" w:rsidRDefault="000A3118">
            <w:pPr>
              <w:rPr>
                <w:rFonts w:eastAsia="Times New Roman"/>
                <w:sz w:val="20"/>
                <w:szCs w:val="20"/>
              </w:rPr>
            </w:pPr>
          </w:p>
        </w:tc>
        <w:tc>
          <w:tcPr>
            <w:tcW w:w="5" w:type="pct"/>
            <w:vAlign w:val="center"/>
            <w:hideMark/>
          </w:tcPr>
          <w:p w14:paraId="520FB64A" w14:textId="77777777" w:rsidR="00000000" w:rsidRDefault="000A3118">
            <w:pPr>
              <w:rPr>
                <w:rFonts w:eastAsia="Times New Roman"/>
                <w:sz w:val="20"/>
                <w:szCs w:val="20"/>
              </w:rPr>
            </w:pPr>
          </w:p>
        </w:tc>
        <w:tc>
          <w:tcPr>
            <w:tcW w:w="5" w:type="pct"/>
            <w:vAlign w:val="center"/>
            <w:hideMark/>
          </w:tcPr>
          <w:p w14:paraId="3FD10C06" w14:textId="77777777" w:rsidR="00000000" w:rsidRDefault="000A3118">
            <w:pPr>
              <w:rPr>
                <w:rFonts w:eastAsia="Times New Roman"/>
                <w:sz w:val="20"/>
                <w:szCs w:val="20"/>
              </w:rPr>
            </w:pPr>
          </w:p>
        </w:tc>
        <w:tc>
          <w:tcPr>
            <w:tcW w:w="26" w:type="pct"/>
            <w:vAlign w:val="center"/>
            <w:hideMark/>
          </w:tcPr>
          <w:p w14:paraId="51C72589" w14:textId="77777777" w:rsidR="00000000" w:rsidRDefault="000A3118">
            <w:pPr>
              <w:rPr>
                <w:rFonts w:eastAsia="Times New Roman"/>
                <w:sz w:val="20"/>
                <w:szCs w:val="20"/>
              </w:rPr>
            </w:pPr>
          </w:p>
        </w:tc>
        <w:tc>
          <w:tcPr>
            <w:tcW w:w="5" w:type="pct"/>
            <w:vAlign w:val="center"/>
            <w:hideMark/>
          </w:tcPr>
          <w:p w14:paraId="5FF7CD10" w14:textId="77777777" w:rsidR="00000000" w:rsidRDefault="000A3118">
            <w:pPr>
              <w:rPr>
                <w:rFonts w:eastAsia="Times New Roman"/>
                <w:sz w:val="20"/>
                <w:szCs w:val="20"/>
              </w:rPr>
            </w:pPr>
          </w:p>
        </w:tc>
        <w:tc>
          <w:tcPr>
            <w:tcW w:w="50" w:type="pct"/>
            <w:vAlign w:val="center"/>
            <w:hideMark/>
          </w:tcPr>
          <w:p w14:paraId="4082C5EA" w14:textId="77777777" w:rsidR="00000000" w:rsidRDefault="000A3118">
            <w:pPr>
              <w:rPr>
                <w:rFonts w:eastAsia="Times New Roman"/>
                <w:sz w:val="20"/>
                <w:szCs w:val="20"/>
              </w:rPr>
            </w:pPr>
          </w:p>
        </w:tc>
        <w:tc>
          <w:tcPr>
            <w:tcW w:w="598" w:type="pct"/>
            <w:vAlign w:val="center"/>
            <w:hideMark/>
          </w:tcPr>
          <w:p w14:paraId="73EF7972" w14:textId="77777777" w:rsidR="00000000" w:rsidRDefault="000A3118">
            <w:pPr>
              <w:rPr>
                <w:rFonts w:eastAsia="Times New Roman"/>
                <w:sz w:val="20"/>
                <w:szCs w:val="20"/>
              </w:rPr>
            </w:pPr>
          </w:p>
        </w:tc>
        <w:tc>
          <w:tcPr>
            <w:tcW w:w="5" w:type="pct"/>
            <w:vAlign w:val="center"/>
            <w:hideMark/>
          </w:tcPr>
          <w:p w14:paraId="451309A4" w14:textId="77777777" w:rsidR="00000000" w:rsidRDefault="000A3118">
            <w:pPr>
              <w:rPr>
                <w:rFonts w:eastAsia="Times New Roman"/>
                <w:sz w:val="20"/>
                <w:szCs w:val="20"/>
              </w:rPr>
            </w:pPr>
          </w:p>
        </w:tc>
        <w:tc>
          <w:tcPr>
            <w:tcW w:w="5" w:type="pct"/>
            <w:vAlign w:val="center"/>
            <w:hideMark/>
          </w:tcPr>
          <w:p w14:paraId="0665C2E8" w14:textId="77777777" w:rsidR="00000000" w:rsidRDefault="000A3118">
            <w:pPr>
              <w:rPr>
                <w:rFonts w:eastAsia="Times New Roman"/>
                <w:sz w:val="20"/>
                <w:szCs w:val="20"/>
              </w:rPr>
            </w:pPr>
          </w:p>
        </w:tc>
        <w:tc>
          <w:tcPr>
            <w:tcW w:w="26" w:type="pct"/>
            <w:vAlign w:val="center"/>
            <w:hideMark/>
          </w:tcPr>
          <w:p w14:paraId="08F2E818" w14:textId="77777777" w:rsidR="00000000" w:rsidRDefault="000A3118">
            <w:pPr>
              <w:rPr>
                <w:rFonts w:eastAsia="Times New Roman"/>
                <w:sz w:val="20"/>
                <w:szCs w:val="20"/>
              </w:rPr>
            </w:pPr>
          </w:p>
        </w:tc>
        <w:tc>
          <w:tcPr>
            <w:tcW w:w="5" w:type="pct"/>
            <w:vAlign w:val="center"/>
            <w:hideMark/>
          </w:tcPr>
          <w:p w14:paraId="69BEA1D4" w14:textId="77777777" w:rsidR="00000000" w:rsidRDefault="000A3118">
            <w:pPr>
              <w:rPr>
                <w:rFonts w:eastAsia="Times New Roman"/>
                <w:sz w:val="20"/>
                <w:szCs w:val="20"/>
              </w:rPr>
            </w:pPr>
          </w:p>
        </w:tc>
        <w:tc>
          <w:tcPr>
            <w:tcW w:w="50" w:type="pct"/>
            <w:vAlign w:val="center"/>
            <w:hideMark/>
          </w:tcPr>
          <w:p w14:paraId="51533C4C" w14:textId="77777777" w:rsidR="00000000" w:rsidRDefault="000A3118">
            <w:pPr>
              <w:rPr>
                <w:rFonts w:eastAsia="Times New Roman"/>
                <w:sz w:val="20"/>
                <w:szCs w:val="20"/>
              </w:rPr>
            </w:pPr>
          </w:p>
        </w:tc>
        <w:tc>
          <w:tcPr>
            <w:tcW w:w="598" w:type="pct"/>
            <w:vAlign w:val="center"/>
            <w:hideMark/>
          </w:tcPr>
          <w:p w14:paraId="013D1A3D" w14:textId="77777777" w:rsidR="00000000" w:rsidRDefault="000A3118">
            <w:pPr>
              <w:rPr>
                <w:rFonts w:eastAsia="Times New Roman"/>
                <w:sz w:val="20"/>
                <w:szCs w:val="20"/>
              </w:rPr>
            </w:pPr>
          </w:p>
        </w:tc>
        <w:tc>
          <w:tcPr>
            <w:tcW w:w="5" w:type="pct"/>
            <w:vAlign w:val="center"/>
            <w:hideMark/>
          </w:tcPr>
          <w:p w14:paraId="2024357C" w14:textId="77777777" w:rsidR="00000000" w:rsidRDefault="000A3118">
            <w:pPr>
              <w:rPr>
                <w:rFonts w:eastAsia="Times New Roman"/>
                <w:sz w:val="20"/>
                <w:szCs w:val="20"/>
              </w:rPr>
            </w:pPr>
          </w:p>
        </w:tc>
        <w:tc>
          <w:tcPr>
            <w:tcW w:w="0" w:type="auto"/>
            <w:gridSpan w:val="3"/>
            <w:vAlign w:val="center"/>
            <w:hideMark/>
          </w:tcPr>
          <w:p w14:paraId="282486AE" w14:textId="77777777" w:rsidR="00000000" w:rsidRDefault="000A3118">
            <w:pPr>
              <w:rPr>
                <w:rFonts w:eastAsia="Times New Roman"/>
                <w:sz w:val="20"/>
                <w:szCs w:val="20"/>
              </w:rPr>
            </w:pPr>
          </w:p>
        </w:tc>
      </w:tr>
      <w:tr w:rsidR="00000000" w14:paraId="2FE3BE10" w14:textId="77777777">
        <w:trPr>
          <w:divId w:val="693581917"/>
          <w:jc w:val="center"/>
        </w:trPr>
        <w:tc>
          <w:tcPr>
            <w:tcW w:w="0" w:type="auto"/>
            <w:gridSpan w:val="3"/>
            <w:tcMar>
              <w:top w:w="30" w:type="dxa"/>
              <w:left w:w="20" w:type="dxa"/>
              <w:bottom w:w="30" w:type="dxa"/>
              <w:right w:w="20" w:type="dxa"/>
            </w:tcMar>
            <w:hideMark/>
          </w:tcPr>
          <w:p w14:paraId="304BF964" w14:textId="77777777" w:rsidR="00000000" w:rsidRDefault="000A3118">
            <w:pPr>
              <w:rPr>
                <w:rFonts w:eastAsia="Times New Roman"/>
              </w:rPr>
            </w:pPr>
            <w:r>
              <w:rPr>
                <w:rFonts w:eastAsia="Times New Roman"/>
                <w:b/>
                <w:bCs/>
                <w:color w:val="000000"/>
                <w:sz w:val="16"/>
                <w:szCs w:val="16"/>
              </w:rPr>
              <w:t>Amount of Realized and Unrealized Gain (Loss)</w:t>
            </w:r>
          </w:p>
        </w:tc>
        <w:tc>
          <w:tcPr>
            <w:tcW w:w="0" w:type="auto"/>
            <w:gridSpan w:val="3"/>
            <w:tcMar>
              <w:top w:w="0" w:type="dxa"/>
              <w:left w:w="20" w:type="dxa"/>
              <w:bottom w:w="0" w:type="dxa"/>
              <w:right w:w="20" w:type="dxa"/>
            </w:tcMar>
            <w:vAlign w:val="center"/>
            <w:hideMark/>
          </w:tcPr>
          <w:p w14:paraId="6DAB31BA"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5B9F9E33" w14:textId="77777777" w:rsidR="00000000" w:rsidRDefault="000A3118">
            <w:pPr>
              <w:rPr>
                <w:rFonts w:eastAsia="Times New Roman"/>
                <w:sz w:val="20"/>
                <w:szCs w:val="20"/>
              </w:rPr>
            </w:pPr>
          </w:p>
        </w:tc>
        <w:tc>
          <w:tcPr>
            <w:tcW w:w="0" w:type="auto"/>
            <w:gridSpan w:val="12"/>
            <w:tcMar>
              <w:top w:w="30" w:type="dxa"/>
              <w:left w:w="20" w:type="dxa"/>
              <w:bottom w:w="30" w:type="dxa"/>
              <w:right w:w="20" w:type="dxa"/>
            </w:tcMar>
            <w:hideMark/>
          </w:tcPr>
          <w:p w14:paraId="1584E2DF" w14:textId="77777777" w:rsidR="00000000" w:rsidRDefault="000A3118">
            <w:pPr>
              <w:jc w:val="center"/>
              <w:rPr>
                <w:rFonts w:eastAsia="Times New Roman"/>
              </w:rPr>
            </w:pPr>
            <w:r>
              <w:rPr>
                <w:rFonts w:eastAsia="Times New Roman"/>
                <w:b/>
                <w:bCs/>
                <w:color w:val="000000"/>
                <w:sz w:val="16"/>
                <w:szCs w:val="16"/>
              </w:rPr>
              <w:t>For the Three Months Ended</w:t>
            </w:r>
          </w:p>
        </w:tc>
        <w:tc>
          <w:tcPr>
            <w:tcW w:w="0" w:type="auto"/>
            <w:vAlign w:val="center"/>
            <w:hideMark/>
          </w:tcPr>
          <w:p w14:paraId="26003E69" w14:textId="77777777" w:rsidR="00000000" w:rsidRDefault="000A3118">
            <w:pPr>
              <w:rPr>
                <w:rFonts w:eastAsia="Times New Roman"/>
                <w:sz w:val="20"/>
                <w:szCs w:val="20"/>
              </w:rPr>
            </w:pPr>
          </w:p>
        </w:tc>
        <w:tc>
          <w:tcPr>
            <w:tcW w:w="0" w:type="auto"/>
            <w:vAlign w:val="center"/>
            <w:hideMark/>
          </w:tcPr>
          <w:p w14:paraId="7266FADD" w14:textId="77777777" w:rsidR="00000000" w:rsidRDefault="000A3118">
            <w:pPr>
              <w:rPr>
                <w:rFonts w:eastAsia="Times New Roman"/>
                <w:sz w:val="20"/>
                <w:szCs w:val="20"/>
              </w:rPr>
            </w:pPr>
          </w:p>
        </w:tc>
        <w:tc>
          <w:tcPr>
            <w:tcW w:w="0" w:type="auto"/>
            <w:vAlign w:val="center"/>
            <w:hideMark/>
          </w:tcPr>
          <w:p w14:paraId="73B2DD61" w14:textId="77777777" w:rsidR="00000000" w:rsidRDefault="000A3118">
            <w:pPr>
              <w:rPr>
                <w:rFonts w:eastAsia="Times New Roman"/>
                <w:sz w:val="20"/>
                <w:szCs w:val="20"/>
              </w:rPr>
            </w:pPr>
          </w:p>
        </w:tc>
      </w:tr>
      <w:tr w:rsidR="00000000" w14:paraId="2181349E" w14:textId="77777777">
        <w:trPr>
          <w:divId w:val="693581917"/>
          <w:jc w:val="center"/>
        </w:trPr>
        <w:tc>
          <w:tcPr>
            <w:tcW w:w="0" w:type="auto"/>
            <w:gridSpan w:val="3"/>
            <w:tcMar>
              <w:top w:w="0" w:type="dxa"/>
              <w:left w:w="20" w:type="dxa"/>
              <w:bottom w:w="0" w:type="dxa"/>
              <w:right w:w="20" w:type="dxa"/>
            </w:tcMar>
            <w:vAlign w:val="center"/>
            <w:hideMark/>
          </w:tcPr>
          <w:p w14:paraId="4EFF2DF9"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2E939235"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6E5CD28B"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7A060FC9"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hideMark/>
          </w:tcPr>
          <w:p w14:paraId="5598846F"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vAlign w:val="center"/>
            <w:hideMark/>
          </w:tcPr>
          <w:p w14:paraId="571D7E40" w14:textId="77777777" w:rsidR="00000000" w:rsidRDefault="000A3118">
            <w:pPr>
              <w:jc w:val="center"/>
              <w:rPr>
                <w:rFonts w:eastAsia="Times New Roman"/>
              </w:rPr>
            </w:pPr>
          </w:p>
        </w:tc>
      </w:tr>
      <w:tr w:rsidR="00000000" w14:paraId="7F1535F4" w14:textId="77777777">
        <w:trPr>
          <w:divId w:val="693581917"/>
          <w:jc w:val="center"/>
        </w:trPr>
        <w:tc>
          <w:tcPr>
            <w:tcW w:w="0" w:type="auto"/>
            <w:gridSpan w:val="3"/>
            <w:tcBorders>
              <w:top w:val="single" w:sz="8" w:space="0" w:color="000000"/>
            </w:tcBorders>
            <w:tcMar>
              <w:top w:w="30" w:type="dxa"/>
              <w:left w:w="20" w:type="dxa"/>
              <w:bottom w:w="30" w:type="dxa"/>
              <w:right w:w="20" w:type="dxa"/>
            </w:tcMar>
            <w:hideMark/>
          </w:tcPr>
          <w:p w14:paraId="74CC634B" w14:textId="77777777" w:rsidR="00000000" w:rsidRDefault="000A3118">
            <w:pPr>
              <w:rPr>
                <w:rFonts w:eastAsia="Times New Roman"/>
              </w:rPr>
            </w:pPr>
            <w:r>
              <w:rPr>
                <w:rFonts w:eastAsia="Times New Roman"/>
                <w:b/>
                <w:bCs/>
                <w:color w:val="000000"/>
                <w:sz w:val="16"/>
                <w:szCs w:val="16"/>
              </w:rPr>
              <w:t>Derivative Instruments - Non-designated</w:t>
            </w:r>
          </w:p>
        </w:tc>
        <w:tc>
          <w:tcPr>
            <w:tcW w:w="0" w:type="auto"/>
            <w:gridSpan w:val="3"/>
            <w:tcBorders>
              <w:top w:val="single" w:sz="8" w:space="0" w:color="000000"/>
            </w:tcBorders>
            <w:tcMar>
              <w:top w:w="0" w:type="dxa"/>
              <w:left w:w="20" w:type="dxa"/>
              <w:bottom w:w="0" w:type="dxa"/>
              <w:right w:w="20" w:type="dxa"/>
            </w:tcMar>
            <w:vAlign w:val="center"/>
            <w:hideMark/>
          </w:tcPr>
          <w:p w14:paraId="600A228A" w14:textId="77777777" w:rsidR="00000000" w:rsidRDefault="000A311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FDBF05B" w14:textId="77777777" w:rsidR="00000000" w:rsidRDefault="000A3118">
            <w:pPr>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14:paraId="33A0C64D" w14:textId="77777777" w:rsidR="00000000" w:rsidRDefault="000A311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39E43989"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3801424"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391549C"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vAlign w:val="center"/>
            <w:hideMark/>
          </w:tcPr>
          <w:p w14:paraId="5967D2F7" w14:textId="77777777" w:rsidR="00000000" w:rsidRDefault="000A3118">
            <w:pPr>
              <w:jc w:val="center"/>
              <w:rPr>
                <w:rFonts w:eastAsia="Times New Roman"/>
              </w:rPr>
            </w:pPr>
          </w:p>
        </w:tc>
      </w:tr>
      <w:tr w:rsidR="00000000" w14:paraId="23C4CC3F" w14:textId="77777777">
        <w:trPr>
          <w:divId w:val="693581917"/>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6BC3C4E1" w14:textId="77777777" w:rsidR="00000000" w:rsidRDefault="000A3118">
            <w:pPr>
              <w:rPr>
                <w:rFonts w:eastAsia="Times New Roman"/>
              </w:rPr>
            </w:pPr>
            <w:r>
              <w:rPr>
                <w:rFonts w:eastAsia="Times New Roman"/>
                <w:color w:val="000000"/>
                <w:sz w:val="16"/>
                <w:szCs w:val="16"/>
              </w:rPr>
              <w:t>Commodity contracts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64D3AA"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18F833"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F69565"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CE0780"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02A21A"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1188CC" w14:textId="77777777" w:rsidR="00000000" w:rsidRDefault="000A3118">
            <w:pPr>
              <w:rPr>
                <w:rFonts w:eastAsia="Times New Roman"/>
                <w:sz w:val="20"/>
                <w:szCs w:val="20"/>
              </w:rPr>
            </w:pPr>
          </w:p>
        </w:tc>
        <w:tc>
          <w:tcPr>
            <w:tcW w:w="0" w:type="auto"/>
            <w:gridSpan w:val="3"/>
            <w:vAlign w:val="center"/>
            <w:hideMark/>
          </w:tcPr>
          <w:p w14:paraId="27B9F3A5" w14:textId="77777777" w:rsidR="00000000" w:rsidRDefault="000A3118">
            <w:pPr>
              <w:rPr>
                <w:rFonts w:eastAsia="Times New Roman"/>
                <w:sz w:val="20"/>
                <w:szCs w:val="20"/>
              </w:rPr>
            </w:pPr>
          </w:p>
        </w:tc>
      </w:tr>
      <w:tr w:rsidR="00000000" w14:paraId="73BD4ABC" w14:textId="77777777">
        <w:trPr>
          <w:divId w:val="693581917"/>
          <w:jc w:val="center"/>
        </w:trPr>
        <w:tc>
          <w:tcPr>
            <w:tcW w:w="0" w:type="auto"/>
            <w:gridSpan w:val="3"/>
            <w:shd w:val="clear" w:color="auto" w:fill="FFFFFF"/>
            <w:tcMar>
              <w:top w:w="0" w:type="dxa"/>
              <w:left w:w="20" w:type="dxa"/>
              <w:bottom w:w="0" w:type="dxa"/>
              <w:right w:w="20" w:type="dxa"/>
            </w:tcMar>
            <w:vAlign w:val="center"/>
            <w:hideMark/>
          </w:tcPr>
          <w:p w14:paraId="4FDC556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C5BD1E" w14:textId="77777777" w:rsidR="00000000" w:rsidRDefault="000A3118">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06F4FA2C" w14:textId="77777777" w:rsidR="00000000" w:rsidRDefault="000A3118">
            <w:pPr>
              <w:rPr>
                <w:rFonts w:eastAsia="Times New Roman"/>
              </w:rPr>
            </w:pPr>
            <w:r>
              <w:rPr>
                <w:rFonts w:eastAsia="Times New Roman"/>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14:paraId="7F2E2E64" w14:textId="77777777" w:rsidR="00000000" w:rsidRDefault="000A3118">
            <w:pPr>
              <w:rPr>
                <w:rFonts w:eastAsia="Times New Roman"/>
              </w:rPr>
            </w:pPr>
          </w:p>
        </w:tc>
        <w:tc>
          <w:tcPr>
            <w:tcW w:w="0" w:type="auto"/>
            <w:shd w:val="clear" w:color="auto" w:fill="FFFFFF"/>
            <w:tcMar>
              <w:top w:w="30" w:type="dxa"/>
              <w:left w:w="20" w:type="dxa"/>
              <w:bottom w:w="30" w:type="dxa"/>
              <w:right w:w="0" w:type="dxa"/>
            </w:tcMar>
            <w:hideMark/>
          </w:tcPr>
          <w:p w14:paraId="29B6AC50"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5FFD47CF" w14:textId="77777777" w:rsidR="00000000" w:rsidRDefault="000A3118">
            <w:pPr>
              <w:jc w:val="right"/>
              <w:rPr>
                <w:rFonts w:eastAsia="Times New Roman"/>
              </w:rPr>
            </w:pPr>
            <w:r>
              <w:rPr>
                <w:rFonts w:eastAsia="Times New Roman"/>
                <w:color w:val="000000"/>
                <w:sz w:val="16"/>
                <w:szCs w:val="16"/>
              </w:rPr>
              <w:t>44.3 </w:t>
            </w:r>
          </w:p>
        </w:tc>
        <w:tc>
          <w:tcPr>
            <w:tcW w:w="0" w:type="auto"/>
            <w:shd w:val="clear" w:color="auto" w:fill="FFFFFF"/>
            <w:tcMar>
              <w:top w:w="30" w:type="dxa"/>
              <w:left w:w="0" w:type="dxa"/>
              <w:bottom w:w="30" w:type="dxa"/>
              <w:right w:w="20" w:type="dxa"/>
            </w:tcMar>
            <w:hideMark/>
          </w:tcPr>
          <w:p w14:paraId="12B8CCB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92F76D"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5F2AF41A"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0DE36BAE" w14:textId="77777777" w:rsidR="00000000" w:rsidRDefault="000A3118">
            <w:pPr>
              <w:jc w:val="right"/>
              <w:rPr>
                <w:rFonts w:eastAsia="Times New Roman"/>
              </w:rPr>
            </w:pPr>
            <w:r>
              <w:rPr>
                <w:rFonts w:eastAsia="Times New Roman"/>
                <w:color w:val="000000"/>
                <w:sz w:val="16"/>
                <w:szCs w:val="16"/>
              </w:rPr>
              <w:t>39.7 </w:t>
            </w:r>
          </w:p>
        </w:tc>
        <w:tc>
          <w:tcPr>
            <w:tcW w:w="0" w:type="auto"/>
            <w:shd w:val="clear" w:color="auto" w:fill="FFFFFF"/>
            <w:tcMar>
              <w:top w:w="30" w:type="dxa"/>
              <w:left w:w="0" w:type="dxa"/>
              <w:bottom w:w="30" w:type="dxa"/>
              <w:right w:w="20" w:type="dxa"/>
            </w:tcMar>
            <w:hideMark/>
          </w:tcPr>
          <w:p w14:paraId="68A6AAB4" w14:textId="77777777" w:rsidR="00000000" w:rsidRDefault="000A3118">
            <w:pPr>
              <w:jc w:val="right"/>
              <w:rPr>
                <w:rFonts w:eastAsia="Times New Roman"/>
              </w:rPr>
            </w:pPr>
          </w:p>
        </w:tc>
        <w:tc>
          <w:tcPr>
            <w:tcW w:w="0" w:type="auto"/>
            <w:gridSpan w:val="3"/>
            <w:vAlign w:val="center"/>
            <w:hideMark/>
          </w:tcPr>
          <w:p w14:paraId="5CEFB9F1" w14:textId="77777777" w:rsidR="00000000" w:rsidRDefault="000A3118">
            <w:pPr>
              <w:jc w:val="right"/>
              <w:rPr>
                <w:rFonts w:eastAsia="Times New Roman"/>
                <w:sz w:val="20"/>
                <w:szCs w:val="20"/>
              </w:rPr>
            </w:pPr>
          </w:p>
        </w:tc>
      </w:tr>
      <w:tr w:rsidR="00000000" w14:paraId="238885AB" w14:textId="77777777">
        <w:trPr>
          <w:divId w:val="693581917"/>
          <w:jc w:val="center"/>
        </w:trPr>
        <w:tc>
          <w:tcPr>
            <w:tcW w:w="0" w:type="auto"/>
            <w:gridSpan w:val="3"/>
            <w:shd w:val="clear" w:color="auto" w:fill="CCEEFF"/>
            <w:tcMar>
              <w:top w:w="0" w:type="dxa"/>
              <w:left w:w="20" w:type="dxa"/>
              <w:bottom w:w="0" w:type="dxa"/>
              <w:right w:w="20" w:type="dxa"/>
            </w:tcMar>
            <w:vAlign w:val="center"/>
            <w:hideMark/>
          </w:tcPr>
          <w:p w14:paraId="3FE8F5A0"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23C12E" w14:textId="77777777" w:rsidR="00000000" w:rsidRDefault="000A3118">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61B6FB8B" w14:textId="77777777" w:rsidR="00000000" w:rsidRDefault="000A3118">
            <w:pPr>
              <w:rPr>
                <w:rFonts w:eastAsia="Times New Roman"/>
              </w:rPr>
            </w:pPr>
            <w:r>
              <w:rPr>
                <w:rFonts w:eastAsia="Times New Roman"/>
                <w:color w:val="000000"/>
                <w:sz w:val="16"/>
                <w:szCs w:val="16"/>
              </w:rPr>
              <w:t>Cost of revenue</w:t>
            </w:r>
          </w:p>
        </w:tc>
        <w:tc>
          <w:tcPr>
            <w:tcW w:w="0" w:type="auto"/>
            <w:gridSpan w:val="3"/>
            <w:shd w:val="clear" w:color="auto" w:fill="CCEEFF"/>
            <w:tcMar>
              <w:top w:w="0" w:type="dxa"/>
              <w:left w:w="20" w:type="dxa"/>
              <w:bottom w:w="0" w:type="dxa"/>
              <w:right w:w="20" w:type="dxa"/>
            </w:tcMar>
            <w:vAlign w:val="center"/>
            <w:hideMark/>
          </w:tcPr>
          <w:p w14:paraId="43DCEAAC"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0D23A6E6" w14:textId="77777777" w:rsidR="00000000" w:rsidRDefault="000A3118">
            <w:pPr>
              <w:jc w:val="right"/>
              <w:rPr>
                <w:rFonts w:eastAsia="Times New Roman"/>
              </w:rPr>
            </w:pPr>
            <w:r>
              <w:rPr>
                <w:rFonts w:eastAsia="Times New Roman"/>
                <w:color w:val="000000"/>
                <w:sz w:val="16"/>
                <w:szCs w:val="16"/>
              </w:rPr>
              <w:t>(27.7)</w:t>
            </w:r>
          </w:p>
        </w:tc>
        <w:tc>
          <w:tcPr>
            <w:tcW w:w="0" w:type="auto"/>
            <w:shd w:val="clear" w:color="auto" w:fill="CCEEFF"/>
            <w:tcMar>
              <w:top w:w="30" w:type="dxa"/>
              <w:left w:w="0" w:type="dxa"/>
              <w:bottom w:w="30" w:type="dxa"/>
              <w:right w:w="20" w:type="dxa"/>
            </w:tcMar>
            <w:hideMark/>
          </w:tcPr>
          <w:p w14:paraId="2BC673F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A825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6485B97" w14:textId="77777777" w:rsidR="00000000" w:rsidRDefault="000A3118">
            <w:pPr>
              <w:jc w:val="right"/>
              <w:rPr>
                <w:rFonts w:eastAsia="Times New Roman"/>
              </w:rPr>
            </w:pPr>
            <w:r>
              <w:rPr>
                <w:rFonts w:eastAsia="Times New Roman"/>
                <w:color w:val="000000"/>
                <w:sz w:val="16"/>
                <w:szCs w:val="16"/>
              </w:rPr>
              <w:t>(25.4)</w:t>
            </w:r>
          </w:p>
        </w:tc>
        <w:tc>
          <w:tcPr>
            <w:tcW w:w="0" w:type="auto"/>
            <w:shd w:val="clear" w:color="auto" w:fill="CCEEFF"/>
            <w:tcMar>
              <w:top w:w="30" w:type="dxa"/>
              <w:left w:w="0" w:type="dxa"/>
              <w:bottom w:w="30" w:type="dxa"/>
              <w:right w:w="20" w:type="dxa"/>
            </w:tcMar>
            <w:hideMark/>
          </w:tcPr>
          <w:p w14:paraId="00EE8B0C" w14:textId="77777777" w:rsidR="00000000" w:rsidRDefault="000A3118">
            <w:pPr>
              <w:jc w:val="right"/>
              <w:rPr>
                <w:rFonts w:eastAsia="Times New Roman"/>
              </w:rPr>
            </w:pPr>
          </w:p>
        </w:tc>
        <w:tc>
          <w:tcPr>
            <w:tcW w:w="0" w:type="auto"/>
            <w:gridSpan w:val="3"/>
            <w:vAlign w:val="center"/>
            <w:hideMark/>
          </w:tcPr>
          <w:p w14:paraId="5A590102" w14:textId="77777777" w:rsidR="00000000" w:rsidRDefault="000A3118">
            <w:pPr>
              <w:jc w:val="right"/>
              <w:rPr>
                <w:rFonts w:eastAsia="Times New Roman"/>
                <w:sz w:val="20"/>
                <w:szCs w:val="20"/>
              </w:rPr>
            </w:pPr>
          </w:p>
        </w:tc>
      </w:tr>
      <w:tr w:rsidR="00000000" w14:paraId="127EA122" w14:textId="77777777">
        <w:trPr>
          <w:divId w:val="693581917"/>
          <w:jc w:val="center"/>
        </w:trPr>
        <w:tc>
          <w:tcPr>
            <w:tcW w:w="0" w:type="auto"/>
            <w:gridSpan w:val="3"/>
            <w:shd w:val="clear" w:color="auto" w:fill="FFFFFF"/>
            <w:tcMar>
              <w:top w:w="0" w:type="dxa"/>
              <w:left w:w="20" w:type="dxa"/>
              <w:bottom w:w="0" w:type="dxa"/>
              <w:right w:w="20" w:type="dxa"/>
            </w:tcMar>
            <w:vAlign w:val="center"/>
            <w:hideMark/>
          </w:tcPr>
          <w:p w14:paraId="477CAB31"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C047E0"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922462"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8A8C6F" w14:textId="77777777" w:rsidR="00000000" w:rsidRDefault="000A3118">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223A4715" w14:textId="77777777" w:rsidR="00000000" w:rsidRDefault="000A3118">
            <w:pPr>
              <w:jc w:val="right"/>
              <w:rPr>
                <w:rFonts w:eastAsia="Times New Roman"/>
              </w:rPr>
            </w:pPr>
            <w:r>
              <w:rPr>
                <w:rFonts w:eastAsia="Times New Roman"/>
                <w:color w:val="000000"/>
                <w:sz w:val="16"/>
                <w:szCs w:val="16"/>
              </w:rPr>
              <w:t>16.7 </w:t>
            </w:r>
          </w:p>
        </w:tc>
        <w:tc>
          <w:tcPr>
            <w:tcW w:w="0" w:type="auto"/>
            <w:tcBorders>
              <w:top w:val="single" w:sz="8" w:space="0" w:color="000000"/>
            </w:tcBorders>
            <w:shd w:val="clear" w:color="auto" w:fill="FFFFFF"/>
            <w:tcMar>
              <w:top w:w="30" w:type="dxa"/>
              <w:left w:w="0" w:type="dxa"/>
              <w:bottom w:w="30" w:type="dxa"/>
              <w:right w:w="20" w:type="dxa"/>
            </w:tcMar>
            <w:hideMark/>
          </w:tcPr>
          <w:p w14:paraId="30C5B26B"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5A78C8"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48D85631" w14:textId="77777777" w:rsidR="00000000" w:rsidRDefault="000A3118">
            <w:pPr>
              <w:jc w:val="right"/>
              <w:rPr>
                <w:rFonts w:eastAsia="Times New Roman"/>
              </w:rPr>
            </w:pPr>
            <w:r>
              <w:rPr>
                <w:rFonts w:eastAsia="Times New Roman"/>
                <w:color w:val="000000"/>
                <w:sz w:val="16"/>
                <w:szCs w:val="16"/>
              </w:rPr>
              <w:t>14.3 </w:t>
            </w:r>
          </w:p>
        </w:tc>
        <w:tc>
          <w:tcPr>
            <w:tcW w:w="0" w:type="auto"/>
            <w:tcBorders>
              <w:top w:val="single" w:sz="8" w:space="0" w:color="000000"/>
            </w:tcBorders>
            <w:shd w:val="clear" w:color="auto" w:fill="FFFFFF"/>
            <w:tcMar>
              <w:top w:w="30" w:type="dxa"/>
              <w:left w:w="0" w:type="dxa"/>
              <w:bottom w:w="30" w:type="dxa"/>
              <w:right w:w="20" w:type="dxa"/>
            </w:tcMar>
            <w:hideMark/>
          </w:tcPr>
          <w:p w14:paraId="2E6F5EDB" w14:textId="77777777" w:rsidR="00000000" w:rsidRDefault="000A3118">
            <w:pPr>
              <w:jc w:val="right"/>
              <w:rPr>
                <w:rFonts w:eastAsia="Times New Roman"/>
              </w:rPr>
            </w:pPr>
          </w:p>
        </w:tc>
        <w:tc>
          <w:tcPr>
            <w:tcW w:w="0" w:type="auto"/>
            <w:gridSpan w:val="3"/>
            <w:vAlign w:val="center"/>
            <w:hideMark/>
          </w:tcPr>
          <w:p w14:paraId="0196D539" w14:textId="77777777" w:rsidR="00000000" w:rsidRDefault="000A3118">
            <w:pPr>
              <w:jc w:val="right"/>
              <w:rPr>
                <w:rFonts w:eastAsia="Times New Roman"/>
                <w:sz w:val="20"/>
                <w:szCs w:val="20"/>
              </w:rPr>
            </w:pPr>
          </w:p>
        </w:tc>
      </w:tr>
      <w:tr w:rsidR="00000000" w14:paraId="57C0C93A" w14:textId="77777777">
        <w:trPr>
          <w:divId w:val="693581917"/>
          <w:jc w:val="center"/>
        </w:trPr>
        <w:tc>
          <w:tcPr>
            <w:tcW w:w="0" w:type="auto"/>
            <w:gridSpan w:val="3"/>
            <w:shd w:val="clear" w:color="auto" w:fill="CCEEFF"/>
            <w:tcMar>
              <w:top w:w="30" w:type="dxa"/>
              <w:left w:w="20" w:type="dxa"/>
              <w:bottom w:w="30" w:type="dxa"/>
              <w:right w:w="20" w:type="dxa"/>
            </w:tcMar>
            <w:hideMark/>
          </w:tcPr>
          <w:p w14:paraId="1EF85C63" w14:textId="77777777" w:rsidR="00000000" w:rsidRDefault="000A3118">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14:paraId="38FD0870" w14:textId="77777777" w:rsidR="00000000" w:rsidRDefault="000A3118">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970F0"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AE8AD7"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114A46"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5B360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35434C" w14:textId="77777777" w:rsidR="00000000" w:rsidRDefault="000A3118">
            <w:pPr>
              <w:rPr>
                <w:rFonts w:eastAsia="Times New Roman"/>
                <w:sz w:val="20"/>
                <w:szCs w:val="20"/>
              </w:rPr>
            </w:pPr>
          </w:p>
        </w:tc>
        <w:tc>
          <w:tcPr>
            <w:tcW w:w="0" w:type="auto"/>
            <w:gridSpan w:val="3"/>
            <w:vAlign w:val="center"/>
            <w:hideMark/>
          </w:tcPr>
          <w:p w14:paraId="3163ABC1" w14:textId="77777777" w:rsidR="00000000" w:rsidRDefault="000A3118">
            <w:pPr>
              <w:rPr>
                <w:rFonts w:eastAsia="Times New Roman"/>
                <w:sz w:val="20"/>
                <w:szCs w:val="20"/>
              </w:rPr>
            </w:pPr>
          </w:p>
        </w:tc>
      </w:tr>
      <w:tr w:rsidR="00000000" w14:paraId="290F5FA2" w14:textId="77777777">
        <w:trPr>
          <w:divId w:val="693581917"/>
          <w:jc w:val="center"/>
        </w:trPr>
        <w:tc>
          <w:tcPr>
            <w:tcW w:w="0" w:type="auto"/>
            <w:gridSpan w:val="3"/>
            <w:shd w:val="clear" w:color="auto" w:fill="FFFFFF"/>
            <w:tcMar>
              <w:top w:w="0" w:type="dxa"/>
              <w:left w:w="20" w:type="dxa"/>
              <w:bottom w:w="0" w:type="dxa"/>
              <w:right w:w="20" w:type="dxa"/>
            </w:tcMar>
            <w:vAlign w:val="center"/>
            <w:hideMark/>
          </w:tcPr>
          <w:p w14:paraId="19F4A62A"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9768E8" w14:textId="77777777" w:rsidR="00000000" w:rsidRDefault="000A3118">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20A06958" w14:textId="77777777" w:rsidR="00000000" w:rsidRDefault="000A3118">
            <w:pPr>
              <w:rPr>
                <w:rFonts w:eastAsia="Times New Roman"/>
              </w:rPr>
            </w:pPr>
            <w:r>
              <w:rPr>
                <w:rFonts w:eastAsia="Times New Roman"/>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14:paraId="44F61F5F"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hideMark/>
          </w:tcPr>
          <w:p w14:paraId="311E6783" w14:textId="77777777" w:rsidR="00000000" w:rsidRDefault="000A3118">
            <w:pPr>
              <w:jc w:val="right"/>
              <w:rPr>
                <w:rFonts w:eastAsia="Times New Roman"/>
              </w:rPr>
            </w:pPr>
            <w:r>
              <w:rPr>
                <w:rFonts w:eastAsia="Times New Roman"/>
                <w:color w:val="000000"/>
                <w:sz w:val="16"/>
                <w:szCs w:val="16"/>
              </w:rPr>
              <w:t>(1.7)</w:t>
            </w:r>
          </w:p>
        </w:tc>
        <w:tc>
          <w:tcPr>
            <w:tcW w:w="0" w:type="auto"/>
            <w:shd w:val="clear" w:color="auto" w:fill="FFFFFF"/>
            <w:tcMar>
              <w:top w:w="30" w:type="dxa"/>
              <w:left w:w="0" w:type="dxa"/>
              <w:bottom w:w="30" w:type="dxa"/>
              <w:right w:w="20" w:type="dxa"/>
            </w:tcMar>
            <w:hideMark/>
          </w:tcPr>
          <w:p w14:paraId="7675EAE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C253E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E1880D5" w14:textId="77777777" w:rsidR="00000000" w:rsidRDefault="000A3118">
            <w:pPr>
              <w:jc w:val="right"/>
              <w:rPr>
                <w:rFonts w:eastAsia="Times New Roman"/>
              </w:rPr>
            </w:pPr>
            <w:r>
              <w:rPr>
                <w:rFonts w:eastAsia="Times New Roman"/>
                <w:color w:val="000000"/>
                <w:sz w:val="16"/>
                <w:szCs w:val="16"/>
              </w:rPr>
              <w:t>0.9 </w:t>
            </w:r>
          </w:p>
        </w:tc>
        <w:tc>
          <w:tcPr>
            <w:tcW w:w="0" w:type="auto"/>
            <w:shd w:val="clear" w:color="auto" w:fill="FFFFFF"/>
            <w:tcMar>
              <w:top w:w="30" w:type="dxa"/>
              <w:left w:w="0" w:type="dxa"/>
              <w:bottom w:w="30" w:type="dxa"/>
              <w:right w:w="20" w:type="dxa"/>
            </w:tcMar>
            <w:hideMark/>
          </w:tcPr>
          <w:p w14:paraId="1D1337A9" w14:textId="77777777" w:rsidR="00000000" w:rsidRDefault="000A3118">
            <w:pPr>
              <w:jc w:val="right"/>
              <w:rPr>
                <w:rFonts w:eastAsia="Times New Roman"/>
              </w:rPr>
            </w:pPr>
          </w:p>
        </w:tc>
        <w:tc>
          <w:tcPr>
            <w:tcW w:w="0" w:type="auto"/>
            <w:gridSpan w:val="3"/>
            <w:vAlign w:val="center"/>
            <w:hideMark/>
          </w:tcPr>
          <w:p w14:paraId="054AFE6D" w14:textId="77777777" w:rsidR="00000000" w:rsidRDefault="000A3118">
            <w:pPr>
              <w:jc w:val="right"/>
              <w:rPr>
                <w:rFonts w:eastAsia="Times New Roman"/>
                <w:sz w:val="20"/>
                <w:szCs w:val="20"/>
              </w:rPr>
            </w:pPr>
          </w:p>
        </w:tc>
      </w:tr>
      <w:tr w:rsidR="00000000" w14:paraId="72CCD690" w14:textId="77777777">
        <w:trPr>
          <w:divId w:val="693581917"/>
          <w:jc w:val="center"/>
        </w:trPr>
        <w:tc>
          <w:tcPr>
            <w:tcW w:w="0" w:type="auto"/>
            <w:gridSpan w:val="3"/>
            <w:shd w:val="clear" w:color="auto" w:fill="CCEEFF"/>
            <w:tcMar>
              <w:top w:w="0" w:type="dxa"/>
              <w:left w:w="20" w:type="dxa"/>
              <w:bottom w:w="0" w:type="dxa"/>
              <w:right w:w="20" w:type="dxa"/>
            </w:tcMar>
            <w:vAlign w:val="center"/>
            <w:hideMark/>
          </w:tcPr>
          <w:p w14:paraId="4DD4A0FE"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3113A0" w14:textId="77777777" w:rsidR="00000000" w:rsidRDefault="000A3118">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2CADBC9" w14:textId="77777777" w:rsidR="00000000" w:rsidRDefault="000A3118">
            <w:pPr>
              <w:rPr>
                <w:rFonts w:eastAsia="Times New Roman"/>
              </w:rPr>
            </w:pPr>
            <w:r>
              <w:rPr>
                <w:rFonts w:eastAsia="Times New Roman"/>
                <w:color w:val="000000"/>
                <w:sz w:val="16"/>
                <w:szCs w:val="16"/>
              </w:rPr>
              <w:t>Other (expense), net</w:t>
            </w:r>
          </w:p>
        </w:tc>
        <w:tc>
          <w:tcPr>
            <w:tcW w:w="0" w:type="auto"/>
            <w:gridSpan w:val="3"/>
            <w:shd w:val="clear" w:color="auto" w:fill="CCEEFF"/>
            <w:tcMar>
              <w:top w:w="0" w:type="dxa"/>
              <w:left w:w="20" w:type="dxa"/>
              <w:bottom w:w="0" w:type="dxa"/>
              <w:right w:w="20" w:type="dxa"/>
            </w:tcMar>
            <w:vAlign w:val="center"/>
            <w:hideMark/>
          </w:tcPr>
          <w:p w14:paraId="3B5E6ED5"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30CEBFCB" w14:textId="77777777" w:rsidR="00000000" w:rsidRDefault="000A3118">
            <w:pPr>
              <w:jc w:val="right"/>
              <w:rPr>
                <w:rFonts w:eastAsia="Times New Roman"/>
              </w:rPr>
            </w:pPr>
            <w:r>
              <w:rPr>
                <w:rFonts w:eastAsia="Times New Roman"/>
                <w:color w:val="000000"/>
                <w:sz w:val="16"/>
                <w:szCs w:val="16"/>
              </w:rPr>
              <w:t>(11.7)</w:t>
            </w:r>
          </w:p>
        </w:tc>
        <w:tc>
          <w:tcPr>
            <w:tcW w:w="0" w:type="auto"/>
            <w:shd w:val="clear" w:color="auto" w:fill="CCEEFF"/>
            <w:tcMar>
              <w:top w:w="30" w:type="dxa"/>
              <w:left w:w="0" w:type="dxa"/>
              <w:bottom w:w="30" w:type="dxa"/>
              <w:right w:w="20" w:type="dxa"/>
            </w:tcMar>
            <w:hideMark/>
          </w:tcPr>
          <w:p w14:paraId="06A0942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F977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342BC7F" w14:textId="77777777" w:rsidR="00000000" w:rsidRDefault="000A3118">
            <w:pPr>
              <w:jc w:val="right"/>
              <w:rPr>
                <w:rFonts w:eastAsia="Times New Roman"/>
              </w:rPr>
            </w:pPr>
            <w:r>
              <w:rPr>
                <w:rFonts w:eastAsia="Times New Roman"/>
                <w:color w:val="000000"/>
                <w:sz w:val="16"/>
                <w:szCs w:val="16"/>
              </w:rPr>
              <w:t>9.0 </w:t>
            </w:r>
          </w:p>
        </w:tc>
        <w:tc>
          <w:tcPr>
            <w:tcW w:w="0" w:type="auto"/>
            <w:shd w:val="clear" w:color="auto" w:fill="CCEEFF"/>
            <w:tcMar>
              <w:top w:w="30" w:type="dxa"/>
              <w:left w:w="0" w:type="dxa"/>
              <w:bottom w:w="30" w:type="dxa"/>
              <w:right w:w="20" w:type="dxa"/>
            </w:tcMar>
            <w:hideMark/>
          </w:tcPr>
          <w:p w14:paraId="72462F2C" w14:textId="77777777" w:rsidR="00000000" w:rsidRDefault="000A3118">
            <w:pPr>
              <w:jc w:val="right"/>
              <w:rPr>
                <w:rFonts w:eastAsia="Times New Roman"/>
              </w:rPr>
            </w:pPr>
          </w:p>
        </w:tc>
        <w:tc>
          <w:tcPr>
            <w:tcW w:w="0" w:type="auto"/>
            <w:gridSpan w:val="3"/>
            <w:vAlign w:val="center"/>
            <w:hideMark/>
          </w:tcPr>
          <w:p w14:paraId="098C9F6D" w14:textId="77777777" w:rsidR="00000000" w:rsidRDefault="000A3118">
            <w:pPr>
              <w:jc w:val="right"/>
              <w:rPr>
                <w:rFonts w:eastAsia="Times New Roman"/>
                <w:sz w:val="20"/>
                <w:szCs w:val="20"/>
              </w:rPr>
            </w:pPr>
          </w:p>
        </w:tc>
      </w:tr>
      <w:tr w:rsidR="00000000" w14:paraId="00A93C7F" w14:textId="77777777">
        <w:trPr>
          <w:divId w:val="693581917"/>
          <w:jc w:val="center"/>
        </w:trPr>
        <w:tc>
          <w:tcPr>
            <w:tcW w:w="0" w:type="auto"/>
            <w:gridSpan w:val="3"/>
            <w:shd w:val="clear" w:color="auto" w:fill="FFFFFF"/>
            <w:tcMar>
              <w:top w:w="0" w:type="dxa"/>
              <w:left w:w="20" w:type="dxa"/>
              <w:bottom w:w="0" w:type="dxa"/>
              <w:right w:w="20" w:type="dxa"/>
            </w:tcMar>
            <w:vAlign w:val="center"/>
            <w:hideMark/>
          </w:tcPr>
          <w:p w14:paraId="37503478"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F9B7A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06AC19"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052AA7" w14:textId="77777777" w:rsidR="00000000" w:rsidRDefault="000A3118">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1420DFA" w14:textId="77777777" w:rsidR="00000000" w:rsidRDefault="000A3118">
            <w:pPr>
              <w:jc w:val="right"/>
              <w:rPr>
                <w:rFonts w:eastAsia="Times New Roman"/>
              </w:rPr>
            </w:pPr>
            <w:r>
              <w:rPr>
                <w:rFonts w:eastAsia="Times New Roman"/>
                <w:color w:val="000000"/>
                <w:sz w:val="16"/>
                <w:szCs w:val="16"/>
              </w:rPr>
              <w:t>(13.4)</w:t>
            </w:r>
          </w:p>
        </w:tc>
        <w:tc>
          <w:tcPr>
            <w:tcW w:w="0" w:type="auto"/>
            <w:tcBorders>
              <w:top w:val="single" w:sz="8" w:space="0" w:color="000000"/>
            </w:tcBorders>
            <w:shd w:val="clear" w:color="auto" w:fill="FFFFFF"/>
            <w:tcMar>
              <w:top w:w="30" w:type="dxa"/>
              <w:left w:w="0" w:type="dxa"/>
              <w:bottom w:w="30" w:type="dxa"/>
              <w:right w:w="20" w:type="dxa"/>
            </w:tcMar>
            <w:hideMark/>
          </w:tcPr>
          <w:p w14:paraId="4E1F0A55"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7DC48E8"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78E5A094" w14:textId="77777777" w:rsidR="00000000" w:rsidRDefault="000A3118">
            <w:pPr>
              <w:jc w:val="right"/>
              <w:rPr>
                <w:rFonts w:eastAsia="Times New Roman"/>
              </w:rPr>
            </w:pPr>
            <w:r>
              <w:rPr>
                <w:rFonts w:eastAsia="Times New Roman"/>
                <w:color w:val="000000"/>
                <w:sz w:val="16"/>
                <w:szCs w:val="16"/>
              </w:rPr>
              <w:t>9.9 </w:t>
            </w:r>
          </w:p>
        </w:tc>
        <w:tc>
          <w:tcPr>
            <w:tcW w:w="0" w:type="auto"/>
            <w:tcBorders>
              <w:top w:val="single" w:sz="8" w:space="0" w:color="000000"/>
            </w:tcBorders>
            <w:shd w:val="clear" w:color="auto" w:fill="FFFFFF"/>
            <w:tcMar>
              <w:top w:w="30" w:type="dxa"/>
              <w:left w:w="0" w:type="dxa"/>
              <w:bottom w:w="30" w:type="dxa"/>
              <w:right w:w="20" w:type="dxa"/>
            </w:tcMar>
            <w:hideMark/>
          </w:tcPr>
          <w:p w14:paraId="1C4E45BA" w14:textId="77777777" w:rsidR="00000000" w:rsidRDefault="000A3118">
            <w:pPr>
              <w:jc w:val="right"/>
              <w:rPr>
                <w:rFonts w:eastAsia="Times New Roman"/>
              </w:rPr>
            </w:pPr>
          </w:p>
        </w:tc>
        <w:tc>
          <w:tcPr>
            <w:tcW w:w="0" w:type="auto"/>
            <w:gridSpan w:val="3"/>
            <w:vAlign w:val="center"/>
            <w:hideMark/>
          </w:tcPr>
          <w:p w14:paraId="01D5C312" w14:textId="77777777" w:rsidR="00000000" w:rsidRDefault="000A3118">
            <w:pPr>
              <w:jc w:val="right"/>
              <w:rPr>
                <w:rFonts w:eastAsia="Times New Roman"/>
                <w:sz w:val="20"/>
                <w:szCs w:val="20"/>
              </w:rPr>
            </w:pPr>
          </w:p>
        </w:tc>
      </w:tr>
      <w:tr w:rsidR="00000000" w14:paraId="0DD7A674" w14:textId="77777777">
        <w:trPr>
          <w:divId w:val="693581917"/>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77827508" w14:textId="77777777" w:rsidR="00000000" w:rsidRDefault="000A3118">
            <w:pPr>
              <w:rPr>
                <w:rFonts w:eastAsia="Times New Roman"/>
              </w:rPr>
            </w:pPr>
            <w:r>
              <w:rPr>
                <w:rFonts w:eastAsia="Times New Roman"/>
                <w:color w:val="000000"/>
                <w:sz w:val="16"/>
                <w:szCs w:val="16"/>
              </w:rPr>
              <w:t>Total Gain (Loss)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D09AC6"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CE9A15"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FA1702" w14:textId="77777777" w:rsidR="00000000" w:rsidRDefault="000A3118">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5451797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hideMark/>
          </w:tcPr>
          <w:p w14:paraId="54ADF750" w14:textId="77777777" w:rsidR="00000000" w:rsidRDefault="000A3118">
            <w:pPr>
              <w:jc w:val="right"/>
              <w:rPr>
                <w:rFonts w:eastAsia="Times New Roman"/>
              </w:rPr>
            </w:pPr>
            <w:r>
              <w:rPr>
                <w:rFonts w:eastAsia="Times New Roman"/>
                <w:color w:val="000000"/>
                <w:sz w:val="16"/>
                <w:szCs w:val="16"/>
              </w:rPr>
              <w:t>3.2 </w:t>
            </w:r>
          </w:p>
        </w:tc>
        <w:tc>
          <w:tcPr>
            <w:tcW w:w="0" w:type="auto"/>
            <w:tcBorders>
              <w:top w:val="single" w:sz="8" w:space="0" w:color="000000"/>
            </w:tcBorders>
            <w:shd w:val="clear" w:color="auto" w:fill="CCEEFF"/>
            <w:tcMar>
              <w:top w:w="30" w:type="dxa"/>
              <w:left w:w="0" w:type="dxa"/>
              <w:bottom w:w="30" w:type="dxa"/>
              <w:right w:w="20" w:type="dxa"/>
            </w:tcMar>
            <w:hideMark/>
          </w:tcPr>
          <w:p w14:paraId="30F5A888"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4F3588"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08C5913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hideMark/>
          </w:tcPr>
          <w:p w14:paraId="1E612A5A" w14:textId="77777777" w:rsidR="00000000" w:rsidRDefault="000A3118">
            <w:pPr>
              <w:jc w:val="right"/>
              <w:rPr>
                <w:rFonts w:eastAsia="Times New Roman"/>
              </w:rPr>
            </w:pPr>
            <w:r>
              <w:rPr>
                <w:rFonts w:eastAsia="Times New Roman"/>
                <w:color w:val="000000"/>
                <w:sz w:val="16"/>
                <w:szCs w:val="16"/>
              </w:rPr>
              <w:t>24.2 </w:t>
            </w:r>
          </w:p>
        </w:tc>
        <w:tc>
          <w:tcPr>
            <w:tcW w:w="0" w:type="auto"/>
            <w:tcBorders>
              <w:top w:val="single" w:sz="8" w:space="0" w:color="000000"/>
            </w:tcBorders>
            <w:shd w:val="clear" w:color="auto" w:fill="CCEEFF"/>
            <w:tcMar>
              <w:top w:w="30" w:type="dxa"/>
              <w:left w:w="0" w:type="dxa"/>
              <w:bottom w:w="30" w:type="dxa"/>
              <w:right w:w="20" w:type="dxa"/>
            </w:tcMar>
            <w:hideMark/>
          </w:tcPr>
          <w:p w14:paraId="10A26EBA" w14:textId="77777777" w:rsidR="00000000" w:rsidRDefault="000A3118">
            <w:pPr>
              <w:jc w:val="right"/>
              <w:rPr>
                <w:rFonts w:eastAsia="Times New Roman"/>
              </w:rPr>
            </w:pPr>
          </w:p>
        </w:tc>
        <w:tc>
          <w:tcPr>
            <w:tcW w:w="0" w:type="auto"/>
            <w:gridSpan w:val="3"/>
            <w:vAlign w:val="center"/>
            <w:hideMark/>
          </w:tcPr>
          <w:p w14:paraId="427E999B" w14:textId="77777777" w:rsidR="00000000" w:rsidRDefault="000A3118">
            <w:pPr>
              <w:jc w:val="right"/>
              <w:rPr>
                <w:rFonts w:eastAsia="Times New Roman"/>
                <w:sz w:val="20"/>
                <w:szCs w:val="20"/>
              </w:rPr>
            </w:pPr>
          </w:p>
        </w:tc>
      </w:tr>
      <w:tr w:rsidR="00000000" w14:paraId="775A2501" w14:textId="77777777">
        <w:trPr>
          <w:divId w:val="693581917"/>
          <w:trHeight w:val="240"/>
          <w:jc w:val="center"/>
        </w:trPr>
        <w:tc>
          <w:tcPr>
            <w:tcW w:w="0" w:type="auto"/>
            <w:gridSpan w:val="3"/>
            <w:tcBorders>
              <w:top w:val="double" w:sz="6" w:space="0" w:color="000000"/>
            </w:tcBorders>
            <w:tcMar>
              <w:top w:w="0" w:type="dxa"/>
              <w:left w:w="20" w:type="dxa"/>
              <w:bottom w:w="0" w:type="dxa"/>
              <w:right w:w="20" w:type="dxa"/>
            </w:tcMar>
            <w:vAlign w:val="center"/>
            <w:hideMark/>
          </w:tcPr>
          <w:p w14:paraId="25196D22"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B7C85A5"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31FF20B"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B956771"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DAE0C8D"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9246766"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49F765E" w14:textId="77777777" w:rsidR="00000000" w:rsidRDefault="000A3118">
            <w:pPr>
              <w:rPr>
                <w:rFonts w:eastAsia="Times New Roman"/>
                <w:sz w:val="20"/>
                <w:szCs w:val="20"/>
              </w:rPr>
            </w:pPr>
          </w:p>
        </w:tc>
        <w:tc>
          <w:tcPr>
            <w:tcW w:w="0" w:type="auto"/>
            <w:gridSpan w:val="3"/>
            <w:vAlign w:val="center"/>
            <w:hideMark/>
          </w:tcPr>
          <w:p w14:paraId="148CC479" w14:textId="77777777" w:rsidR="00000000" w:rsidRDefault="000A3118">
            <w:pPr>
              <w:rPr>
                <w:rFonts w:eastAsia="Times New Roman"/>
                <w:sz w:val="20"/>
                <w:szCs w:val="20"/>
              </w:rPr>
            </w:pPr>
          </w:p>
        </w:tc>
      </w:tr>
      <w:tr w:rsidR="00000000" w14:paraId="63114E06" w14:textId="77777777">
        <w:trPr>
          <w:divId w:val="693581917"/>
          <w:jc w:val="center"/>
        </w:trPr>
        <w:tc>
          <w:tcPr>
            <w:tcW w:w="0" w:type="auto"/>
            <w:gridSpan w:val="3"/>
            <w:tcMar>
              <w:top w:w="30" w:type="dxa"/>
              <w:left w:w="20" w:type="dxa"/>
              <w:bottom w:w="30" w:type="dxa"/>
              <w:right w:w="20" w:type="dxa"/>
            </w:tcMar>
            <w:hideMark/>
          </w:tcPr>
          <w:p w14:paraId="584A8967" w14:textId="77777777" w:rsidR="00000000" w:rsidRDefault="000A3118">
            <w:pPr>
              <w:rPr>
                <w:rFonts w:eastAsia="Times New Roman"/>
              </w:rPr>
            </w:pPr>
            <w:r>
              <w:rPr>
                <w:rFonts w:eastAsia="Times New Roman"/>
                <w:b/>
                <w:bCs/>
                <w:color w:val="000000"/>
                <w:sz w:val="16"/>
                <w:szCs w:val="16"/>
              </w:rPr>
              <w:t>Amount of Realized and Unrealized Gain (Loss)</w:t>
            </w:r>
          </w:p>
        </w:tc>
        <w:tc>
          <w:tcPr>
            <w:tcW w:w="0" w:type="auto"/>
            <w:gridSpan w:val="3"/>
            <w:tcMar>
              <w:top w:w="0" w:type="dxa"/>
              <w:left w:w="20" w:type="dxa"/>
              <w:bottom w:w="0" w:type="dxa"/>
              <w:right w:w="20" w:type="dxa"/>
            </w:tcMar>
            <w:vAlign w:val="center"/>
            <w:hideMark/>
          </w:tcPr>
          <w:p w14:paraId="3E861FF1"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3A842D21"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7BC416E3"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2CAF02BE" w14:textId="77777777" w:rsidR="00000000" w:rsidRDefault="000A3118">
            <w:pPr>
              <w:jc w:val="center"/>
              <w:rPr>
                <w:rFonts w:eastAsia="Times New Roman"/>
              </w:rPr>
            </w:pPr>
            <w:r>
              <w:rPr>
                <w:rFonts w:eastAsia="Times New Roman"/>
                <w:b/>
                <w:bCs/>
                <w:color w:val="000000"/>
                <w:sz w:val="16"/>
                <w:szCs w:val="16"/>
              </w:rPr>
              <w:t>For the Nine Months Ended</w:t>
            </w:r>
          </w:p>
        </w:tc>
        <w:tc>
          <w:tcPr>
            <w:tcW w:w="0" w:type="auto"/>
            <w:gridSpan w:val="3"/>
            <w:vAlign w:val="center"/>
            <w:hideMark/>
          </w:tcPr>
          <w:p w14:paraId="51090BAA" w14:textId="77777777" w:rsidR="00000000" w:rsidRDefault="000A3118">
            <w:pPr>
              <w:jc w:val="center"/>
              <w:rPr>
                <w:rFonts w:eastAsia="Times New Roman"/>
              </w:rPr>
            </w:pPr>
          </w:p>
        </w:tc>
      </w:tr>
      <w:tr w:rsidR="00000000" w14:paraId="3D9CF6A6" w14:textId="77777777">
        <w:trPr>
          <w:divId w:val="693581917"/>
          <w:jc w:val="center"/>
        </w:trPr>
        <w:tc>
          <w:tcPr>
            <w:tcW w:w="0" w:type="auto"/>
            <w:gridSpan w:val="3"/>
            <w:tcMar>
              <w:top w:w="0" w:type="dxa"/>
              <w:left w:w="20" w:type="dxa"/>
              <w:bottom w:w="0" w:type="dxa"/>
              <w:right w:w="20" w:type="dxa"/>
            </w:tcMar>
            <w:vAlign w:val="center"/>
            <w:hideMark/>
          </w:tcPr>
          <w:p w14:paraId="29EB3125"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3EC920AC"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4F74438"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5D00FB19"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hideMark/>
          </w:tcPr>
          <w:p w14:paraId="09ADD75C"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vAlign w:val="center"/>
            <w:hideMark/>
          </w:tcPr>
          <w:p w14:paraId="6D2B9FC3" w14:textId="77777777" w:rsidR="00000000" w:rsidRDefault="000A3118">
            <w:pPr>
              <w:jc w:val="center"/>
              <w:rPr>
                <w:rFonts w:eastAsia="Times New Roman"/>
              </w:rPr>
            </w:pPr>
          </w:p>
        </w:tc>
      </w:tr>
      <w:tr w:rsidR="00000000" w14:paraId="283D2566" w14:textId="77777777">
        <w:trPr>
          <w:divId w:val="693581917"/>
          <w:jc w:val="center"/>
        </w:trPr>
        <w:tc>
          <w:tcPr>
            <w:tcW w:w="0" w:type="auto"/>
            <w:gridSpan w:val="3"/>
            <w:tcBorders>
              <w:top w:val="single" w:sz="8" w:space="0" w:color="000000"/>
            </w:tcBorders>
            <w:tcMar>
              <w:top w:w="30" w:type="dxa"/>
              <w:left w:w="20" w:type="dxa"/>
              <w:bottom w:w="30" w:type="dxa"/>
              <w:right w:w="20" w:type="dxa"/>
            </w:tcMar>
            <w:hideMark/>
          </w:tcPr>
          <w:p w14:paraId="49AF0D0E" w14:textId="77777777" w:rsidR="00000000" w:rsidRDefault="000A3118">
            <w:pPr>
              <w:rPr>
                <w:rFonts w:eastAsia="Times New Roman"/>
              </w:rPr>
            </w:pPr>
            <w:r>
              <w:rPr>
                <w:rFonts w:eastAsia="Times New Roman"/>
                <w:b/>
                <w:bCs/>
                <w:color w:val="000000"/>
                <w:sz w:val="16"/>
                <w:szCs w:val="16"/>
              </w:rPr>
              <w:t>Derivative Instruments - Non-designated</w:t>
            </w:r>
          </w:p>
        </w:tc>
        <w:tc>
          <w:tcPr>
            <w:tcW w:w="0" w:type="auto"/>
            <w:gridSpan w:val="3"/>
            <w:tcBorders>
              <w:top w:val="single" w:sz="8" w:space="0" w:color="000000"/>
            </w:tcBorders>
            <w:tcMar>
              <w:top w:w="0" w:type="dxa"/>
              <w:left w:w="20" w:type="dxa"/>
              <w:bottom w:w="0" w:type="dxa"/>
              <w:right w:w="20" w:type="dxa"/>
            </w:tcMar>
            <w:vAlign w:val="center"/>
            <w:hideMark/>
          </w:tcPr>
          <w:p w14:paraId="5B94A841" w14:textId="77777777" w:rsidR="00000000" w:rsidRDefault="000A311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1079B1B" w14:textId="77777777" w:rsidR="00000000" w:rsidRDefault="000A3118">
            <w:pPr>
              <w:jc w:val="center"/>
              <w:rPr>
                <w:rFonts w:eastAsia="Times New Roman"/>
              </w:rPr>
            </w:pPr>
            <w:r>
              <w:rPr>
                <w:rFonts w:eastAsia="Times New Roman"/>
                <w:b/>
                <w:bCs/>
                <w:color w:val="000000"/>
                <w:sz w:val="16"/>
                <w:szCs w:val="16"/>
              </w:rPr>
              <w:t xml:space="preserve">Location </w:t>
            </w:r>
          </w:p>
        </w:tc>
        <w:tc>
          <w:tcPr>
            <w:tcW w:w="0" w:type="auto"/>
            <w:gridSpan w:val="3"/>
            <w:tcBorders>
              <w:top w:val="single" w:sz="8" w:space="0" w:color="000000"/>
            </w:tcBorders>
            <w:tcMar>
              <w:top w:w="0" w:type="dxa"/>
              <w:left w:w="20" w:type="dxa"/>
              <w:bottom w:w="0" w:type="dxa"/>
              <w:right w:w="20" w:type="dxa"/>
            </w:tcMar>
            <w:vAlign w:val="center"/>
            <w:hideMark/>
          </w:tcPr>
          <w:p w14:paraId="4BD63E50"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521654A"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D37CD1C"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0C45D27"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vAlign w:val="center"/>
            <w:hideMark/>
          </w:tcPr>
          <w:p w14:paraId="08365A91" w14:textId="77777777" w:rsidR="00000000" w:rsidRDefault="000A3118">
            <w:pPr>
              <w:jc w:val="center"/>
              <w:rPr>
                <w:rFonts w:eastAsia="Times New Roman"/>
              </w:rPr>
            </w:pPr>
          </w:p>
        </w:tc>
      </w:tr>
      <w:tr w:rsidR="00000000" w14:paraId="7453430A" w14:textId="77777777">
        <w:trPr>
          <w:divId w:val="693581917"/>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4CD08C4A" w14:textId="77777777" w:rsidR="00000000" w:rsidRDefault="000A3118">
            <w:pPr>
              <w:rPr>
                <w:rFonts w:eastAsia="Times New Roman"/>
              </w:rPr>
            </w:pPr>
            <w:r>
              <w:rPr>
                <w:rFonts w:eastAsia="Times New Roman"/>
                <w:color w:val="000000"/>
                <w:sz w:val="16"/>
                <w:szCs w:val="16"/>
              </w:rPr>
              <w:t>Commodity contracts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A2C6FD"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B8C0CF"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C9AA6D"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9C00A6"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D1AD1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EAC59E" w14:textId="77777777" w:rsidR="00000000" w:rsidRDefault="000A3118">
            <w:pPr>
              <w:rPr>
                <w:rFonts w:eastAsia="Times New Roman"/>
                <w:sz w:val="20"/>
                <w:szCs w:val="20"/>
              </w:rPr>
            </w:pPr>
          </w:p>
        </w:tc>
        <w:tc>
          <w:tcPr>
            <w:tcW w:w="0" w:type="auto"/>
            <w:gridSpan w:val="3"/>
            <w:vAlign w:val="center"/>
            <w:hideMark/>
          </w:tcPr>
          <w:p w14:paraId="45AC0BF3" w14:textId="77777777" w:rsidR="00000000" w:rsidRDefault="000A3118">
            <w:pPr>
              <w:rPr>
                <w:rFonts w:eastAsia="Times New Roman"/>
                <w:sz w:val="20"/>
                <w:szCs w:val="20"/>
              </w:rPr>
            </w:pPr>
          </w:p>
        </w:tc>
      </w:tr>
      <w:tr w:rsidR="00000000" w14:paraId="3F5708A5" w14:textId="77777777">
        <w:trPr>
          <w:divId w:val="693581917"/>
          <w:jc w:val="center"/>
        </w:trPr>
        <w:tc>
          <w:tcPr>
            <w:tcW w:w="0" w:type="auto"/>
            <w:gridSpan w:val="3"/>
            <w:shd w:val="clear" w:color="auto" w:fill="FFFFFF"/>
            <w:tcMar>
              <w:top w:w="0" w:type="dxa"/>
              <w:left w:w="20" w:type="dxa"/>
              <w:bottom w:w="0" w:type="dxa"/>
              <w:right w:w="20" w:type="dxa"/>
            </w:tcMar>
            <w:vAlign w:val="center"/>
            <w:hideMark/>
          </w:tcPr>
          <w:p w14:paraId="393FC7B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DCFB9C" w14:textId="77777777" w:rsidR="00000000" w:rsidRDefault="000A3118">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5EAD8ADA" w14:textId="77777777" w:rsidR="00000000" w:rsidRDefault="000A3118">
            <w:pPr>
              <w:rPr>
                <w:rFonts w:eastAsia="Times New Roman"/>
              </w:rPr>
            </w:pPr>
            <w:r>
              <w:rPr>
                <w:rFonts w:eastAsia="Times New Roman"/>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14:paraId="42B4BEB6" w14:textId="77777777" w:rsidR="00000000" w:rsidRDefault="000A3118">
            <w:pPr>
              <w:rPr>
                <w:rFonts w:eastAsia="Times New Roman"/>
              </w:rPr>
            </w:pPr>
          </w:p>
        </w:tc>
        <w:tc>
          <w:tcPr>
            <w:tcW w:w="0" w:type="auto"/>
            <w:shd w:val="clear" w:color="auto" w:fill="FFFFFF"/>
            <w:tcMar>
              <w:top w:w="30" w:type="dxa"/>
              <w:left w:w="20" w:type="dxa"/>
              <w:bottom w:w="30" w:type="dxa"/>
              <w:right w:w="0" w:type="dxa"/>
            </w:tcMar>
            <w:hideMark/>
          </w:tcPr>
          <w:p w14:paraId="2B052D13"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009F0D65" w14:textId="77777777" w:rsidR="00000000" w:rsidRDefault="000A3118">
            <w:pPr>
              <w:jc w:val="right"/>
              <w:rPr>
                <w:rFonts w:eastAsia="Times New Roman"/>
              </w:rPr>
            </w:pPr>
            <w:r>
              <w:rPr>
                <w:rFonts w:eastAsia="Times New Roman"/>
                <w:color w:val="000000"/>
                <w:sz w:val="16"/>
                <w:szCs w:val="16"/>
              </w:rPr>
              <w:t>157.6 </w:t>
            </w:r>
          </w:p>
        </w:tc>
        <w:tc>
          <w:tcPr>
            <w:tcW w:w="0" w:type="auto"/>
            <w:shd w:val="clear" w:color="auto" w:fill="FFFFFF"/>
            <w:tcMar>
              <w:top w:w="30" w:type="dxa"/>
              <w:left w:w="0" w:type="dxa"/>
              <w:bottom w:w="30" w:type="dxa"/>
              <w:right w:w="20" w:type="dxa"/>
            </w:tcMar>
            <w:hideMark/>
          </w:tcPr>
          <w:p w14:paraId="70D186D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2F24A7"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789DD662"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hideMark/>
          </w:tcPr>
          <w:p w14:paraId="5A3664E3" w14:textId="77777777" w:rsidR="00000000" w:rsidRDefault="000A3118">
            <w:pPr>
              <w:jc w:val="right"/>
              <w:rPr>
                <w:rFonts w:eastAsia="Times New Roman"/>
              </w:rPr>
            </w:pPr>
            <w:r>
              <w:rPr>
                <w:rFonts w:eastAsia="Times New Roman"/>
                <w:color w:val="000000"/>
                <w:sz w:val="16"/>
                <w:szCs w:val="16"/>
              </w:rPr>
              <w:t>184.2 </w:t>
            </w:r>
          </w:p>
        </w:tc>
        <w:tc>
          <w:tcPr>
            <w:tcW w:w="0" w:type="auto"/>
            <w:shd w:val="clear" w:color="auto" w:fill="FFFFFF"/>
            <w:tcMar>
              <w:top w:w="30" w:type="dxa"/>
              <w:left w:w="0" w:type="dxa"/>
              <w:bottom w:w="30" w:type="dxa"/>
              <w:right w:w="20" w:type="dxa"/>
            </w:tcMar>
            <w:hideMark/>
          </w:tcPr>
          <w:p w14:paraId="73C938E5" w14:textId="77777777" w:rsidR="00000000" w:rsidRDefault="000A3118">
            <w:pPr>
              <w:jc w:val="right"/>
              <w:rPr>
                <w:rFonts w:eastAsia="Times New Roman"/>
              </w:rPr>
            </w:pPr>
          </w:p>
        </w:tc>
        <w:tc>
          <w:tcPr>
            <w:tcW w:w="0" w:type="auto"/>
            <w:gridSpan w:val="3"/>
            <w:vAlign w:val="center"/>
            <w:hideMark/>
          </w:tcPr>
          <w:p w14:paraId="0998A0A1" w14:textId="77777777" w:rsidR="00000000" w:rsidRDefault="000A3118">
            <w:pPr>
              <w:jc w:val="right"/>
              <w:rPr>
                <w:rFonts w:eastAsia="Times New Roman"/>
                <w:sz w:val="20"/>
                <w:szCs w:val="20"/>
              </w:rPr>
            </w:pPr>
          </w:p>
        </w:tc>
      </w:tr>
      <w:tr w:rsidR="00000000" w14:paraId="5D277DFC" w14:textId="77777777">
        <w:trPr>
          <w:divId w:val="693581917"/>
          <w:jc w:val="center"/>
        </w:trPr>
        <w:tc>
          <w:tcPr>
            <w:tcW w:w="0" w:type="auto"/>
            <w:gridSpan w:val="3"/>
            <w:shd w:val="clear" w:color="auto" w:fill="CCEEFF"/>
            <w:tcMar>
              <w:top w:w="0" w:type="dxa"/>
              <w:left w:w="20" w:type="dxa"/>
              <w:bottom w:w="0" w:type="dxa"/>
              <w:right w:w="20" w:type="dxa"/>
            </w:tcMar>
            <w:vAlign w:val="center"/>
            <w:hideMark/>
          </w:tcPr>
          <w:p w14:paraId="08F378B6"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6A9EA0" w14:textId="77777777" w:rsidR="00000000" w:rsidRDefault="000A3118">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38546F64" w14:textId="77777777" w:rsidR="00000000" w:rsidRDefault="000A3118">
            <w:pPr>
              <w:rPr>
                <w:rFonts w:eastAsia="Times New Roman"/>
              </w:rPr>
            </w:pPr>
            <w:r>
              <w:rPr>
                <w:rFonts w:eastAsia="Times New Roman"/>
                <w:color w:val="000000"/>
                <w:sz w:val="16"/>
                <w:szCs w:val="16"/>
              </w:rPr>
              <w:t>Cost of revenue</w:t>
            </w:r>
          </w:p>
        </w:tc>
        <w:tc>
          <w:tcPr>
            <w:tcW w:w="0" w:type="auto"/>
            <w:gridSpan w:val="3"/>
            <w:shd w:val="clear" w:color="auto" w:fill="CCEEFF"/>
            <w:tcMar>
              <w:top w:w="0" w:type="dxa"/>
              <w:left w:w="20" w:type="dxa"/>
              <w:bottom w:w="0" w:type="dxa"/>
              <w:right w:w="20" w:type="dxa"/>
            </w:tcMar>
            <w:vAlign w:val="center"/>
            <w:hideMark/>
          </w:tcPr>
          <w:p w14:paraId="1A420E32"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732756D9" w14:textId="77777777" w:rsidR="00000000" w:rsidRDefault="000A3118">
            <w:pPr>
              <w:jc w:val="right"/>
              <w:rPr>
                <w:rFonts w:eastAsia="Times New Roman"/>
              </w:rPr>
            </w:pPr>
            <w:r>
              <w:rPr>
                <w:rFonts w:eastAsia="Times New Roman"/>
                <w:color w:val="000000"/>
                <w:sz w:val="16"/>
                <w:szCs w:val="16"/>
              </w:rPr>
              <w:t>(38.0)</w:t>
            </w:r>
          </w:p>
        </w:tc>
        <w:tc>
          <w:tcPr>
            <w:tcW w:w="0" w:type="auto"/>
            <w:shd w:val="clear" w:color="auto" w:fill="CCEEFF"/>
            <w:tcMar>
              <w:top w:w="30" w:type="dxa"/>
              <w:left w:w="0" w:type="dxa"/>
              <w:bottom w:w="30" w:type="dxa"/>
              <w:right w:w="20" w:type="dxa"/>
            </w:tcMar>
            <w:hideMark/>
          </w:tcPr>
          <w:p w14:paraId="473BB5F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1D88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F9C3AD6" w14:textId="77777777" w:rsidR="00000000" w:rsidRDefault="000A3118">
            <w:pPr>
              <w:jc w:val="right"/>
              <w:rPr>
                <w:rFonts w:eastAsia="Times New Roman"/>
              </w:rPr>
            </w:pPr>
            <w:r>
              <w:rPr>
                <w:rFonts w:eastAsia="Times New Roman"/>
                <w:color w:val="000000"/>
                <w:sz w:val="16"/>
                <w:szCs w:val="16"/>
              </w:rPr>
              <w:t>(148.3)</w:t>
            </w:r>
          </w:p>
        </w:tc>
        <w:tc>
          <w:tcPr>
            <w:tcW w:w="0" w:type="auto"/>
            <w:shd w:val="clear" w:color="auto" w:fill="CCEEFF"/>
            <w:tcMar>
              <w:top w:w="30" w:type="dxa"/>
              <w:left w:w="0" w:type="dxa"/>
              <w:bottom w:w="30" w:type="dxa"/>
              <w:right w:w="20" w:type="dxa"/>
            </w:tcMar>
            <w:hideMark/>
          </w:tcPr>
          <w:p w14:paraId="4789F963" w14:textId="77777777" w:rsidR="00000000" w:rsidRDefault="000A3118">
            <w:pPr>
              <w:jc w:val="right"/>
              <w:rPr>
                <w:rFonts w:eastAsia="Times New Roman"/>
              </w:rPr>
            </w:pPr>
          </w:p>
        </w:tc>
        <w:tc>
          <w:tcPr>
            <w:tcW w:w="0" w:type="auto"/>
            <w:gridSpan w:val="3"/>
            <w:vAlign w:val="center"/>
            <w:hideMark/>
          </w:tcPr>
          <w:p w14:paraId="1331160C" w14:textId="77777777" w:rsidR="00000000" w:rsidRDefault="000A3118">
            <w:pPr>
              <w:jc w:val="right"/>
              <w:rPr>
                <w:rFonts w:eastAsia="Times New Roman"/>
                <w:sz w:val="20"/>
                <w:szCs w:val="20"/>
              </w:rPr>
            </w:pPr>
          </w:p>
        </w:tc>
      </w:tr>
      <w:tr w:rsidR="00000000" w14:paraId="577711CE" w14:textId="77777777">
        <w:trPr>
          <w:divId w:val="693581917"/>
          <w:jc w:val="center"/>
        </w:trPr>
        <w:tc>
          <w:tcPr>
            <w:tcW w:w="0" w:type="auto"/>
            <w:gridSpan w:val="3"/>
            <w:shd w:val="clear" w:color="auto" w:fill="FFFFFF"/>
            <w:tcMar>
              <w:top w:w="0" w:type="dxa"/>
              <w:left w:w="20" w:type="dxa"/>
              <w:bottom w:w="0" w:type="dxa"/>
              <w:right w:w="20" w:type="dxa"/>
            </w:tcMar>
            <w:vAlign w:val="center"/>
            <w:hideMark/>
          </w:tcPr>
          <w:p w14:paraId="4F190C28"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F42BAF"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3C812F"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34D325" w14:textId="77777777" w:rsidR="00000000" w:rsidRDefault="000A3118">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99521F0" w14:textId="77777777" w:rsidR="00000000" w:rsidRDefault="000A3118">
            <w:pPr>
              <w:jc w:val="right"/>
              <w:rPr>
                <w:rFonts w:eastAsia="Times New Roman"/>
              </w:rPr>
            </w:pPr>
            <w:r>
              <w:rPr>
                <w:rFonts w:eastAsia="Times New Roman"/>
                <w:color w:val="000000"/>
                <w:sz w:val="16"/>
                <w:szCs w:val="16"/>
              </w:rPr>
              <w:t>119.6 </w:t>
            </w:r>
          </w:p>
        </w:tc>
        <w:tc>
          <w:tcPr>
            <w:tcW w:w="0" w:type="auto"/>
            <w:tcBorders>
              <w:top w:val="single" w:sz="8" w:space="0" w:color="000000"/>
            </w:tcBorders>
            <w:shd w:val="clear" w:color="auto" w:fill="FFFFFF"/>
            <w:tcMar>
              <w:top w:w="30" w:type="dxa"/>
              <w:left w:w="0" w:type="dxa"/>
              <w:bottom w:w="30" w:type="dxa"/>
              <w:right w:w="20" w:type="dxa"/>
            </w:tcMar>
            <w:hideMark/>
          </w:tcPr>
          <w:p w14:paraId="3943B274"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21E3CE"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02D439B" w14:textId="77777777" w:rsidR="00000000" w:rsidRDefault="000A3118">
            <w:pPr>
              <w:jc w:val="right"/>
              <w:rPr>
                <w:rFonts w:eastAsia="Times New Roman"/>
              </w:rPr>
            </w:pPr>
            <w:r>
              <w:rPr>
                <w:rFonts w:eastAsia="Times New Roman"/>
                <w:color w:val="000000"/>
                <w:sz w:val="16"/>
                <w:szCs w:val="16"/>
              </w:rPr>
              <w:t>35.8 </w:t>
            </w:r>
          </w:p>
        </w:tc>
        <w:tc>
          <w:tcPr>
            <w:tcW w:w="0" w:type="auto"/>
            <w:tcBorders>
              <w:top w:val="single" w:sz="8" w:space="0" w:color="000000"/>
            </w:tcBorders>
            <w:shd w:val="clear" w:color="auto" w:fill="FFFFFF"/>
            <w:tcMar>
              <w:top w:w="30" w:type="dxa"/>
              <w:left w:w="0" w:type="dxa"/>
              <w:bottom w:w="30" w:type="dxa"/>
              <w:right w:w="20" w:type="dxa"/>
            </w:tcMar>
            <w:hideMark/>
          </w:tcPr>
          <w:p w14:paraId="53876F31" w14:textId="77777777" w:rsidR="00000000" w:rsidRDefault="000A3118">
            <w:pPr>
              <w:jc w:val="right"/>
              <w:rPr>
                <w:rFonts w:eastAsia="Times New Roman"/>
              </w:rPr>
            </w:pPr>
          </w:p>
        </w:tc>
        <w:tc>
          <w:tcPr>
            <w:tcW w:w="0" w:type="auto"/>
            <w:gridSpan w:val="3"/>
            <w:vAlign w:val="center"/>
            <w:hideMark/>
          </w:tcPr>
          <w:p w14:paraId="0DC19B7F" w14:textId="77777777" w:rsidR="00000000" w:rsidRDefault="000A3118">
            <w:pPr>
              <w:jc w:val="right"/>
              <w:rPr>
                <w:rFonts w:eastAsia="Times New Roman"/>
                <w:sz w:val="20"/>
                <w:szCs w:val="20"/>
              </w:rPr>
            </w:pPr>
          </w:p>
        </w:tc>
      </w:tr>
      <w:tr w:rsidR="00000000" w14:paraId="51BDD2DE" w14:textId="77777777">
        <w:trPr>
          <w:divId w:val="693581917"/>
          <w:jc w:val="center"/>
        </w:trPr>
        <w:tc>
          <w:tcPr>
            <w:tcW w:w="0" w:type="auto"/>
            <w:gridSpan w:val="3"/>
            <w:shd w:val="clear" w:color="auto" w:fill="CCEEFF"/>
            <w:tcMar>
              <w:top w:w="30" w:type="dxa"/>
              <w:left w:w="20" w:type="dxa"/>
              <w:bottom w:w="30" w:type="dxa"/>
              <w:right w:w="20" w:type="dxa"/>
            </w:tcMar>
            <w:hideMark/>
          </w:tcPr>
          <w:p w14:paraId="0DF2EE4C" w14:textId="77777777" w:rsidR="00000000" w:rsidRDefault="000A3118">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14:paraId="3BAC80A6" w14:textId="77777777" w:rsidR="00000000" w:rsidRDefault="000A3118">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02C21"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39E74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6B2B5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6BB068"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5B57FA" w14:textId="77777777" w:rsidR="00000000" w:rsidRDefault="000A3118">
            <w:pPr>
              <w:rPr>
                <w:rFonts w:eastAsia="Times New Roman"/>
                <w:sz w:val="20"/>
                <w:szCs w:val="20"/>
              </w:rPr>
            </w:pPr>
          </w:p>
        </w:tc>
        <w:tc>
          <w:tcPr>
            <w:tcW w:w="0" w:type="auto"/>
            <w:gridSpan w:val="3"/>
            <w:vAlign w:val="center"/>
            <w:hideMark/>
          </w:tcPr>
          <w:p w14:paraId="374AF5A0" w14:textId="77777777" w:rsidR="00000000" w:rsidRDefault="000A3118">
            <w:pPr>
              <w:rPr>
                <w:rFonts w:eastAsia="Times New Roman"/>
                <w:sz w:val="20"/>
                <w:szCs w:val="20"/>
              </w:rPr>
            </w:pPr>
          </w:p>
        </w:tc>
      </w:tr>
      <w:tr w:rsidR="00000000" w14:paraId="6117037B" w14:textId="77777777">
        <w:trPr>
          <w:divId w:val="693581917"/>
          <w:jc w:val="center"/>
        </w:trPr>
        <w:tc>
          <w:tcPr>
            <w:tcW w:w="0" w:type="auto"/>
            <w:gridSpan w:val="3"/>
            <w:shd w:val="clear" w:color="auto" w:fill="FFFFFF"/>
            <w:tcMar>
              <w:top w:w="0" w:type="dxa"/>
              <w:left w:w="20" w:type="dxa"/>
              <w:bottom w:w="0" w:type="dxa"/>
              <w:right w:w="20" w:type="dxa"/>
            </w:tcMar>
            <w:vAlign w:val="center"/>
            <w:hideMark/>
          </w:tcPr>
          <w:p w14:paraId="7A4F5D05"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B088DE" w14:textId="77777777" w:rsidR="00000000" w:rsidRDefault="000A3118">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7C7F96D2" w14:textId="77777777" w:rsidR="00000000" w:rsidRDefault="000A3118">
            <w:pPr>
              <w:rPr>
                <w:rFonts w:eastAsia="Times New Roman"/>
              </w:rPr>
            </w:pPr>
            <w:r>
              <w:rPr>
                <w:rFonts w:eastAsia="Times New Roman"/>
                <w:color w:val="000000"/>
                <w:sz w:val="16"/>
                <w:szCs w:val="16"/>
              </w:rPr>
              <w:t>Revenue</w:t>
            </w:r>
          </w:p>
        </w:tc>
        <w:tc>
          <w:tcPr>
            <w:tcW w:w="0" w:type="auto"/>
            <w:gridSpan w:val="3"/>
            <w:shd w:val="clear" w:color="auto" w:fill="FFFFFF"/>
            <w:tcMar>
              <w:top w:w="0" w:type="dxa"/>
              <w:left w:w="20" w:type="dxa"/>
              <w:bottom w:w="0" w:type="dxa"/>
              <w:right w:w="20" w:type="dxa"/>
            </w:tcMar>
            <w:vAlign w:val="center"/>
            <w:hideMark/>
          </w:tcPr>
          <w:p w14:paraId="45C9DEE4"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hideMark/>
          </w:tcPr>
          <w:p w14:paraId="6C789A2E" w14:textId="77777777" w:rsidR="00000000" w:rsidRDefault="000A3118">
            <w:pPr>
              <w:jc w:val="right"/>
              <w:rPr>
                <w:rFonts w:eastAsia="Times New Roman"/>
              </w:rPr>
            </w:pPr>
            <w:r>
              <w:rPr>
                <w:rFonts w:eastAsia="Times New Roman"/>
                <w:color w:val="000000"/>
                <w:sz w:val="16"/>
                <w:szCs w:val="16"/>
              </w:rPr>
              <w:t>(1.8)</w:t>
            </w:r>
          </w:p>
        </w:tc>
        <w:tc>
          <w:tcPr>
            <w:tcW w:w="0" w:type="auto"/>
            <w:shd w:val="clear" w:color="auto" w:fill="FFFFFF"/>
            <w:tcMar>
              <w:top w:w="30" w:type="dxa"/>
              <w:left w:w="0" w:type="dxa"/>
              <w:bottom w:w="30" w:type="dxa"/>
              <w:right w:w="20" w:type="dxa"/>
            </w:tcMar>
            <w:hideMark/>
          </w:tcPr>
          <w:p w14:paraId="69BFD03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4CC5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33FFC13" w14:textId="77777777" w:rsidR="00000000" w:rsidRDefault="000A3118">
            <w:pPr>
              <w:jc w:val="right"/>
              <w:rPr>
                <w:rFonts w:eastAsia="Times New Roman"/>
              </w:rPr>
            </w:pPr>
            <w:r>
              <w:rPr>
                <w:rFonts w:eastAsia="Times New Roman"/>
                <w:color w:val="000000"/>
                <w:sz w:val="16"/>
                <w:szCs w:val="16"/>
              </w:rPr>
              <w:t>0.8 </w:t>
            </w:r>
          </w:p>
        </w:tc>
        <w:tc>
          <w:tcPr>
            <w:tcW w:w="0" w:type="auto"/>
            <w:shd w:val="clear" w:color="auto" w:fill="FFFFFF"/>
            <w:tcMar>
              <w:top w:w="30" w:type="dxa"/>
              <w:left w:w="0" w:type="dxa"/>
              <w:bottom w:w="30" w:type="dxa"/>
              <w:right w:w="20" w:type="dxa"/>
            </w:tcMar>
            <w:hideMark/>
          </w:tcPr>
          <w:p w14:paraId="18B6300F" w14:textId="77777777" w:rsidR="00000000" w:rsidRDefault="000A3118">
            <w:pPr>
              <w:jc w:val="right"/>
              <w:rPr>
                <w:rFonts w:eastAsia="Times New Roman"/>
              </w:rPr>
            </w:pPr>
          </w:p>
        </w:tc>
        <w:tc>
          <w:tcPr>
            <w:tcW w:w="0" w:type="auto"/>
            <w:gridSpan w:val="3"/>
            <w:vAlign w:val="center"/>
            <w:hideMark/>
          </w:tcPr>
          <w:p w14:paraId="205E6A0C" w14:textId="77777777" w:rsidR="00000000" w:rsidRDefault="000A3118">
            <w:pPr>
              <w:jc w:val="right"/>
              <w:rPr>
                <w:rFonts w:eastAsia="Times New Roman"/>
                <w:sz w:val="20"/>
                <w:szCs w:val="20"/>
              </w:rPr>
            </w:pPr>
          </w:p>
        </w:tc>
      </w:tr>
      <w:tr w:rsidR="00000000" w14:paraId="594AEDA1" w14:textId="77777777">
        <w:trPr>
          <w:divId w:val="693581917"/>
          <w:jc w:val="center"/>
        </w:trPr>
        <w:tc>
          <w:tcPr>
            <w:tcW w:w="0" w:type="auto"/>
            <w:gridSpan w:val="3"/>
            <w:shd w:val="clear" w:color="auto" w:fill="CCEEFF"/>
            <w:tcMar>
              <w:top w:w="0" w:type="dxa"/>
              <w:left w:w="20" w:type="dxa"/>
              <w:bottom w:w="0" w:type="dxa"/>
              <w:right w:w="20" w:type="dxa"/>
            </w:tcMar>
            <w:vAlign w:val="center"/>
            <w:hideMark/>
          </w:tcPr>
          <w:p w14:paraId="4AED7D92"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F7157F" w14:textId="77777777" w:rsidR="00000000" w:rsidRDefault="000A3118">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900593F" w14:textId="77777777" w:rsidR="00000000" w:rsidRDefault="000A3118">
            <w:pPr>
              <w:rPr>
                <w:rFonts w:eastAsia="Times New Roman"/>
              </w:rPr>
            </w:pPr>
            <w:r>
              <w:rPr>
                <w:rFonts w:eastAsia="Times New Roman"/>
                <w:color w:val="000000"/>
                <w:sz w:val="16"/>
                <w:szCs w:val="16"/>
              </w:rPr>
              <w:t>Other (expense), net</w:t>
            </w:r>
          </w:p>
        </w:tc>
        <w:tc>
          <w:tcPr>
            <w:tcW w:w="0" w:type="auto"/>
            <w:gridSpan w:val="3"/>
            <w:shd w:val="clear" w:color="auto" w:fill="CCEEFF"/>
            <w:tcMar>
              <w:top w:w="0" w:type="dxa"/>
              <w:left w:w="20" w:type="dxa"/>
              <w:bottom w:w="0" w:type="dxa"/>
              <w:right w:w="20" w:type="dxa"/>
            </w:tcMar>
            <w:vAlign w:val="center"/>
            <w:hideMark/>
          </w:tcPr>
          <w:p w14:paraId="6D6C6A86"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hideMark/>
          </w:tcPr>
          <w:p w14:paraId="733F9010" w14:textId="77777777" w:rsidR="00000000" w:rsidRDefault="000A3118">
            <w:pPr>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hideMark/>
          </w:tcPr>
          <w:p w14:paraId="6886998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D3A5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0C741B70" w14:textId="77777777" w:rsidR="00000000" w:rsidRDefault="000A3118">
            <w:pPr>
              <w:jc w:val="right"/>
              <w:rPr>
                <w:rFonts w:eastAsia="Times New Roman"/>
              </w:rPr>
            </w:pPr>
            <w:r>
              <w:rPr>
                <w:rFonts w:eastAsia="Times New Roman"/>
                <w:color w:val="000000"/>
                <w:sz w:val="16"/>
                <w:szCs w:val="16"/>
              </w:rPr>
              <w:t>8.2 </w:t>
            </w:r>
          </w:p>
        </w:tc>
        <w:tc>
          <w:tcPr>
            <w:tcW w:w="0" w:type="auto"/>
            <w:shd w:val="clear" w:color="auto" w:fill="CCEEFF"/>
            <w:tcMar>
              <w:top w:w="30" w:type="dxa"/>
              <w:left w:w="0" w:type="dxa"/>
              <w:bottom w:w="30" w:type="dxa"/>
              <w:right w:w="20" w:type="dxa"/>
            </w:tcMar>
            <w:hideMark/>
          </w:tcPr>
          <w:p w14:paraId="5D4D4684" w14:textId="77777777" w:rsidR="00000000" w:rsidRDefault="000A3118">
            <w:pPr>
              <w:jc w:val="right"/>
              <w:rPr>
                <w:rFonts w:eastAsia="Times New Roman"/>
              </w:rPr>
            </w:pPr>
          </w:p>
        </w:tc>
        <w:tc>
          <w:tcPr>
            <w:tcW w:w="0" w:type="auto"/>
            <w:gridSpan w:val="3"/>
            <w:vAlign w:val="center"/>
            <w:hideMark/>
          </w:tcPr>
          <w:p w14:paraId="789723F2" w14:textId="77777777" w:rsidR="00000000" w:rsidRDefault="000A3118">
            <w:pPr>
              <w:jc w:val="right"/>
              <w:rPr>
                <w:rFonts w:eastAsia="Times New Roman"/>
                <w:sz w:val="20"/>
                <w:szCs w:val="20"/>
              </w:rPr>
            </w:pPr>
          </w:p>
        </w:tc>
      </w:tr>
      <w:tr w:rsidR="00000000" w14:paraId="27119294" w14:textId="77777777">
        <w:trPr>
          <w:divId w:val="693581917"/>
          <w:jc w:val="center"/>
        </w:trPr>
        <w:tc>
          <w:tcPr>
            <w:tcW w:w="0" w:type="auto"/>
            <w:gridSpan w:val="3"/>
            <w:shd w:val="clear" w:color="auto" w:fill="FFFFFF"/>
            <w:tcMar>
              <w:top w:w="0" w:type="dxa"/>
              <w:left w:w="20" w:type="dxa"/>
              <w:bottom w:w="0" w:type="dxa"/>
              <w:right w:w="20" w:type="dxa"/>
            </w:tcMar>
            <w:vAlign w:val="center"/>
            <w:hideMark/>
          </w:tcPr>
          <w:p w14:paraId="2A8B16ED"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FB48F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2B9895"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8945F9" w14:textId="77777777" w:rsidR="00000000" w:rsidRDefault="000A3118">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34E43FE" w14:textId="77777777" w:rsidR="00000000" w:rsidRDefault="000A3118">
            <w:pPr>
              <w:jc w:val="right"/>
              <w:rPr>
                <w:rFonts w:eastAsia="Times New Roman"/>
              </w:rPr>
            </w:pPr>
            <w:r>
              <w:rPr>
                <w:rFonts w:eastAsia="Times New Roman"/>
                <w:color w:val="000000"/>
                <w:sz w:val="16"/>
                <w:szCs w:val="16"/>
              </w:rPr>
              <w:t>(2.8)</w:t>
            </w:r>
          </w:p>
        </w:tc>
        <w:tc>
          <w:tcPr>
            <w:tcW w:w="0" w:type="auto"/>
            <w:tcBorders>
              <w:top w:val="single" w:sz="8" w:space="0" w:color="000000"/>
            </w:tcBorders>
            <w:shd w:val="clear" w:color="auto" w:fill="FFFFFF"/>
            <w:tcMar>
              <w:top w:w="30" w:type="dxa"/>
              <w:left w:w="0" w:type="dxa"/>
              <w:bottom w:w="30" w:type="dxa"/>
              <w:right w:w="20" w:type="dxa"/>
            </w:tcMar>
            <w:hideMark/>
          </w:tcPr>
          <w:p w14:paraId="6C931547"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A432DD"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7340329B" w14:textId="77777777" w:rsidR="00000000" w:rsidRDefault="000A3118">
            <w:pPr>
              <w:jc w:val="right"/>
              <w:rPr>
                <w:rFonts w:eastAsia="Times New Roman"/>
              </w:rPr>
            </w:pPr>
            <w:r>
              <w:rPr>
                <w:rFonts w:eastAsia="Times New Roman"/>
                <w:color w:val="000000"/>
                <w:sz w:val="16"/>
                <w:szCs w:val="16"/>
              </w:rPr>
              <w:t>9.0 </w:t>
            </w:r>
          </w:p>
        </w:tc>
        <w:tc>
          <w:tcPr>
            <w:tcW w:w="0" w:type="auto"/>
            <w:tcBorders>
              <w:top w:val="single" w:sz="8" w:space="0" w:color="000000"/>
            </w:tcBorders>
            <w:shd w:val="clear" w:color="auto" w:fill="FFFFFF"/>
            <w:tcMar>
              <w:top w:w="30" w:type="dxa"/>
              <w:left w:w="0" w:type="dxa"/>
              <w:bottom w:w="30" w:type="dxa"/>
              <w:right w:w="20" w:type="dxa"/>
            </w:tcMar>
            <w:hideMark/>
          </w:tcPr>
          <w:p w14:paraId="00E25AD9" w14:textId="77777777" w:rsidR="00000000" w:rsidRDefault="000A3118">
            <w:pPr>
              <w:jc w:val="right"/>
              <w:rPr>
                <w:rFonts w:eastAsia="Times New Roman"/>
              </w:rPr>
            </w:pPr>
          </w:p>
        </w:tc>
        <w:tc>
          <w:tcPr>
            <w:tcW w:w="0" w:type="auto"/>
            <w:gridSpan w:val="3"/>
            <w:vAlign w:val="center"/>
            <w:hideMark/>
          </w:tcPr>
          <w:p w14:paraId="06C3F819" w14:textId="77777777" w:rsidR="00000000" w:rsidRDefault="000A3118">
            <w:pPr>
              <w:jc w:val="right"/>
              <w:rPr>
                <w:rFonts w:eastAsia="Times New Roman"/>
                <w:sz w:val="20"/>
                <w:szCs w:val="20"/>
              </w:rPr>
            </w:pPr>
          </w:p>
        </w:tc>
      </w:tr>
      <w:tr w:rsidR="00000000" w14:paraId="08C63DA8" w14:textId="77777777">
        <w:trPr>
          <w:divId w:val="693581917"/>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14:paraId="6830FF48" w14:textId="77777777" w:rsidR="00000000" w:rsidRDefault="000A3118">
            <w:pPr>
              <w:rPr>
                <w:rFonts w:eastAsia="Times New Roman"/>
              </w:rPr>
            </w:pPr>
            <w:r>
              <w:rPr>
                <w:rFonts w:eastAsia="Times New Roman"/>
                <w:color w:val="000000"/>
                <w:sz w:val="16"/>
                <w:szCs w:val="16"/>
              </w:rPr>
              <w:t>Total Gain (Loss)</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ABE689A" w14:textId="77777777" w:rsidR="00000000" w:rsidRDefault="000A3118">
            <w:pPr>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5BFAC45" w14:textId="77777777" w:rsidR="00000000" w:rsidRDefault="000A3118">
            <w:pPr>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540A21E"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6B98249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46C006C6" w14:textId="77777777" w:rsidR="00000000" w:rsidRDefault="000A3118">
            <w:pPr>
              <w:jc w:val="right"/>
              <w:rPr>
                <w:rFonts w:eastAsia="Times New Roman"/>
              </w:rPr>
            </w:pPr>
            <w:r>
              <w:rPr>
                <w:rFonts w:eastAsia="Times New Roman"/>
                <w:color w:val="000000"/>
                <w:sz w:val="16"/>
                <w:szCs w:val="16"/>
              </w:rPr>
              <w:t>116.8 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4FD0BF02"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63C8AD8"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2BA72F2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47C8A4DD" w14:textId="77777777" w:rsidR="00000000" w:rsidRDefault="000A3118">
            <w:pPr>
              <w:jc w:val="right"/>
              <w:rPr>
                <w:rFonts w:eastAsia="Times New Roman"/>
              </w:rPr>
            </w:pPr>
            <w:r>
              <w:rPr>
                <w:rFonts w:eastAsia="Times New Roman"/>
                <w:color w:val="000000"/>
                <w:sz w:val="16"/>
                <w:szCs w:val="16"/>
              </w:rPr>
              <w:t>44.8 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776986E0" w14:textId="77777777" w:rsidR="00000000" w:rsidRDefault="000A3118">
            <w:pPr>
              <w:jc w:val="right"/>
              <w:rPr>
                <w:rFonts w:eastAsia="Times New Roman"/>
              </w:rPr>
            </w:pPr>
          </w:p>
        </w:tc>
        <w:tc>
          <w:tcPr>
            <w:tcW w:w="0" w:type="auto"/>
            <w:gridSpan w:val="3"/>
            <w:vAlign w:val="center"/>
            <w:hideMark/>
          </w:tcPr>
          <w:p w14:paraId="2668425A" w14:textId="77777777" w:rsidR="00000000" w:rsidRDefault="000A3118">
            <w:pPr>
              <w:jc w:val="right"/>
              <w:rPr>
                <w:rFonts w:eastAsia="Times New Roman"/>
                <w:sz w:val="20"/>
                <w:szCs w:val="20"/>
              </w:rPr>
            </w:pPr>
          </w:p>
        </w:tc>
      </w:tr>
    </w:tbl>
    <w:p w14:paraId="38380A08" w14:textId="77777777" w:rsidR="00000000" w:rsidRDefault="000A3118">
      <w:pPr>
        <w:divId w:val="1359043591"/>
        <w:rPr>
          <w:rFonts w:eastAsia="Times New Roman"/>
        </w:rPr>
      </w:pPr>
      <w:r>
        <w:rPr>
          <w:rFonts w:eastAsia="Times New Roman"/>
          <w:b/>
          <w:bCs/>
          <w:color w:val="000000"/>
          <w:sz w:val="20"/>
          <w:szCs w:val="20"/>
        </w:rPr>
        <w:t>  </w:t>
      </w:r>
      <w:r>
        <w:rPr>
          <w:rFonts w:eastAsia="Times New Roman"/>
          <w:b/>
          <w:bCs/>
          <w:color w:val="000000"/>
          <w:sz w:val="20"/>
          <w:szCs w:val="20"/>
        </w:rPr>
        <w:t>  </w:t>
      </w:r>
    </w:p>
    <w:p w14:paraId="58E5B0FE" w14:textId="77777777" w:rsidR="00000000" w:rsidRDefault="000A3118">
      <w:pPr>
        <w:jc w:val="center"/>
        <w:divId w:val="234975488"/>
        <w:rPr>
          <w:rFonts w:eastAsia="Times New Roman"/>
        </w:rPr>
      </w:pPr>
      <w:r>
        <w:rPr>
          <w:rFonts w:eastAsia="Times New Roman"/>
          <w:color w:val="000000"/>
          <w:sz w:val="20"/>
          <w:szCs w:val="20"/>
        </w:rPr>
        <w:t>15</w:t>
      </w:r>
    </w:p>
    <w:p w14:paraId="7EC3E32D" w14:textId="77777777" w:rsidR="00000000" w:rsidRDefault="000A3118">
      <w:pPr>
        <w:rPr>
          <w:rFonts w:eastAsia="Times New Roman"/>
        </w:rPr>
      </w:pPr>
      <w:r>
        <w:rPr>
          <w:rFonts w:eastAsia="Times New Roman"/>
        </w:rPr>
        <w:pict w14:anchorId="6B044230">
          <v:rect id="_x0000_i1043" style="width:0;height:1.5pt" o:hralign="center" o:hrstd="t" o:hr="t" fillcolor="#a0a0a0" stroked="f"/>
        </w:pict>
      </w:r>
    </w:p>
    <w:p w14:paraId="3BEF2C8F" w14:textId="77777777" w:rsidR="00000000" w:rsidRDefault="000A3118">
      <w:pPr>
        <w:divId w:val="1997222963"/>
        <w:rPr>
          <w:rFonts w:eastAsia="Times New Roman"/>
        </w:rPr>
      </w:pPr>
    </w:p>
    <w:p w14:paraId="618D437D" w14:textId="77777777" w:rsidR="00000000" w:rsidRDefault="000A3118">
      <w:pPr>
        <w:ind w:firstLine="360"/>
        <w:divId w:val="1323391705"/>
        <w:rPr>
          <w:rFonts w:eastAsia="Times New Roman"/>
        </w:rPr>
      </w:pPr>
      <w:r>
        <w:rPr>
          <w:rFonts w:eastAsia="Times New Roman"/>
          <w:b/>
          <w:bCs/>
          <w:color w:val="000000"/>
          <w:sz w:val="20"/>
          <w:szCs w:val="20"/>
        </w:rPr>
        <w:t>Credit-Risk-Related Contingent Features</w:t>
      </w:r>
    </w:p>
    <w:p w14:paraId="0362EE93" w14:textId="77777777" w:rsidR="00000000" w:rsidRDefault="000A3118">
      <w:pPr>
        <w:ind w:firstLine="720"/>
        <w:divId w:val="1253007145"/>
        <w:rPr>
          <w:rFonts w:eastAsia="Times New Roman"/>
        </w:rPr>
      </w:pPr>
      <w:r>
        <w:rPr>
          <w:rFonts w:eastAsia="Times New Roman"/>
          <w:color w:val="000000"/>
          <w:sz w:val="20"/>
          <w:szCs w:val="20"/>
        </w:rPr>
        <w:t> </w:t>
      </w:r>
    </w:p>
    <w:p w14:paraId="056740EB" w14:textId="77777777" w:rsidR="00000000" w:rsidRDefault="000A3118">
      <w:pPr>
        <w:ind w:firstLine="360"/>
        <w:jc w:val="both"/>
        <w:divId w:val="1234778658"/>
        <w:rPr>
          <w:rFonts w:eastAsia="Times New Roman"/>
        </w:rPr>
      </w:pPr>
      <w:r>
        <w:rPr>
          <w:rFonts w:eastAsia="Times New Roman"/>
          <w:color w:val="000000"/>
          <w:sz w:val="20"/>
          <w:szCs w:val="20"/>
        </w:rPr>
        <w:t xml:space="preserve">We enter into derivative contracts, which may require us to provide collateral periodically. Additionally, certain derivative contracts contain credit-risk-related contingent clauses that are triggered by credit events. These credit events may include the </w:t>
      </w:r>
      <w:r>
        <w:rPr>
          <w:rFonts w:eastAsia="Times New Roman"/>
          <w:color w:val="000000"/>
          <w:sz w:val="20"/>
          <w:szCs w:val="20"/>
        </w:rPr>
        <w:t>requirement to provide additional collateral or the immediate settlement of the derivative instruments upon the occurrence of such credit event or default. The following table presents the potential collateral requirements for derivative liabilities with c</w:t>
      </w:r>
      <w:r>
        <w:rPr>
          <w:rFonts w:eastAsia="Times New Roman"/>
          <w:color w:val="000000"/>
          <w:sz w:val="20"/>
          <w:szCs w:val="20"/>
        </w:rPr>
        <w:t>redit-risk-contingent features as of September 30, 2020 and December 31, 2019 (in millions):</w:t>
      </w:r>
    </w:p>
    <w:tbl>
      <w:tblPr>
        <w:tblW w:w="4992" w:type="pct"/>
        <w:tblCellMar>
          <w:top w:w="15" w:type="dxa"/>
          <w:left w:w="15" w:type="dxa"/>
          <w:bottom w:w="15" w:type="dxa"/>
          <w:right w:w="15" w:type="dxa"/>
        </w:tblCellMar>
        <w:tblLook w:val="04A0" w:firstRow="1" w:lastRow="0" w:firstColumn="1" w:lastColumn="0" w:noHBand="0" w:noVBand="1"/>
      </w:tblPr>
      <w:tblGrid>
        <w:gridCol w:w="44"/>
        <w:gridCol w:w="5494"/>
        <w:gridCol w:w="37"/>
        <w:gridCol w:w="36"/>
        <w:gridCol w:w="36"/>
        <w:gridCol w:w="36"/>
        <w:gridCol w:w="36"/>
        <w:gridCol w:w="101"/>
        <w:gridCol w:w="1095"/>
        <w:gridCol w:w="37"/>
        <w:gridCol w:w="36"/>
        <w:gridCol w:w="36"/>
        <w:gridCol w:w="36"/>
        <w:gridCol w:w="101"/>
        <w:gridCol w:w="1095"/>
        <w:gridCol w:w="37"/>
      </w:tblGrid>
      <w:tr w:rsidR="00000000" w14:paraId="45780A78" w14:textId="77777777">
        <w:trPr>
          <w:divId w:val="11762706"/>
        </w:trPr>
        <w:tc>
          <w:tcPr>
            <w:tcW w:w="50" w:type="pct"/>
            <w:vAlign w:val="center"/>
            <w:hideMark/>
          </w:tcPr>
          <w:p w14:paraId="65321DBC" w14:textId="77777777" w:rsidR="00000000" w:rsidRDefault="000A3118">
            <w:pPr>
              <w:ind w:firstLine="360"/>
              <w:jc w:val="both"/>
              <w:rPr>
                <w:rFonts w:eastAsia="Times New Roman"/>
              </w:rPr>
            </w:pPr>
          </w:p>
        </w:tc>
        <w:tc>
          <w:tcPr>
            <w:tcW w:w="3349" w:type="pct"/>
            <w:vAlign w:val="center"/>
            <w:hideMark/>
          </w:tcPr>
          <w:p w14:paraId="4EAB8F23" w14:textId="77777777" w:rsidR="00000000" w:rsidRDefault="000A3118">
            <w:pPr>
              <w:rPr>
                <w:rFonts w:eastAsia="Times New Roman"/>
                <w:sz w:val="20"/>
                <w:szCs w:val="20"/>
              </w:rPr>
            </w:pPr>
          </w:p>
        </w:tc>
        <w:tc>
          <w:tcPr>
            <w:tcW w:w="5" w:type="pct"/>
            <w:vAlign w:val="center"/>
            <w:hideMark/>
          </w:tcPr>
          <w:p w14:paraId="269F0363" w14:textId="77777777" w:rsidR="00000000" w:rsidRDefault="000A3118">
            <w:pPr>
              <w:rPr>
                <w:rFonts w:eastAsia="Times New Roman"/>
                <w:sz w:val="20"/>
                <w:szCs w:val="20"/>
              </w:rPr>
            </w:pPr>
          </w:p>
        </w:tc>
        <w:tc>
          <w:tcPr>
            <w:tcW w:w="0" w:type="auto"/>
            <w:vAlign w:val="center"/>
            <w:hideMark/>
          </w:tcPr>
          <w:p w14:paraId="3D51C65B" w14:textId="77777777" w:rsidR="00000000" w:rsidRDefault="000A3118">
            <w:pPr>
              <w:rPr>
                <w:rFonts w:eastAsia="Times New Roman"/>
                <w:sz w:val="20"/>
                <w:szCs w:val="20"/>
              </w:rPr>
            </w:pPr>
          </w:p>
        </w:tc>
        <w:tc>
          <w:tcPr>
            <w:tcW w:w="5" w:type="pct"/>
            <w:vAlign w:val="center"/>
            <w:hideMark/>
          </w:tcPr>
          <w:p w14:paraId="05335F4A" w14:textId="77777777" w:rsidR="00000000" w:rsidRDefault="000A3118">
            <w:pPr>
              <w:rPr>
                <w:rFonts w:eastAsia="Times New Roman"/>
                <w:sz w:val="20"/>
                <w:szCs w:val="20"/>
              </w:rPr>
            </w:pPr>
          </w:p>
        </w:tc>
        <w:tc>
          <w:tcPr>
            <w:tcW w:w="26" w:type="pct"/>
            <w:vAlign w:val="center"/>
            <w:hideMark/>
          </w:tcPr>
          <w:p w14:paraId="1EDB3F46" w14:textId="77777777" w:rsidR="00000000" w:rsidRDefault="000A3118">
            <w:pPr>
              <w:rPr>
                <w:rFonts w:eastAsia="Times New Roman"/>
                <w:sz w:val="20"/>
                <w:szCs w:val="20"/>
              </w:rPr>
            </w:pPr>
          </w:p>
        </w:tc>
        <w:tc>
          <w:tcPr>
            <w:tcW w:w="5" w:type="pct"/>
            <w:vAlign w:val="center"/>
            <w:hideMark/>
          </w:tcPr>
          <w:p w14:paraId="5C172C68" w14:textId="77777777" w:rsidR="00000000" w:rsidRDefault="000A3118">
            <w:pPr>
              <w:rPr>
                <w:rFonts w:eastAsia="Times New Roman"/>
                <w:sz w:val="20"/>
                <w:szCs w:val="20"/>
              </w:rPr>
            </w:pPr>
          </w:p>
        </w:tc>
        <w:tc>
          <w:tcPr>
            <w:tcW w:w="50" w:type="pct"/>
            <w:vAlign w:val="center"/>
            <w:hideMark/>
          </w:tcPr>
          <w:p w14:paraId="000F72AB" w14:textId="77777777" w:rsidR="00000000" w:rsidRDefault="000A3118">
            <w:pPr>
              <w:rPr>
                <w:rFonts w:eastAsia="Times New Roman"/>
                <w:sz w:val="20"/>
                <w:szCs w:val="20"/>
              </w:rPr>
            </w:pPr>
          </w:p>
        </w:tc>
        <w:tc>
          <w:tcPr>
            <w:tcW w:w="706" w:type="pct"/>
            <w:vAlign w:val="center"/>
            <w:hideMark/>
          </w:tcPr>
          <w:p w14:paraId="6BAEB846" w14:textId="77777777" w:rsidR="00000000" w:rsidRDefault="000A3118">
            <w:pPr>
              <w:rPr>
                <w:rFonts w:eastAsia="Times New Roman"/>
                <w:sz w:val="20"/>
                <w:szCs w:val="20"/>
              </w:rPr>
            </w:pPr>
          </w:p>
        </w:tc>
        <w:tc>
          <w:tcPr>
            <w:tcW w:w="5" w:type="pct"/>
            <w:vAlign w:val="center"/>
            <w:hideMark/>
          </w:tcPr>
          <w:p w14:paraId="28E05170" w14:textId="77777777" w:rsidR="00000000" w:rsidRDefault="000A3118">
            <w:pPr>
              <w:rPr>
                <w:rFonts w:eastAsia="Times New Roman"/>
                <w:sz w:val="20"/>
                <w:szCs w:val="20"/>
              </w:rPr>
            </w:pPr>
          </w:p>
        </w:tc>
        <w:tc>
          <w:tcPr>
            <w:tcW w:w="5" w:type="pct"/>
            <w:vAlign w:val="center"/>
            <w:hideMark/>
          </w:tcPr>
          <w:p w14:paraId="40A10E7A" w14:textId="77777777" w:rsidR="00000000" w:rsidRDefault="000A3118">
            <w:pPr>
              <w:rPr>
                <w:rFonts w:eastAsia="Times New Roman"/>
                <w:sz w:val="20"/>
                <w:szCs w:val="20"/>
              </w:rPr>
            </w:pPr>
          </w:p>
        </w:tc>
        <w:tc>
          <w:tcPr>
            <w:tcW w:w="26" w:type="pct"/>
            <w:vAlign w:val="center"/>
            <w:hideMark/>
          </w:tcPr>
          <w:p w14:paraId="7DB54186" w14:textId="77777777" w:rsidR="00000000" w:rsidRDefault="000A3118">
            <w:pPr>
              <w:rPr>
                <w:rFonts w:eastAsia="Times New Roman"/>
                <w:sz w:val="20"/>
                <w:szCs w:val="20"/>
              </w:rPr>
            </w:pPr>
          </w:p>
        </w:tc>
        <w:tc>
          <w:tcPr>
            <w:tcW w:w="5" w:type="pct"/>
            <w:vAlign w:val="center"/>
            <w:hideMark/>
          </w:tcPr>
          <w:p w14:paraId="2D9F9E67" w14:textId="77777777" w:rsidR="00000000" w:rsidRDefault="000A3118">
            <w:pPr>
              <w:rPr>
                <w:rFonts w:eastAsia="Times New Roman"/>
                <w:sz w:val="20"/>
                <w:szCs w:val="20"/>
              </w:rPr>
            </w:pPr>
          </w:p>
        </w:tc>
        <w:tc>
          <w:tcPr>
            <w:tcW w:w="50" w:type="pct"/>
            <w:vAlign w:val="center"/>
            <w:hideMark/>
          </w:tcPr>
          <w:p w14:paraId="5F8C9E79" w14:textId="77777777" w:rsidR="00000000" w:rsidRDefault="000A3118">
            <w:pPr>
              <w:rPr>
                <w:rFonts w:eastAsia="Times New Roman"/>
                <w:sz w:val="20"/>
                <w:szCs w:val="20"/>
              </w:rPr>
            </w:pPr>
          </w:p>
        </w:tc>
        <w:tc>
          <w:tcPr>
            <w:tcW w:w="706" w:type="pct"/>
            <w:vAlign w:val="center"/>
            <w:hideMark/>
          </w:tcPr>
          <w:p w14:paraId="30A8659E" w14:textId="77777777" w:rsidR="00000000" w:rsidRDefault="000A3118">
            <w:pPr>
              <w:rPr>
                <w:rFonts w:eastAsia="Times New Roman"/>
                <w:sz w:val="20"/>
                <w:szCs w:val="20"/>
              </w:rPr>
            </w:pPr>
          </w:p>
        </w:tc>
        <w:tc>
          <w:tcPr>
            <w:tcW w:w="5" w:type="pct"/>
            <w:vAlign w:val="center"/>
            <w:hideMark/>
          </w:tcPr>
          <w:p w14:paraId="474F3A2F" w14:textId="77777777" w:rsidR="00000000" w:rsidRDefault="000A3118">
            <w:pPr>
              <w:rPr>
                <w:rFonts w:eastAsia="Times New Roman"/>
                <w:sz w:val="20"/>
                <w:szCs w:val="20"/>
              </w:rPr>
            </w:pPr>
          </w:p>
        </w:tc>
      </w:tr>
      <w:tr w:rsidR="00000000" w14:paraId="540D9A38" w14:textId="77777777">
        <w:trPr>
          <w:divId w:val="11762706"/>
        </w:trPr>
        <w:tc>
          <w:tcPr>
            <w:tcW w:w="0" w:type="auto"/>
            <w:gridSpan w:val="3"/>
            <w:tcMar>
              <w:top w:w="0" w:type="dxa"/>
              <w:left w:w="20" w:type="dxa"/>
              <w:bottom w:w="0" w:type="dxa"/>
              <w:right w:w="20" w:type="dxa"/>
            </w:tcMar>
            <w:vAlign w:val="center"/>
            <w:hideMark/>
          </w:tcPr>
          <w:p w14:paraId="29367EED" w14:textId="77777777" w:rsidR="00000000" w:rsidRDefault="000A3118">
            <w:pPr>
              <w:rPr>
                <w:rFonts w:eastAsia="Times New Roman"/>
                <w:sz w:val="20"/>
                <w:szCs w:val="20"/>
              </w:rPr>
            </w:pPr>
          </w:p>
        </w:tc>
        <w:tc>
          <w:tcPr>
            <w:tcW w:w="0" w:type="auto"/>
            <w:vAlign w:val="center"/>
            <w:hideMark/>
          </w:tcPr>
          <w:p w14:paraId="2AB02211"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217A318"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hideMark/>
          </w:tcPr>
          <w:p w14:paraId="1FD89D0C" w14:textId="77777777" w:rsidR="00000000" w:rsidRDefault="000A3118">
            <w:pPr>
              <w:jc w:val="center"/>
              <w:rPr>
                <w:rFonts w:eastAsia="Times New Roman"/>
              </w:rPr>
            </w:pPr>
            <w:r>
              <w:rPr>
                <w:rFonts w:eastAsia="Times New Roman"/>
                <w:b/>
                <w:bCs/>
                <w:color w:val="333333"/>
                <w:sz w:val="16"/>
                <w:szCs w:val="16"/>
              </w:rPr>
              <w:t xml:space="preserve">Potential Collateral Requirements for </w:t>
            </w:r>
            <w:r>
              <w:rPr>
                <w:rFonts w:eastAsia="Times New Roman"/>
                <w:b/>
                <w:bCs/>
                <w:color w:val="333333"/>
                <w:sz w:val="16"/>
                <w:szCs w:val="16"/>
              </w:rPr>
              <w:br/>
              <w:t xml:space="preserve">Derivative Liabilities with </w:t>
            </w:r>
            <w:r>
              <w:rPr>
                <w:rFonts w:eastAsia="Times New Roman"/>
                <w:b/>
                <w:bCs/>
                <w:color w:val="333333"/>
                <w:sz w:val="16"/>
                <w:szCs w:val="16"/>
              </w:rPr>
              <w:br/>
              <w:t>Credit-Risk-Contingent Features</w:t>
            </w:r>
          </w:p>
        </w:tc>
      </w:tr>
      <w:tr w:rsidR="00000000" w14:paraId="237B271F" w14:textId="77777777">
        <w:trPr>
          <w:divId w:val="11762706"/>
        </w:trPr>
        <w:tc>
          <w:tcPr>
            <w:tcW w:w="0" w:type="auto"/>
            <w:gridSpan w:val="3"/>
            <w:tcMar>
              <w:top w:w="0" w:type="dxa"/>
              <w:left w:w="20" w:type="dxa"/>
              <w:bottom w:w="0" w:type="dxa"/>
              <w:right w:w="20" w:type="dxa"/>
            </w:tcMar>
            <w:vAlign w:val="center"/>
            <w:hideMark/>
          </w:tcPr>
          <w:p w14:paraId="28E22D6A" w14:textId="77777777" w:rsidR="00000000" w:rsidRDefault="000A3118">
            <w:pPr>
              <w:jc w:val="center"/>
              <w:rPr>
                <w:rFonts w:eastAsia="Times New Roman"/>
              </w:rPr>
            </w:pPr>
          </w:p>
        </w:tc>
        <w:tc>
          <w:tcPr>
            <w:tcW w:w="0" w:type="auto"/>
            <w:vAlign w:val="center"/>
            <w:hideMark/>
          </w:tcPr>
          <w:p w14:paraId="07F4F189"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5AE2C6D2"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48F24D04" w14:textId="77777777" w:rsidR="00000000" w:rsidRDefault="000A3118">
            <w:pPr>
              <w:jc w:val="center"/>
              <w:rPr>
                <w:rFonts w:eastAsia="Times New Roman"/>
              </w:rPr>
            </w:pPr>
            <w:r>
              <w:rPr>
                <w:rFonts w:eastAsia="Times New Roman"/>
                <w:b/>
                <w:bCs/>
                <w:color w:val="333333"/>
                <w:sz w:val="16"/>
                <w:szCs w:val="16"/>
              </w:rPr>
              <w:t>As of September 30, 2020</w:t>
            </w:r>
          </w:p>
        </w:tc>
        <w:tc>
          <w:tcPr>
            <w:tcW w:w="0" w:type="auto"/>
            <w:gridSpan w:val="3"/>
            <w:tcBorders>
              <w:top w:val="single" w:sz="8" w:space="0" w:color="000000"/>
            </w:tcBorders>
            <w:tcMar>
              <w:top w:w="0" w:type="dxa"/>
              <w:left w:w="20" w:type="dxa"/>
              <w:bottom w:w="0" w:type="dxa"/>
              <w:right w:w="20" w:type="dxa"/>
            </w:tcMar>
            <w:vAlign w:val="center"/>
            <w:hideMark/>
          </w:tcPr>
          <w:p w14:paraId="12816D6B"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A4F68FB" w14:textId="77777777" w:rsidR="00000000" w:rsidRDefault="000A3118">
            <w:pPr>
              <w:jc w:val="center"/>
              <w:rPr>
                <w:rFonts w:eastAsia="Times New Roman"/>
              </w:rPr>
            </w:pPr>
            <w:r>
              <w:rPr>
                <w:rFonts w:eastAsia="Times New Roman"/>
                <w:b/>
                <w:bCs/>
                <w:color w:val="333333"/>
                <w:sz w:val="16"/>
                <w:szCs w:val="16"/>
              </w:rPr>
              <w:t>As of December 31, 2019</w:t>
            </w:r>
          </w:p>
        </w:tc>
      </w:tr>
      <w:tr w:rsidR="00000000" w14:paraId="13685438" w14:textId="77777777">
        <w:trPr>
          <w:divId w:val="11762706"/>
        </w:trPr>
        <w:tc>
          <w:tcPr>
            <w:tcW w:w="0" w:type="auto"/>
            <w:gridSpan w:val="3"/>
            <w:tcBorders>
              <w:top w:val="single" w:sz="8" w:space="0" w:color="000000"/>
            </w:tcBorders>
            <w:shd w:val="clear" w:color="auto" w:fill="CCEEFF"/>
            <w:tcMar>
              <w:top w:w="30" w:type="dxa"/>
              <w:left w:w="20" w:type="dxa"/>
              <w:bottom w:w="30" w:type="dxa"/>
              <w:right w:w="20" w:type="dxa"/>
            </w:tcMar>
            <w:hideMark/>
          </w:tcPr>
          <w:p w14:paraId="4698A41B" w14:textId="77777777" w:rsidR="00000000" w:rsidRDefault="000A3118">
            <w:pPr>
              <w:rPr>
                <w:rFonts w:eastAsia="Times New Roman"/>
              </w:rPr>
            </w:pPr>
            <w:r>
              <w:rPr>
                <w:rFonts w:eastAsia="Times New Roman"/>
                <w:color w:val="000000"/>
                <w:sz w:val="16"/>
                <w:szCs w:val="16"/>
              </w:rPr>
              <w:t>Net derivative liability positions with credit contingent features</w:t>
            </w:r>
          </w:p>
        </w:tc>
        <w:tc>
          <w:tcPr>
            <w:tcW w:w="0" w:type="auto"/>
            <w:vAlign w:val="center"/>
            <w:hideMark/>
          </w:tcPr>
          <w:p w14:paraId="68DC8376"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AC3608" w14:textId="77777777" w:rsidR="00000000" w:rsidRDefault="000A3118">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5FA1CDE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hideMark/>
          </w:tcPr>
          <w:p w14:paraId="5D645667" w14:textId="77777777" w:rsidR="00000000" w:rsidRDefault="000A3118">
            <w:pPr>
              <w:jc w:val="right"/>
              <w:rPr>
                <w:rFonts w:eastAsia="Times New Roman"/>
              </w:rPr>
            </w:pPr>
            <w:r>
              <w:rPr>
                <w:rFonts w:eastAsia="Times New Roman"/>
                <w:color w:val="000000"/>
                <w:sz w:val="16"/>
                <w:szCs w:val="16"/>
              </w:rPr>
              <w:t>40.6 </w:t>
            </w:r>
          </w:p>
        </w:tc>
        <w:tc>
          <w:tcPr>
            <w:tcW w:w="0" w:type="auto"/>
            <w:tcBorders>
              <w:top w:val="single" w:sz="8" w:space="0" w:color="000000"/>
            </w:tcBorders>
            <w:shd w:val="clear" w:color="auto" w:fill="CCEEFF"/>
            <w:tcMar>
              <w:top w:w="30" w:type="dxa"/>
              <w:left w:w="0" w:type="dxa"/>
              <w:bottom w:w="30" w:type="dxa"/>
              <w:right w:w="20" w:type="dxa"/>
            </w:tcMar>
            <w:hideMark/>
          </w:tcPr>
          <w:p w14:paraId="6D539E8F"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F6B86E"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030E1DC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hideMark/>
          </w:tcPr>
          <w:p w14:paraId="4F98BED2" w14:textId="77777777" w:rsidR="00000000" w:rsidRDefault="000A3118">
            <w:pPr>
              <w:jc w:val="right"/>
              <w:rPr>
                <w:rFonts w:eastAsia="Times New Roman"/>
              </w:rPr>
            </w:pPr>
            <w:r>
              <w:rPr>
                <w:rFonts w:eastAsia="Times New Roman"/>
                <w:color w:val="000000"/>
                <w:sz w:val="16"/>
                <w:szCs w:val="16"/>
              </w:rPr>
              <w:t>45.6 </w:t>
            </w:r>
          </w:p>
        </w:tc>
        <w:tc>
          <w:tcPr>
            <w:tcW w:w="0" w:type="auto"/>
            <w:tcBorders>
              <w:top w:val="single" w:sz="8" w:space="0" w:color="000000"/>
            </w:tcBorders>
            <w:shd w:val="clear" w:color="auto" w:fill="CCEEFF"/>
            <w:tcMar>
              <w:top w:w="30" w:type="dxa"/>
              <w:left w:w="0" w:type="dxa"/>
              <w:bottom w:w="30" w:type="dxa"/>
              <w:right w:w="20" w:type="dxa"/>
            </w:tcMar>
            <w:hideMark/>
          </w:tcPr>
          <w:p w14:paraId="31DD573C" w14:textId="77777777" w:rsidR="00000000" w:rsidRDefault="000A3118">
            <w:pPr>
              <w:jc w:val="right"/>
              <w:rPr>
                <w:rFonts w:eastAsia="Times New Roman"/>
              </w:rPr>
            </w:pPr>
          </w:p>
        </w:tc>
      </w:tr>
      <w:tr w:rsidR="00000000" w14:paraId="72BC1387" w14:textId="77777777">
        <w:trPr>
          <w:divId w:val="11762706"/>
        </w:trPr>
        <w:tc>
          <w:tcPr>
            <w:tcW w:w="0" w:type="auto"/>
            <w:gridSpan w:val="3"/>
            <w:shd w:val="clear" w:color="auto" w:fill="FFFFFF"/>
            <w:tcMar>
              <w:top w:w="30" w:type="dxa"/>
              <w:left w:w="20" w:type="dxa"/>
              <w:bottom w:w="30" w:type="dxa"/>
              <w:right w:w="20" w:type="dxa"/>
            </w:tcMar>
            <w:hideMark/>
          </w:tcPr>
          <w:p w14:paraId="24739D65" w14:textId="77777777" w:rsidR="00000000" w:rsidRDefault="000A3118">
            <w:pPr>
              <w:rPr>
                <w:rFonts w:eastAsia="Times New Roman"/>
              </w:rPr>
            </w:pPr>
            <w:r>
              <w:rPr>
                <w:rFonts w:eastAsia="Times New Roman"/>
                <w:color w:val="000000"/>
                <w:sz w:val="16"/>
                <w:szCs w:val="16"/>
              </w:rPr>
              <w:t>Collateral posted and held by our counterparties</w:t>
            </w:r>
          </w:p>
        </w:tc>
        <w:tc>
          <w:tcPr>
            <w:tcW w:w="0" w:type="auto"/>
            <w:vAlign w:val="center"/>
            <w:hideMark/>
          </w:tcPr>
          <w:p w14:paraId="0269F640"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189E76" w14:textId="77777777" w:rsidR="00000000" w:rsidRDefault="000A3118">
            <w:pPr>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983EAF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04D9C4E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363C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CF69F6E"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hideMark/>
          </w:tcPr>
          <w:p w14:paraId="2C4F2145" w14:textId="77777777" w:rsidR="00000000" w:rsidRDefault="000A3118">
            <w:pPr>
              <w:jc w:val="right"/>
              <w:rPr>
                <w:rFonts w:eastAsia="Times New Roman"/>
              </w:rPr>
            </w:pPr>
          </w:p>
        </w:tc>
      </w:tr>
      <w:tr w:rsidR="00000000" w14:paraId="4AFDCEC9" w14:textId="77777777">
        <w:trPr>
          <w:divId w:val="11762706"/>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14:paraId="34461C7A" w14:textId="77777777" w:rsidR="00000000" w:rsidRDefault="000A3118">
            <w:pPr>
              <w:rPr>
                <w:rFonts w:eastAsia="Times New Roman"/>
              </w:rPr>
            </w:pPr>
            <w:r>
              <w:rPr>
                <w:rFonts w:eastAsia="Times New Roman"/>
                <w:color w:val="000000"/>
                <w:sz w:val="16"/>
                <w:szCs w:val="16"/>
              </w:rPr>
              <w:t>Maximum additional potential collateral requirements</w:t>
            </w:r>
          </w:p>
        </w:tc>
        <w:tc>
          <w:tcPr>
            <w:tcW w:w="0" w:type="auto"/>
            <w:vAlign w:val="center"/>
            <w:hideMark/>
          </w:tcPr>
          <w:p w14:paraId="00BF46AC" w14:textId="77777777" w:rsidR="00000000" w:rsidRDefault="000A3118">
            <w:pPr>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506D980"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32D2D30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5CF58196" w14:textId="77777777" w:rsidR="00000000" w:rsidRDefault="000A3118">
            <w:pPr>
              <w:jc w:val="right"/>
              <w:rPr>
                <w:rFonts w:eastAsia="Times New Roman"/>
              </w:rPr>
            </w:pPr>
            <w:r>
              <w:rPr>
                <w:rFonts w:eastAsia="Times New Roman"/>
                <w:color w:val="000000"/>
                <w:sz w:val="16"/>
                <w:szCs w:val="16"/>
              </w:rPr>
              <w:t>40.6 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5179487C"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4DE9397"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14:paraId="59D0D9D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14:paraId="3C4168EA" w14:textId="77777777" w:rsidR="00000000" w:rsidRDefault="000A3118">
            <w:pPr>
              <w:jc w:val="right"/>
              <w:rPr>
                <w:rFonts w:eastAsia="Times New Roman"/>
              </w:rPr>
            </w:pPr>
            <w:r>
              <w:rPr>
                <w:rFonts w:eastAsia="Times New Roman"/>
                <w:color w:val="000000"/>
                <w:sz w:val="16"/>
                <w:szCs w:val="16"/>
              </w:rPr>
              <w:t>45.6 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14:paraId="3462BD1D" w14:textId="77777777" w:rsidR="00000000" w:rsidRDefault="000A3118">
            <w:pPr>
              <w:jc w:val="right"/>
              <w:rPr>
                <w:rFonts w:eastAsia="Times New Roman"/>
              </w:rPr>
            </w:pPr>
          </w:p>
        </w:tc>
      </w:tr>
    </w:tbl>
    <w:p w14:paraId="05F2D947" w14:textId="77777777" w:rsidR="00000000" w:rsidRDefault="000A3118">
      <w:pPr>
        <w:divId w:val="1734353305"/>
        <w:rPr>
          <w:rFonts w:eastAsia="Times New Roman"/>
        </w:rPr>
      </w:pPr>
    </w:p>
    <w:p w14:paraId="50862D9E" w14:textId="77777777" w:rsidR="00000000" w:rsidRDefault="000A3118">
      <w:pPr>
        <w:divId w:val="2046103517"/>
        <w:rPr>
          <w:rFonts w:eastAsia="Times New Roman"/>
        </w:rPr>
      </w:pPr>
    </w:p>
    <w:p w14:paraId="4690E269" w14:textId="77777777" w:rsidR="00000000" w:rsidRDefault="000A3118">
      <w:pPr>
        <w:divId w:val="397677683"/>
        <w:rPr>
          <w:rFonts w:eastAsia="Times New Roman"/>
        </w:rPr>
      </w:pPr>
      <w:r>
        <w:rPr>
          <w:rFonts w:eastAsia="Times New Roman"/>
          <w:b/>
          <w:bCs/>
          <w:color w:val="000000"/>
          <w:sz w:val="20"/>
          <w:szCs w:val="20"/>
        </w:rPr>
        <w:t>5. Goodwill</w:t>
      </w:r>
    </w:p>
    <w:p w14:paraId="3F4AB215" w14:textId="77777777" w:rsidR="00000000" w:rsidRDefault="000A3118">
      <w:pPr>
        <w:ind w:firstLine="720"/>
        <w:divId w:val="67272611"/>
        <w:rPr>
          <w:rFonts w:eastAsia="Times New Roman"/>
        </w:rPr>
      </w:pPr>
      <w:r>
        <w:rPr>
          <w:rFonts w:eastAsia="Times New Roman"/>
          <w:color w:val="000000"/>
          <w:sz w:val="20"/>
          <w:szCs w:val="20"/>
        </w:rPr>
        <w:t> </w:t>
      </w:r>
    </w:p>
    <w:p w14:paraId="2F9EA499" w14:textId="77777777" w:rsidR="00000000" w:rsidRDefault="000A3118">
      <w:pPr>
        <w:ind w:firstLine="360"/>
        <w:jc w:val="both"/>
        <w:divId w:val="1217620085"/>
        <w:rPr>
          <w:rFonts w:eastAsia="Times New Roman"/>
        </w:rPr>
      </w:pPr>
      <w:r>
        <w:rPr>
          <w:rFonts w:eastAsia="Times New Roman"/>
          <w:color w:val="000000"/>
          <w:sz w:val="20"/>
          <w:szCs w:val="20"/>
        </w:rPr>
        <w:t>Goodwill arises because the purchase price paid for our acquisitions reflects numerous factors, including the strategic fit and expected synergies these acquisitions bring to our existing operations. Goodwill is initially recorded at fair value. We monitor</w:t>
      </w:r>
      <w:r>
        <w:rPr>
          <w:rFonts w:eastAsia="Times New Roman"/>
          <w:color w:val="000000"/>
          <w:sz w:val="20"/>
          <w:szCs w:val="20"/>
        </w:rPr>
        <w:t xml:space="preserve"> goodwill allocated to each reporting unit for interim impairment indicators and we test at least annually for impairment.</w:t>
      </w:r>
    </w:p>
    <w:p w14:paraId="741D5AAB" w14:textId="77777777" w:rsidR="00000000" w:rsidRDefault="000A3118">
      <w:pPr>
        <w:ind w:firstLine="360"/>
        <w:jc w:val="both"/>
        <w:divId w:val="2042779253"/>
        <w:rPr>
          <w:rFonts w:eastAsia="Times New Roman"/>
        </w:rPr>
      </w:pPr>
      <w:r>
        <w:rPr>
          <w:rFonts w:eastAsia="Times New Roman"/>
          <w:color w:val="000000"/>
          <w:sz w:val="20"/>
          <w:szCs w:val="20"/>
        </w:rPr>
        <w:t>The following table provides the components of and changes in the carrying amount of goodwill for the nine months ended September 30,</w:t>
      </w:r>
      <w:r>
        <w:rPr>
          <w:rFonts w:eastAsia="Times New Roman"/>
          <w:color w:val="000000"/>
          <w:sz w:val="20"/>
          <w:szCs w:val="20"/>
        </w:rPr>
        <w:t xml:space="preserve"> 2020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4614"/>
        <w:gridCol w:w="37"/>
        <w:gridCol w:w="36"/>
        <w:gridCol w:w="36"/>
        <w:gridCol w:w="36"/>
        <w:gridCol w:w="101"/>
        <w:gridCol w:w="951"/>
        <w:gridCol w:w="36"/>
        <w:gridCol w:w="36"/>
        <w:gridCol w:w="36"/>
        <w:gridCol w:w="36"/>
        <w:gridCol w:w="100"/>
        <w:gridCol w:w="953"/>
        <w:gridCol w:w="36"/>
        <w:gridCol w:w="36"/>
        <w:gridCol w:w="36"/>
        <w:gridCol w:w="36"/>
        <w:gridCol w:w="36"/>
        <w:gridCol w:w="36"/>
        <w:gridCol w:w="100"/>
        <w:gridCol w:w="905"/>
        <w:gridCol w:w="36"/>
      </w:tblGrid>
      <w:tr w:rsidR="00000000" w14:paraId="3D79A4FD" w14:textId="77777777">
        <w:trPr>
          <w:divId w:val="1707945948"/>
        </w:trPr>
        <w:tc>
          <w:tcPr>
            <w:tcW w:w="50" w:type="pct"/>
            <w:vAlign w:val="center"/>
            <w:hideMark/>
          </w:tcPr>
          <w:p w14:paraId="252C5134" w14:textId="77777777" w:rsidR="00000000" w:rsidRDefault="000A3118">
            <w:pPr>
              <w:ind w:firstLine="360"/>
              <w:jc w:val="both"/>
              <w:rPr>
                <w:rFonts w:eastAsia="Times New Roman"/>
              </w:rPr>
            </w:pPr>
          </w:p>
        </w:tc>
        <w:tc>
          <w:tcPr>
            <w:tcW w:w="2825" w:type="pct"/>
            <w:vAlign w:val="center"/>
            <w:hideMark/>
          </w:tcPr>
          <w:p w14:paraId="3033EDC4" w14:textId="77777777" w:rsidR="00000000" w:rsidRDefault="000A3118">
            <w:pPr>
              <w:rPr>
                <w:rFonts w:eastAsia="Times New Roman"/>
                <w:sz w:val="20"/>
                <w:szCs w:val="20"/>
              </w:rPr>
            </w:pPr>
          </w:p>
        </w:tc>
        <w:tc>
          <w:tcPr>
            <w:tcW w:w="5" w:type="pct"/>
            <w:vAlign w:val="center"/>
            <w:hideMark/>
          </w:tcPr>
          <w:p w14:paraId="533542AE" w14:textId="77777777" w:rsidR="00000000" w:rsidRDefault="000A3118">
            <w:pPr>
              <w:rPr>
                <w:rFonts w:eastAsia="Times New Roman"/>
                <w:sz w:val="20"/>
                <w:szCs w:val="20"/>
              </w:rPr>
            </w:pPr>
          </w:p>
        </w:tc>
        <w:tc>
          <w:tcPr>
            <w:tcW w:w="5" w:type="pct"/>
            <w:vAlign w:val="center"/>
            <w:hideMark/>
          </w:tcPr>
          <w:p w14:paraId="3D4BFC2E" w14:textId="77777777" w:rsidR="00000000" w:rsidRDefault="000A3118">
            <w:pPr>
              <w:rPr>
                <w:rFonts w:eastAsia="Times New Roman"/>
                <w:sz w:val="20"/>
                <w:szCs w:val="20"/>
              </w:rPr>
            </w:pPr>
          </w:p>
        </w:tc>
        <w:tc>
          <w:tcPr>
            <w:tcW w:w="26" w:type="pct"/>
            <w:vAlign w:val="center"/>
            <w:hideMark/>
          </w:tcPr>
          <w:p w14:paraId="27164AED" w14:textId="77777777" w:rsidR="00000000" w:rsidRDefault="000A3118">
            <w:pPr>
              <w:rPr>
                <w:rFonts w:eastAsia="Times New Roman"/>
                <w:sz w:val="20"/>
                <w:szCs w:val="20"/>
              </w:rPr>
            </w:pPr>
          </w:p>
        </w:tc>
        <w:tc>
          <w:tcPr>
            <w:tcW w:w="5" w:type="pct"/>
            <w:vAlign w:val="center"/>
            <w:hideMark/>
          </w:tcPr>
          <w:p w14:paraId="1D453440" w14:textId="77777777" w:rsidR="00000000" w:rsidRDefault="000A3118">
            <w:pPr>
              <w:rPr>
                <w:rFonts w:eastAsia="Times New Roman"/>
                <w:sz w:val="20"/>
                <w:szCs w:val="20"/>
              </w:rPr>
            </w:pPr>
          </w:p>
        </w:tc>
        <w:tc>
          <w:tcPr>
            <w:tcW w:w="50" w:type="pct"/>
            <w:vAlign w:val="center"/>
            <w:hideMark/>
          </w:tcPr>
          <w:p w14:paraId="02F2400A" w14:textId="77777777" w:rsidR="00000000" w:rsidRDefault="000A3118">
            <w:pPr>
              <w:rPr>
                <w:rFonts w:eastAsia="Times New Roman"/>
                <w:sz w:val="20"/>
                <w:szCs w:val="20"/>
              </w:rPr>
            </w:pPr>
          </w:p>
        </w:tc>
        <w:tc>
          <w:tcPr>
            <w:tcW w:w="624" w:type="pct"/>
            <w:vAlign w:val="center"/>
            <w:hideMark/>
          </w:tcPr>
          <w:p w14:paraId="228F695F" w14:textId="77777777" w:rsidR="00000000" w:rsidRDefault="000A3118">
            <w:pPr>
              <w:rPr>
                <w:rFonts w:eastAsia="Times New Roman"/>
                <w:sz w:val="20"/>
                <w:szCs w:val="20"/>
              </w:rPr>
            </w:pPr>
          </w:p>
        </w:tc>
        <w:tc>
          <w:tcPr>
            <w:tcW w:w="5" w:type="pct"/>
            <w:vAlign w:val="center"/>
            <w:hideMark/>
          </w:tcPr>
          <w:p w14:paraId="72CA1BA8" w14:textId="77777777" w:rsidR="00000000" w:rsidRDefault="000A3118">
            <w:pPr>
              <w:rPr>
                <w:rFonts w:eastAsia="Times New Roman"/>
                <w:sz w:val="20"/>
                <w:szCs w:val="20"/>
              </w:rPr>
            </w:pPr>
          </w:p>
        </w:tc>
        <w:tc>
          <w:tcPr>
            <w:tcW w:w="5" w:type="pct"/>
            <w:vAlign w:val="center"/>
            <w:hideMark/>
          </w:tcPr>
          <w:p w14:paraId="4E93EB13" w14:textId="77777777" w:rsidR="00000000" w:rsidRDefault="000A3118">
            <w:pPr>
              <w:rPr>
                <w:rFonts w:eastAsia="Times New Roman"/>
                <w:sz w:val="20"/>
                <w:szCs w:val="20"/>
              </w:rPr>
            </w:pPr>
          </w:p>
        </w:tc>
        <w:tc>
          <w:tcPr>
            <w:tcW w:w="26" w:type="pct"/>
            <w:vAlign w:val="center"/>
            <w:hideMark/>
          </w:tcPr>
          <w:p w14:paraId="1BAE193D" w14:textId="77777777" w:rsidR="00000000" w:rsidRDefault="000A3118">
            <w:pPr>
              <w:rPr>
                <w:rFonts w:eastAsia="Times New Roman"/>
                <w:sz w:val="20"/>
                <w:szCs w:val="20"/>
              </w:rPr>
            </w:pPr>
          </w:p>
        </w:tc>
        <w:tc>
          <w:tcPr>
            <w:tcW w:w="5" w:type="pct"/>
            <w:vAlign w:val="center"/>
            <w:hideMark/>
          </w:tcPr>
          <w:p w14:paraId="010AEAC4" w14:textId="77777777" w:rsidR="00000000" w:rsidRDefault="000A3118">
            <w:pPr>
              <w:rPr>
                <w:rFonts w:eastAsia="Times New Roman"/>
                <w:sz w:val="20"/>
                <w:szCs w:val="20"/>
              </w:rPr>
            </w:pPr>
          </w:p>
        </w:tc>
        <w:tc>
          <w:tcPr>
            <w:tcW w:w="50" w:type="pct"/>
            <w:vAlign w:val="center"/>
            <w:hideMark/>
          </w:tcPr>
          <w:p w14:paraId="1ADD1E1F" w14:textId="77777777" w:rsidR="00000000" w:rsidRDefault="000A3118">
            <w:pPr>
              <w:rPr>
                <w:rFonts w:eastAsia="Times New Roman"/>
                <w:sz w:val="20"/>
                <w:szCs w:val="20"/>
              </w:rPr>
            </w:pPr>
          </w:p>
        </w:tc>
        <w:tc>
          <w:tcPr>
            <w:tcW w:w="624" w:type="pct"/>
            <w:vAlign w:val="center"/>
            <w:hideMark/>
          </w:tcPr>
          <w:p w14:paraId="2FD95897" w14:textId="77777777" w:rsidR="00000000" w:rsidRDefault="000A3118">
            <w:pPr>
              <w:rPr>
                <w:rFonts w:eastAsia="Times New Roman"/>
                <w:sz w:val="20"/>
                <w:szCs w:val="20"/>
              </w:rPr>
            </w:pPr>
          </w:p>
        </w:tc>
        <w:tc>
          <w:tcPr>
            <w:tcW w:w="5" w:type="pct"/>
            <w:vAlign w:val="center"/>
            <w:hideMark/>
          </w:tcPr>
          <w:p w14:paraId="40286937" w14:textId="77777777" w:rsidR="00000000" w:rsidRDefault="000A3118">
            <w:pPr>
              <w:rPr>
                <w:rFonts w:eastAsia="Times New Roman"/>
                <w:sz w:val="20"/>
                <w:szCs w:val="20"/>
              </w:rPr>
            </w:pPr>
          </w:p>
        </w:tc>
        <w:tc>
          <w:tcPr>
            <w:tcW w:w="5" w:type="pct"/>
            <w:vAlign w:val="center"/>
            <w:hideMark/>
          </w:tcPr>
          <w:p w14:paraId="695948B2" w14:textId="77777777" w:rsidR="00000000" w:rsidRDefault="000A3118">
            <w:pPr>
              <w:rPr>
                <w:rFonts w:eastAsia="Times New Roman"/>
                <w:sz w:val="20"/>
                <w:szCs w:val="20"/>
              </w:rPr>
            </w:pPr>
          </w:p>
        </w:tc>
        <w:tc>
          <w:tcPr>
            <w:tcW w:w="26" w:type="pct"/>
            <w:vAlign w:val="center"/>
            <w:hideMark/>
          </w:tcPr>
          <w:p w14:paraId="2146B16D" w14:textId="77777777" w:rsidR="00000000" w:rsidRDefault="000A3118">
            <w:pPr>
              <w:rPr>
                <w:rFonts w:eastAsia="Times New Roman"/>
                <w:sz w:val="20"/>
                <w:szCs w:val="20"/>
              </w:rPr>
            </w:pPr>
          </w:p>
        </w:tc>
        <w:tc>
          <w:tcPr>
            <w:tcW w:w="5" w:type="pct"/>
            <w:vAlign w:val="center"/>
            <w:hideMark/>
          </w:tcPr>
          <w:p w14:paraId="3011777E" w14:textId="77777777" w:rsidR="00000000" w:rsidRDefault="000A3118">
            <w:pPr>
              <w:rPr>
                <w:rFonts w:eastAsia="Times New Roman"/>
                <w:sz w:val="20"/>
                <w:szCs w:val="20"/>
              </w:rPr>
            </w:pPr>
          </w:p>
        </w:tc>
        <w:tc>
          <w:tcPr>
            <w:tcW w:w="0" w:type="auto"/>
            <w:vAlign w:val="center"/>
            <w:hideMark/>
          </w:tcPr>
          <w:p w14:paraId="2921EEE6" w14:textId="77777777" w:rsidR="00000000" w:rsidRDefault="000A3118">
            <w:pPr>
              <w:rPr>
                <w:rFonts w:eastAsia="Times New Roman"/>
                <w:sz w:val="20"/>
                <w:szCs w:val="20"/>
              </w:rPr>
            </w:pPr>
          </w:p>
        </w:tc>
        <w:tc>
          <w:tcPr>
            <w:tcW w:w="0" w:type="auto"/>
            <w:vAlign w:val="center"/>
            <w:hideMark/>
          </w:tcPr>
          <w:p w14:paraId="15D6A408" w14:textId="77777777" w:rsidR="00000000" w:rsidRDefault="000A3118">
            <w:pPr>
              <w:rPr>
                <w:rFonts w:eastAsia="Times New Roman"/>
                <w:sz w:val="20"/>
                <w:szCs w:val="20"/>
              </w:rPr>
            </w:pPr>
          </w:p>
        </w:tc>
        <w:tc>
          <w:tcPr>
            <w:tcW w:w="50" w:type="pct"/>
            <w:vAlign w:val="center"/>
            <w:hideMark/>
          </w:tcPr>
          <w:p w14:paraId="665F7C67" w14:textId="77777777" w:rsidR="00000000" w:rsidRDefault="000A3118">
            <w:pPr>
              <w:rPr>
                <w:rFonts w:eastAsia="Times New Roman"/>
                <w:sz w:val="20"/>
                <w:szCs w:val="20"/>
              </w:rPr>
            </w:pPr>
          </w:p>
        </w:tc>
        <w:tc>
          <w:tcPr>
            <w:tcW w:w="595" w:type="pct"/>
            <w:vAlign w:val="center"/>
            <w:hideMark/>
          </w:tcPr>
          <w:p w14:paraId="78346FC7" w14:textId="77777777" w:rsidR="00000000" w:rsidRDefault="000A3118">
            <w:pPr>
              <w:rPr>
                <w:rFonts w:eastAsia="Times New Roman"/>
                <w:sz w:val="20"/>
                <w:szCs w:val="20"/>
              </w:rPr>
            </w:pPr>
          </w:p>
        </w:tc>
        <w:tc>
          <w:tcPr>
            <w:tcW w:w="5" w:type="pct"/>
            <w:vAlign w:val="center"/>
            <w:hideMark/>
          </w:tcPr>
          <w:p w14:paraId="0EB128DF" w14:textId="77777777" w:rsidR="00000000" w:rsidRDefault="000A3118">
            <w:pPr>
              <w:rPr>
                <w:rFonts w:eastAsia="Times New Roman"/>
                <w:sz w:val="20"/>
                <w:szCs w:val="20"/>
              </w:rPr>
            </w:pPr>
          </w:p>
        </w:tc>
      </w:tr>
      <w:tr w:rsidR="00000000" w14:paraId="547787D7" w14:textId="77777777">
        <w:trPr>
          <w:divId w:val="1707945948"/>
        </w:trPr>
        <w:tc>
          <w:tcPr>
            <w:tcW w:w="0" w:type="auto"/>
            <w:gridSpan w:val="3"/>
            <w:tcMar>
              <w:top w:w="0" w:type="dxa"/>
              <w:left w:w="20" w:type="dxa"/>
              <w:bottom w:w="0" w:type="dxa"/>
              <w:right w:w="20" w:type="dxa"/>
            </w:tcMar>
            <w:vAlign w:val="center"/>
            <w:hideMark/>
          </w:tcPr>
          <w:p w14:paraId="7EBB5DAA"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75054834"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66AFE00F" w14:textId="77777777" w:rsidR="00000000" w:rsidRDefault="000A3118">
            <w:pPr>
              <w:jc w:val="right"/>
              <w:rPr>
                <w:rFonts w:eastAsia="Times New Roman"/>
              </w:rPr>
            </w:pPr>
            <w:r>
              <w:rPr>
                <w:rFonts w:eastAsia="Times New Roman"/>
                <w:b/>
                <w:bCs/>
                <w:color w:val="000000"/>
                <w:sz w:val="16"/>
                <w:szCs w:val="16"/>
              </w:rPr>
              <w:t>Aviation</w:t>
            </w:r>
          </w:p>
        </w:tc>
        <w:tc>
          <w:tcPr>
            <w:tcW w:w="0" w:type="auto"/>
            <w:gridSpan w:val="3"/>
            <w:tcMar>
              <w:top w:w="0" w:type="dxa"/>
              <w:left w:w="20" w:type="dxa"/>
              <w:bottom w:w="0" w:type="dxa"/>
              <w:right w:w="20" w:type="dxa"/>
            </w:tcMar>
            <w:vAlign w:val="center"/>
            <w:hideMark/>
          </w:tcPr>
          <w:p w14:paraId="04339251" w14:textId="77777777" w:rsidR="00000000" w:rsidRDefault="000A3118">
            <w:pPr>
              <w:jc w:val="right"/>
              <w:rPr>
                <w:rFonts w:eastAsia="Times New Roman"/>
              </w:rPr>
            </w:pPr>
          </w:p>
        </w:tc>
        <w:tc>
          <w:tcPr>
            <w:tcW w:w="0" w:type="auto"/>
            <w:gridSpan w:val="3"/>
            <w:tcMar>
              <w:top w:w="30" w:type="dxa"/>
              <w:left w:w="20" w:type="dxa"/>
              <w:bottom w:w="30" w:type="dxa"/>
              <w:right w:w="20" w:type="dxa"/>
            </w:tcMar>
            <w:vAlign w:val="bottom"/>
            <w:hideMark/>
          </w:tcPr>
          <w:p w14:paraId="4980F25C" w14:textId="77777777" w:rsidR="00000000" w:rsidRDefault="000A3118">
            <w:pPr>
              <w:jc w:val="right"/>
              <w:rPr>
                <w:rFonts w:eastAsia="Times New Roman"/>
              </w:rPr>
            </w:pPr>
            <w:r>
              <w:rPr>
                <w:rFonts w:eastAsia="Times New Roman"/>
                <w:b/>
                <w:bCs/>
                <w:color w:val="000000"/>
                <w:sz w:val="16"/>
                <w:szCs w:val="16"/>
              </w:rPr>
              <w:t>Land</w:t>
            </w:r>
          </w:p>
        </w:tc>
        <w:tc>
          <w:tcPr>
            <w:tcW w:w="0" w:type="auto"/>
            <w:gridSpan w:val="3"/>
            <w:tcMar>
              <w:top w:w="0" w:type="dxa"/>
              <w:left w:w="20" w:type="dxa"/>
              <w:bottom w:w="0" w:type="dxa"/>
              <w:right w:w="20" w:type="dxa"/>
            </w:tcMar>
            <w:vAlign w:val="center"/>
            <w:hideMark/>
          </w:tcPr>
          <w:p w14:paraId="72DE9174" w14:textId="77777777" w:rsidR="00000000" w:rsidRDefault="000A3118">
            <w:pPr>
              <w:jc w:val="right"/>
              <w:rPr>
                <w:rFonts w:eastAsia="Times New Roman"/>
              </w:rPr>
            </w:pPr>
          </w:p>
        </w:tc>
        <w:tc>
          <w:tcPr>
            <w:tcW w:w="0" w:type="auto"/>
            <w:vAlign w:val="center"/>
            <w:hideMark/>
          </w:tcPr>
          <w:p w14:paraId="5F7F0DC5" w14:textId="77777777" w:rsidR="00000000" w:rsidRDefault="000A3118">
            <w:pPr>
              <w:rPr>
                <w:rFonts w:eastAsia="Times New Roman"/>
                <w:sz w:val="20"/>
                <w:szCs w:val="20"/>
              </w:rPr>
            </w:pPr>
          </w:p>
        </w:tc>
        <w:tc>
          <w:tcPr>
            <w:tcW w:w="0" w:type="auto"/>
            <w:vAlign w:val="center"/>
            <w:hideMark/>
          </w:tcPr>
          <w:p w14:paraId="28401782"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3DD2A101" w14:textId="77777777" w:rsidR="00000000" w:rsidRDefault="000A3118">
            <w:pPr>
              <w:jc w:val="right"/>
              <w:rPr>
                <w:rFonts w:eastAsia="Times New Roman"/>
              </w:rPr>
            </w:pPr>
            <w:r>
              <w:rPr>
                <w:rFonts w:eastAsia="Times New Roman"/>
                <w:b/>
                <w:bCs/>
                <w:color w:val="000000"/>
                <w:sz w:val="16"/>
                <w:szCs w:val="16"/>
              </w:rPr>
              <w:t>Total</w:t>
            </w:r>
          </w:p>
        </w:tc>
      </w:tr>
      <w:tr w:rsidR="00000000" w14:paraId="7C1BBEFB" w14:textId="77777777">
        <w:trPr>
          <w:divId w:val="170794594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8A33334" w14:textId="77777777" w:rsidR="00000000" w:rsidRDefault="000A3118">
            <w:pPr>
              <w:rPr>
                <w:rFonts w:eastAsia="Times New Roman"/>
              </w:rPr>
            </w:pPr>
            <w:r>
              <w:rPr>
                <w:rFonts w:eastAsia="Times New Roman"/>
                <w:color w:val="000000"/>
                <w:sz w:val="16"/>
                <w:szCs w:val="16"/>
              </w:rPr>
              <w:t>Balance as of December 31,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EFFB2C"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83CA6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F8E8B2" w14:textId="77777777" w:rsidR="00000000" w:rsidRDefault="000A3118">
            <w:pPr>
              <w:jc w:val="right"/>
              <w:rPr>
                <w:rFonts w:eastAsia="Times New Roman"/>
              </w:rPr>
            </w:pPr>
            <w:r>
              <w:rPr>
                <w:rFonts w:eastAsia="Times New Roman"/>
                <w:color w:val="000000"/>
                <w:sz w:val="16"/>
                <w:szCs w:val="16"/>
              </w:rPr>
              <w:t>323.6 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03EA9A"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4BEC31"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B0C9E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3E5BF1" w14:textId="77777777" w:rsidR="00000000" w:rsidRDefault="000A3118">
            <w:pPr>
              <w:jc w:val="right"/>
              <w:rPr>
                <w:rFonts w:eastAsia="Times New Roman"/>
              </w:rPr>
            </w:pPr>
            <w:r>
              <w:rPr>
                <w:rFonts w:eastAsia="Times New Roman"/>
                <w:color w:val="000000"/>
                <w:sz w:val="16"/>
                <w:szCs w:val="16"/>
              </w:rPr>
              <w:t>520.1 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59E8CB"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448F16" w14:textId="77777777" w:rsidR="00000000" w:rsidRDefault="000A3118">
            <w:pPr>
              <w:jc w:val="right"/>
              <w:rPr>
                <w:rFonts w:eastAsia="Times New Roman"/>
                <w:sz w:val="20"/>
                <w:szCs w:val="20"/>
              </w:rPr>
            </w:pPr>
          </w:p>
        </w:tc>
        <w:tc>
          <w:tcPr>
            <w:tcW w:w="0" w:type="auto"/>
            <w:vAlign w:val="center"/>
            <w:hideMark/>
          </w:tcPr>
          <w:p w14:paraId="0B320295" w14:textId="77777777" w:rsidR="00000000" w:rsidRDefault="000A3118">
            <w:pPr>
              <w:rPr>
                <w:rFonts w:eastAsia="Times New Roman"/>
                <w:sz w:val="20"/>
                <w:szCs w:val="20"/>
              </w:rPr>
            </w:pPr>
          </w:p>
        </w:tc>
        <w:tc>
          <w:tcPr>
            <w:tcW w:w="0" w:type="auto"/>
            <w:vAlign w:val="center"/>
            <w:hideMark/>
          </w:tcPr>
          <w:p w14:paraId="1899BB77" w14:textId="77777777" w:rsidR="00000000" w:rsidRDefault="000A3118">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B9739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94138A" w14:textId="77777777" w:rsidR="00000000" w:rsidRDefault="000A3118">
            <w:pPr>
              <w:jc w:val="right"/>
              <w:rPr>
                <w:rFonts w:eastAsia="Times New Roman"/>
              </w:rPr>
            </w:pPr>
            <w:r>
              <w:rPr>
                <w:rFonts w:eastAsia="Times New Roman"/>
                <w:color w:val="000000"/>
                <w:sz w:val="16"/>
                <w:szCs w:val="16"/>
              </w:rPr>
              <w:t>843.7 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BE6B00" w14:textId="77777777" w:rsidR="00000000" w:rsidRDefault="000A3118">
            <w:pPr>
              <w:jc w:val="right"/>
              <w:rPr>
                <w:rFonts w:eastAsia="Times New Roman"/>
              </w:rPr>
            </w:pPr>
          </w:p>
        </w:tc>
      </w:tr>
      <w:tr w:rsidR="00000000" w14:paraId="7A8DC79B" w14:textId="77777777">
        <w:trPr>
          <w:divId w:val="1707945948"/>
        </w:trPr>
        <w:tc>
          <w:tcPr>
            <w:tcW w:w="0" w:type="auto"/>
            <w:gridSpan w:val="3"/>
            <w:shd w:val="clear" w:color="auto" w:fill="FFFFFF"/>
            <w:tcMar>
              <w:top w:w="30" w:type="dxa"/>
              <w:left w:w="20" w:type="dxa"/>
              <w:bottom w:w="30" w:type="dxa"/>
              <w:right w:w="20" w:type="dxa"/>
            </w:tcMar>
            <w:vAlign w:val="bottom"/>
            <w:hideMark/>
          </w:tcPr>
          <w:p w14:paraId="4F7A972C" w14:textId="77777777" w:rsidR="00000000" w:rsidRDefault="000A3118">
            <w:pPr>
              <w:rPr>
                <w:rFonts w:eastAsia="Times New Roman"/>
              </w:rPr>
            </w:pPr>
            <w:r>
              <w:rPr>
                <w:rFonts w:eastAsia="Times New Roman"/>
                <w:color w:val="000000"/>
                <w:sz w:val="16"/>
                <w:szCs w:val="16"/>
              </w:rPr>
              <w:t>Additions</w:t>
            </w:r>
          </w:p>
        </w:tc>
        <w:tc>
          <w:tcPr>
            <w:tcW w:w="0" w:type="auto"/>
            <w:gridSpan w:val="3"/>
            <w:shd w:val="clear" w:color="auto" w:fill="FFFFFF"/>
            <w:tcMar>
              <w:top w:w="0" w:type="dxa"/>
              <w:left w:w="20" w:type="dxa"/>
              <w:bottom w:w="0" w:type="dxa"/>
              <w:right w:w="20" w:type="dxa"/>
            </w:tcMar>
            <w:vAlign w:val="center"/>
            <w:hideMark/>
          </w:tcPr>
          <w:p w14:paraId="2D0653B8"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C6806D" w14:textId="77777777" w:rsidR="00000000" w:rsidRDefault="000A3118">
            <w:pPr>
              <w:jc w:val="right"/>
              <w:rPr>
                <w:rFonts w:eastAsia="Times New Roman"/>
              </w:rPr>
            </w:pPr>
            <w:r>
              <w:rPr>
                <w:rFonts w:eastAsia="Times New Roman"/>
                <w:color w:val="000000"/>
                <w:sz w:val="16"/>
                <w:szCs w:val="16"/>
              </w:rPr>
              <w:t>79.1 </w:t>
            </w:r>
          </w:p>
        </w:tc>
        <w:tc>
          <w:tcPr>
            <w:tcW w:w="0" w:type="auto"/>
            <w:shd w:val="clear" w:color="auto" w:fill="FFFFFF"/>
            <w:tcMar>
              <w:top w:w="30" w:type="dxa"/>
              <w:left w:w="0" w:type="dxa"/>
              <w:bottom w:w="30" w:type="dxa"/>
              <w:right w:w="20" w:type="dxa"/>
            </w:tcMar>
            <w:vAlign w:val="bottom"/>
            <w:hideMark/>
          </w:tcPr>
          <w:p w14:paraId="6839B37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7666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F51E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C613B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0070F" w14:textId="77777777" w:rsidR="00000000" w:rsidRDefault="000A3118">
            <w:pPr>
              <w:jc w:val="right"/>
              <w:rPr>
                <w:rFonts w:eastAsia="Times New Roman"/>
                <w:sz w:val="20"/>
                <w:szCs w:val="20"/>
              </w:rPr>
            </w:pPr>
          </w:p>
        </w:tc>
        <w:tc>
          <w:tcPr>
            <w:tcW w:w="0" w:type="auto"/>
            <w:vAlign w:val="center"/>
            <w:hideMark/>
          </w:tcPr>
          <w:p w14:paraId="2B4BBCB7" w14:textId="77777777" w:rsidR="00000000" w:rsidRDefault="000A3118">
            <w:pPr>
              <w:rPr>
                <w:rFonts w:eastAsia="Times New Roman"/>
                <w:sz w:val="20"/>
                <w:szCs w:val="20"/>
              </w:rPr>
            </w:pPr>
          </w:p>
        </w:tc>
        <w:tc>
          <w:tcPr>
            <w:tcW w:w="0" w:type="auto"/>
            <w:vAlign w:val="center"/>
            <w:hideMark/>
          </w:tcPr>
          <w:p w14:paraId="13939279" w14:textId="77777777" w:rsidR="00000000" w:rsidRDefault="000A311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66E534" w14:textId="77777777" w:rsidR="00000000" w:rsidRDefault="000A3118">
            <w:pPr>
              <w:jc w:val="right"/>
              <w:rPr>
                <w:rFonts w:eastAsia="Times New Roman"/>
              </w:rPr>
            </w:pPr>
            <w:r>
              <w:rPr>
                <w:rFonts w:eastAsia="Times New Roman"/>
                <w:color w:val="000000"/>
                <w:sz w:val="16"/>
                <w:szCs w:val="16"/>
              </w:rPr>
              <w:t>79.1 </w:t>
            </w:r>
          </w:p>
        </w:tc>
        <w:tc>
          <w:tcPr>
            <w:tcW w:w="0" w:type="auto"/>
            <w:shd w:val="clear" w:color="auto" w:fill="FFFFFF"/>
            <w:tcMar>
              <w:top w:w="30" w:type="dxa"/>
              <w:left w:w="0" w:type="dxa"/>
              <w:bottom w:w="30" w:type="dxa"/>
              <w:right w:w="20" w:type="dxa"/>
            </w:tcMar>
            <w:vAlign w:val="bottom"/>
            <w:hideMark/>
          </w:tcPr>
          <w:p w14:paraId="4973CD0A" w14:textId="77777777" w:rsidR="00000000" w:rsidRDefault="000A3118">
            <w:pPr>
              <w:jc w:val="right"/>
              <w:rPr>
                <w:rFonts w:eastAsia="Times New Roman"/>
              </w:rPr>
            </w:pPr>
          </w:p>
        </w:tc>
      </w:tr>
      <w:tr w:rsidR="00000000" w14:paraId="31506F53" w14:textId="77777777">
        <w:trPr>
          <w:divId w:val="1707945948"/>
        </w:trPr>
        <w:tc>
          <w:tcPr>
            <w:tcW w:w="0" w:type="auto"/>
            <w:gridSpan w:val="3"/>
            <w:shd w:val="clear" w:color="auto" w:fill="CCEEFF"/>
            <w:tcMar>
              <w:top w:w="30" w:type="dxa"/>
              <w:left w:w="20" w:type="dxa"/>
              <w:bottom w:w="30" w:type="dxa"/>
              <w:right w:w="20" w:type="dxa"/>
            </w:tcMar>
            <w:vAlign w:val="bottom"/>
            <w:hideMark/>
          </w:tcPr>
          <w:p w14:paraId="2C2F7062" w14:textId="77777777" w:rsidR="00000000" w:rsidRDefault="000A3118">
            <w:pPr>
              <w:rPr>
                <w:rFonts w:eastAsia="Times New Roman"/>
              </w:rPr>
            </w:pPr>
            <w:r>
              <w:rPr>
                <w:rFonts w:eastAsia="Times New Roman"/>
                <w:color w:val="000000"/>
                <w:sz w:val="16"/>
                <w:szCs w:val="16"/>
              </w:rPr>
              <w:t>Sale of business (Note 3)</w:t>
            </w:r>
          </w:p>
        </w:tc>
        <w:tc>
          <w:tcPr>
            <w:tcW w:w="0" w:type="auto"/>
            <w:gridSpan w:val="3"/>
            <w:shd w:val="clear" w:color="auto" w:fill="CCEEFF"/>
            <w:tcMar>
              <w:top w:w="0" w:type="dxa"/>
              <w:left w:w="20" w:type="dxa"/>
              <w:bottom w:w="0" w:type="dxa"/>
              <w:right w:w="20" w:type="dxa"/>
            </w:tcMar>
            <w:vAlign w:val="center"/>
            <w:hideMark/>
          </w:tcPr>
          <w:p w14:paraId="32F728CF"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E5526F" w14:textId="77777777" w:rsidR="00000000" w:rsidRDefault="000A3118">
            <w:pPr>
              <w:jc w:val="right"/>
              <w:rPr>
                <w:rFonts w:eastAsia="Times New Roman"/>
              </w:rPr>
            </w:pPr>
            <w:r>
              <w:rPr>
                <w:rFonts w:eastAsia="Times New Roman"/>
                <w:color w:val="000000"/>
                <w:sz w:val="16"/>
                <w:szCs w:val="16"/>
              </w:rPr>
              <w:t>(7.0)</w:t>
            </w:r>
          </w:p>
        </w:tc>
        <w:tc>
          <w:tcPr>
            <w:tcW w:w="0" w:type="auto"/>
            <w:shd w:val="clear" w:color="auto" w:fill="CCEEFF"/>
            <w:tcMar>
              <w:top w:w="30" w:type="dxa"/>
              <w:left w:w="0" w:type="dxa"/>
              <w:bottom w:w="30" w:type="dxa"/>
              <w:right w:w="20" w:type="dxa"/>
            </w:tcMar>
            <w:vAlign w:val="bottom"/>
            <w:hideMark/>
          </w:tcPr>
          <w:p w14:paraId="4E983FD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D715C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6BE708" w14:textId="77777777" w:rsidR="00000000" w:rsidRDefault="000A3118">
            <w:pPr>
              <w:jc w:val="right"/>
              <w:rPr>
                <w:rFonts w:eastAsia="Times New Roman"/>
              </w:rPr>
            </w:pPr>
            <w:r>
              <w:rPr>
                <w:rFonts w:eastAsia="Times New Roman"/>
                <w:color w:val="000000"/>
                <w:sz w:val="16"/>
                <w:szCs w:val="16"/>
              </w:rPr>
              <w:t>(64.6)</w:t>
            </w:r>
          </w:p>
        </w:tc>
        <w:tc>
          <w:tcPr>
            <w:tcW w:w="0" w:type="auto"/>
            <w:shd w:val="clear" w:color="auto" w:fill="CCEEFF"/>
            <w:tcMar>
              <w:top w:w="30" w:type="dxa"/>
              <w:left w:w="0" w:type="dxa"/>
              <w:bottom w:w="30" w:type="dxa"/>
              <w:right w:w="20" w:type="dxa"/>
            </w:tcMar>
            <w:vAlign w:val="bottom"/>
            <w:hideMark/>
          </w:tcPr>
          <w:p w14:paraId="0D8B196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9D1FE" w14:textId="77777777" w:rsidR="00000000" w:rsidRDefault="000A3118">
            <w:pPr>
              <w:jc w:val="right"/>
              <w:rPr>
                <w:rFonts w:eastAsia="Times New Roman"/>
                <w:sz w:val="20"/>
                <w:szCs w:val="20"/>
              </w:rPr>
            </w:pPr>
          </w:p>
        </w:tc>
        <w:tc>
          <w:tcPr>
            <w:tcW w:w="0" w:type="auto"/>
            <w:vAlign w:val="center"/>
            <w:hideMark/>
          </w:tcPr>
          <w:p w14:paraId="0CD9CDC0" w14:textId="77777777" w:rsidR="00000000" w:rsidRDefault="000A3118">
            <w:pPr>
              <w:rPr>
                <w:rFonts w:eastAsia="Times New Roman"/>
                <w:sz w:val="20"/>
                <w:szCs w:val="20"/>
              </w:rPr>
            </w:pPr>
          </w:p>
        </w:tc>
        <w:tc>
          <w:tcPr>
            <w:tcW w:w="0" w:type="auto"/>
            <w:vAlign w:val="center"/>
            <w:hideMark/>
          </w:tcPr>
          <w:p w14:paraId="1AB6F560" w14:textId="77777777" w:rsidR="00000000" w:rsidRDefault="000A3118">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F0274F" w14:textId="77777777" w:rsidR="00000000" w:rsidRDefault="000A3118">
            <w:pPr>
              <w:jc w:val="right"/>
              <w:rPr>
                <w:rFonts w:eastAsia="Times New Roman"/>
              </w:rPr>
            </w:pPr>
            <w:r>
              <w:rPr>
                <w:rFonts w:eastAsia="Times New Roman"/>
                <w:color w:val="000000"/>
                <w:sz w:val="16"/>
                <w:szCs w:val="16"/>
              </w:rPr>
              <w:t>(71.6)</w:t>
            </w:r>
          </w:p>
        </w:tc>
        <w:tc>
          <w:tcPr>
            <w:tcW w:w="0" w:type="auto"/>
            <w:shd w:val="clear" w:color="auto" w:fill="CCEEFF"/>
            <w:tcMar>
              <w:top w:w="30" w:type="dxa"/>
              <w:left w:w="0" w:type="dxa"/>
              <w:bottom w:w="30" w:type="dxa"/>
              <w:right w:w="20" w:type="dxa"/>
            </w:tcMar>
            <w:vAlign w:val="bottom"/>
            <w:hideMark/>
          </w:tcPr>
          <w:p w14:paraId="5320EDD2" w14:textId="77777777" w:rsidR="00000000" w:rsidRDefault="000A3118">
            <w:pPr>
              <w:jc w:val="right"/>
              <w:rPr>
                <w:rFonts w:eastAsia="Times New Roman"/>
              </w:rPr>
            </w:pPr>
          </w:p>
        </w:tc>
      </w:tr>
      <w:tr w:rsidR="00000000" w14:paraId="5C6AB978" w14:textId="77777777">
        <w:trPr>
          <w:divId w:val="1707945948"/>
        </w:trPr>
        <w:tc>
          <w:tcPr>
            <w:tcW w:w="0" w:type="auto"/>
            <w:gridSpan w:val="3"/>
            <w:shd w:val="clear" w:color="auto" w:fill="FFFFFF"/>
            <w:tcMar>
              <w:top w:w="30" w:type="dxa"/>
              <w:left w:w="20" w:type="dxa"/>
              <w:bottom w:w="30" w:type="dxa"/>
              <w:right w:w="20" w:type="dxa"/>
            </w:tcMar>
            <w:vAlign w:val="bottom"/>
            <w:hideMark/>
          </w:tcPr>
          <w:p w14:paraId="75CB9B6A" w14:textId="77777777" w:rsidR="00000000" w:rsidRDefault="000A3118">
            <w:pPr>
              <w:rPr>
                <w:rFonts w:eastAsia="Times New Roman"/>
              </w:rPr>
            </w:pPr>
            <w:r>
              <w:rPr>
                <w:rFonts w:eastAsia="Times New Roman"/>
                <w:color w:val="000000"/>
                <w:sz w:val="16"/>
                <w:szCs w:val="16"/>
              </w:rPr>
              <w:t>Foreign exchange adjustments</w:t>
            </w:r>
          </w:p>
        </w:tc>
        <w:tc>
          <w:tcPr>
            <w:tcW w:w="0" w:type="auto"/>
            <w:gridSpan w:val="3"/>
            <w:shd w:val="clear" w:color="auto" w:fill="FFFFFF"/>
            <w:tcMar>
              <w:top w:w="0" w:type="dxa"/>
              <w:left w:w="20" w:type="dxa"/>
              <w:bottom w:w="0" w:type="dxa"/>
              <w:right w:w="20" w:type="dxa"/>
            </w:tcMar>
            <w:vAlign w:val="center"/>
            <w:hideMark/>
          </w:tcPr>
          <w:p w14:paraId="1F1630AA"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55A6AD" w14:textId="77777777" w:rsidR="00000000" w:rsidRDefault="000A3118">
            <w:pPr>
              <w:jc w:val="right"/>
              <w:rPr>
                <w:rFonts w:eastAsia="Times New Roman"/>
              </w:rPr>
            </w:pPr>
            <w:r>
              <w:rPr>
                <w:rFonts w:eastAsia="Times New Roman"/>
                <w:color w:val="000000"/>
                <w:sz w:val="16"/>
                <w:szCs w:val="16"/>
              </w:rPr>
              <w:t>0.9 </w:t>
            </w:r>
          </w:p>
        </w:tc>
        <w:tc>
          <w:tcPr>
            <w:tcW w:w="0" w:type="auto"/>
            <w:shd w:val="clear" w:color="auto" w:fill="FFFFFF"/>
            <w:tcMar>
              <w:top w:w="30" w:type="dxa"/>
              <w:left w:w="0" w:type="dxa"/>
              <w:bottom w:w="30" w:type="dxa"/>
              <w:right w:w="20" w:type="dxa"/>
            </w:tcMar>
            <w:vAlign w:val="bottom"/>
            <w:hideMark/>
          </w:tcPr>
          <w:p w14:paraId="3DE8082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8E6B3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B3A752" w14:textId="77777777" w:rsidR="00000000" w:rsidRDefault="000A3118">
            <w:pPr>
              <w:jc w:val="right"/>
              <w:rPr>
                <w:rFonts w:eastAsia="Times New Roman"/>
              </w:rPr>
            </w:pPr>
            <w:r>
              <w:rPr>
                <w:rFonts w:eastAsia="Times New Roman"/>
                <w:color w:val="000000"/>
                <w:sz w:val="16"/>
                <w:szCs w:val="16"/>
              </w:rPr>
              <w:t>(3.8)</w:t>
            </w:r>
          </w:p>
        </w:tc>
        <w:tc>
          <w:tcPr>
            <w:tcW w:w="0" w:type="auto"/>
            <w:shd w:val="clear" w:color="auto" w:fill="FFFFFF"/>
            <w:tcMar>
              <w:top w:w="30" w:type="dxa"/>
              <w:left w:w="0" w:type="dxa"/>
              <w:bottom w:w="30" w:type="dxa"/>
              <w:right w:w="20" w:type="dxa"/>
            </w:tcMar>
            <w:vAlign w:val="bottom"/>
            <w:hideMark/>
          </w:tcPr>
          <w:p w14:paraId="0226D12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383C4" w14:textId="77777777" w:rsidR="00000000" w:rsidRDefault="000A3118">
            <w:pPr>
              <w:jc w:val="right"/>
              <w:rPr>
                <w:rFonts w:eastAsia="Times New Roman"/>
                <w:sz w:val="20"/>
                <w:szCs w:val="20"/>
              </w:rPr>
            </w:pPr>
          </w:p>
        </w:tc>
        <w:tc>
          <w:tcPr>
            <w:tcW w:w="0" w:type="auto"/>
            <w:vAlign w:val="center"/>
            <w:hideMark/>
          </w:tcPr>
          <w:p w14:paraId="2152B692" w14:textId="77777777" w:rsidR="00000000" w:rsidRDefault="000A3118">
            <w:pPr>
              <w:rPr>
                <w:rFonts w:eastAsia="Times New Roman"/>
                <w:sz w:val="20"/>
                <w:szCs w:val="20"/>
              </w:rPr>
            </w:pPr>
          </w:p>
        </w:tc>
        <w:tc>
          <w:tcPr>
            <w:tcW w:w="0" w:type="auto"/>
            <w:vAlign w:val="center"/>
            <w:hideMark/>
          </w:tcPr>
          <w:p w14:paraId="7D32CAA3" w14:textId="77777777" w:rsidR="00000000" w:rsidRDefault="000A311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94D9FC" w14:textId="77777777" w:rsidR="00000000" w:rsidRDefault="000A3118">
            <w:pPr>
              <w:jc w:val="right"/>
              <w:rPr>
                <w:rFonts w:eastAsia="Times New Roman"/>
              </w:rPr>
            </w:pPr>
            <w:r>
              <w:rPr>
                <w:rFonts w:eastAsia="Times New Roman"/>
                <w:color w:val="000000"/>
                <w:sz w:val="16"/>
                <w:szCs w:val="16"/>
              </w:rPr>
              <w:t>(2.9)</w:t>
            </w:r>
          </w:p>
        </w:tc>
        <w:tc>
          <w:tcPr>
            <w:tcW w:w="0" w:type="auto"/>
            <w:shd w:val="clear" w:color="auto" w:fill="FFFFFF"/>
            <w:tcMar>
              <w:top w:w="30" w:type="dxa"/>
              <w:left w:w="0" w:type="dxa"/>
              <w:bottom w:w="30" w:type="dxa"/>
              <w:right w:w="20" w:type="dxa"/>
            </w:tcMar>
            <w:vAlign w:val="bottom"/>
            <w:hideMark/>
          </w:tcPr>
          <w:p w14:paraId="097B5B50" w14:textId="77777777" w:rsidR="00000000" w:rsidRDefault="000A3118">
            <w:pPr>
              <w:jc w:val="right"/>
              <w:rPr>
                <w:rFonts w:eastAsia="Times New Roman"/>
              </w:rPr>
            </w:pPr>
          </w:p>
        </w:tc>
      </w:tr>
      <w:tr w:rsidR="00000000" w14:paraId="75222C36" w14:textId="77777777">
        <w:trPr>
          <w:divId w:val="1707945948"/>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055A0D49" w14:textId="77777777" w:rsidR="00000000" w:rsidRDefault="000A3118">
            <w:pPr>
              <w:rPr>
                <w:rFonts w:eastAsia="Times New Roman"/>
              </w:rPr>
            </w:pPr>
            <w:r>
              <w:rPr>
                <w:rFonts w:eastAsia="Times New Roman"/>
                <w:color w:val="000000"/>
                <w:sz w:val="16"/>
                <w:szCs w:val="16"/>
              </w:rPr>
              <w:t>Balance as of September 30, 2020</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ABC5114" w14:textId="77777777" w:rsidR="00000000" w:rsidRDefault="000A3118">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7F68D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E70F7A" w14:textId="77777777" w:rsidR="00000000" w:rsidRDefault="000A3118">
            <w:pPr>
              <w:jc w:val="right"/>
              <w:rPr>
                <w:rFonts w:eastAsia="Times New Roman"/>
              </w:rPr>
            </w:pPr>
            <w:r>
              <w:rPr>
                <w:rFonts w:eastAsia="Times New Roman"/>
                <w:color w:val="000000"/>
                <w:sz w:val="16"/>
                <w:szCs w:val="16"/>
              </w:rPr>
              <w:t>396.5 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497458"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7011035"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D7C2F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5EF4AA" w14:textId="77777777" w:rsidR="00000000" w:rsidRDefault="000A3118">
            <w:pPr>
              <w:jc w:val="right"/>
              <w:rPr>
                <w:rFonts w:eastAsia="Times New Roman"/>
              </w:rPr>
            </w:pPr>
            <w:r>
              <w:rPr>
                <w:rFonts w:eastAsia="Times New Roman"/>
                <w:color w:val="000000"/>
                <w:sz w:val="16"/>
                <w:szCs w:val="16"/>
              </w:rPr>
              <w:t>451.7 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DCF87E"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F35F8B3" w14:textId="77777777" w:rsidR="00000000" w:rsidRDefault="000A3118">
            <w:pPr>
              <w:jc w:val="right"/>
              <w:rPr>
                <w:rFonts w:eastAsia="Times New Roman"/>
                <w:sz w:val="20"/>
                <w:szCs w:val="20"/>
              </w:rPr>
            </w:pPr>
          </w:p>
        </w:tc>
        <w:tc>
          <w:tcPr>
            <w:tcW w:w="0" w:type="auto"/>
            <w:vAlign w:val="center"/>
            <w:hideMark/>
          </w:tcPr>
          <w:p w14:paraId="5492DFD7" w14:textId="77777777" w:rsidR="00000000" w:rsidRDefault="000A3118">
            <w:pPr>
              <w:rPr>
                <w:rFonts w:eastAsia="Times New Roman"/>
                <w:sz w:val="20"/>
                <w:szCs w:val="20"/>
              </w:rPr>
            </w:pPr>
          </w:p>
        </w:tc>
        <w:tc>
          <w:tcPr>
            <w:tcW w:w="0" w:type="auto"/>
            <w:vAlign w:val="center"/>
            <w:hideMark/>
          </w:tcPr>
          <w:p w14:paraId="21A21BD7"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12CDB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69B6D2" w14:textId="77777777" w:rsidR="00000000" w:rsidRDefault="000A3118">
            <w:pPr>
              <w:jc w:val="right"/>
              <w:rPr>
                <w:rFonts w:eastAsia="Times New Roman"/>
              </w:rPr>
            </w:pPr>
            <w:r>
              <w:rPr>
                <w:rFonts w:eastAsia="Times New Roman"/>
                <w:color w:val="000000"/>
                <w:sz w:val="16"/>
                <w:szCs w:val="16"/>
              </w:rPr>
              <w:t>848.2 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9786FB" w14:textId="77777777" w:rsidR="00000000" w:rsidRDefault="000A3118">
            <w:pPr>
              <w:jc w:val="right"/>
              <w:rPr>
                <w:rFonts w:eastAsia="Times New Roman"/>
              </w:rPr>
            </w:pPr>
          </w:p>
        </w:tc>
      </w:tr>
    </w:tbl>
    <w:p w14:paraId="3B071C70" w14:textId="77777777" w:rsidR="00000000" w:rsidRDefault="000A3118">
      <w:pPr>
        <w:ind w:firstLine="360"/>
        <w:divId w:val="393355648"/>
        <w:rPr>
          <w:rFonts w:eastAsia="Times New Roman"/>
        </w:rPr>
      </w:pPr>
    </w:p>
    <w:p w14:paraId="1ADAC23E" w14:textId="77777777" w:rsidR="00000000" w:rsidRDefault="000A3118">
      <w:pPr>
        <w:divId w:val="1005401231"/>
        <w:rPr>
          <w:rFonts w:eastAsia="Times New Roman"/>
        </w:rPr>
      </w:pPr>
    </w:p>
    <w:p w14:paraId="555A77EC" w14:textId="77777777" w:rsidR="00000000" w:rsidRDefault="000A3118">
      <w:pPr>
        <w:divId w:val="1485732382"/>
        <w:rPr>
          <w:rFonts w:eastAsia="Times New Roman"/>
        </w:rPr>
      </w:pPr>
    </w:p>
    <w:p w14:paraId="0AB789CE" w14:textId="77777777" w:rsidR="00000000" w:rsidRDefault="000A3118">
      <w:pPr>
        <w:divId w:val="101845659"/>
        <w:rPr>
          <w:rFonts w:eastAsia="Times New Roman"/>
        </w:rPr>
      </w:pPr>
      <w:r>
        <w:rPr>
          <w:rFonts w:eastAsia="Times New Roman"/>
          <w:b/>
          <w:bCs/>
          <w:color w:val="000000"/>
          <w:sz w:val="20"/>
          <w:szCs w:val="20"/>
        </w:rPr>
        <w:t>6. Debt, Interest</w:t>
      </w:r>
      <w:r>
        <w:rPr>
          <w:rFonts w:eastAsia="Times New Roman"/>
          <w:b/>
          <w:bCs/>
          <w:color w:val="000000"/>
          <w:sz w:val="20"/>
          <w:szCs w:val="20"/>
        </w:rPr>
        <w:t xml:space="preserve"> Income, Expense and Other Finance Costs</w:t>
      </w:r>
    </w:p>
    <w:p w14:paraId="3E2E5AFC" w14:textId="77777777" w:rsidR="00000000" w:rsidRDefault="000A3118">
      <w:pPr>
        <w:divId w:val="1733232458"/>
        <w:rPr>
          <w:rFonts w:eastAsia="Times New Roman"/>
        </w:rPr>
      </w:pPr>
    </w:p>
    <w:p w14:paraId="13654367" w14:textId="77777777" w:rsidR="00000000" w:rsidRDefault="000A3118">
      <w:pPr>
        <w:ind w:firstLine="360"/>
        <w:jc w:val="both"/>
        <w:rPr>
          <w:rFonts w:eastAsia="Times New Roman"/>
        </w:rPr>
      </w:pPr>
      <w:r>
        <w:rPr>
          <w:rFonts w:eastAsia="Times New Roman"/>
          <w:color w:val="000000"/>
          <w:sz w:val="20"/>
          <w:szCs w:val="20"/>
        </w:rPr>
        <w:t xml:space="preserve">Our debt consisted of the following as of September 30, 2020 and </w:t>
      </w:r>
      <w:r>
        <w:rPr>
          <w:rFonts w:eastAsia="Times New Roman"/>
          <w:color w:val="000000"/>
          <w:sz w:val="20"/>
          <w:szCs w:val="20"/>
          <w:shd w:val="clear" w:color="auto" w:fill="FFFFFF"/>
        </w:rPr>
        <w:t>December 31, 2019</w:t>
      </w:r>
      <w:r>
        <w:rPr>
          <w:rFonts w:eastAsia="Times New Roman"/>
          <w:color w:val="000000"/>
          <w:sz w:val="20"/>
          <w:szCs w:val="20"/>
        </w:rPr>
        <w:t xml:space="preserv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799"/>
        <w:gridCol w:w="37"/>
        <w:gridCol w:w="36"/>
        <w:gridCol w:w="36"/>
        <w:gridCol w:w="36"/>
        <w:gridCol w:w="101"/>
        <w:gridCol w:w="968"/>
        <w:gridCol w:w="36"/>
        <w:gridCol w:w="36"/>
        <w:gridCol w:w="36"/>
        <w:gridCol w:w="36"/>
        <w:gridCol w:w="101"/>
        <w:gridCol w:w="968"/>
        <w:gridCol w:w="36"/>
      </w:tblGrid>
      <w:tr w:rsidR="00000000" w14:paraId="07EB8E11" w14:textId="77777777">
        <w:trPr>
          <w:divId w:val="432937957"/>
          <w:jc w:val="center"/>
        </w:trPr>
        <w:tc>
          <w:tcPr>
            <w:tcW w:w="50" w:type="pct"/>
            <w:vAlign w:val="center"/>
            <w:hideMark/>
          </w:tcPr>
          <w:p w14:paraId="2ED76F55" w14:textId="77777777" w:rsidR="00000000" w:rsidRDefault="000A3118">
            <w:pPr>
              <w:ind w:firstLine="360"/>
              <w:jc w:val="both"/>
              <w:rPr>
                <w:rFonts w:eastAsia="Times New Roman"/>
              </w:rPr>
            </w:pPr>
          </w:p>
        </w:tc>
        <w:tc>
          <w:tcPr>
            <w:tcW w:w="3512" w:type="pct"/>
            <w:vAlign w:val="center"/>
            <w:hideMark/>
          </w:tcPr>
          <w:p w14:paraId="19D6CA1A" w14:textId="77777777" w:rsidR="00000000" w:rsidRDefault="000A3118">
            <w:pPr>
              <w:rPr>
                <w:rFonts w:eastAsia="Times New Roman"/>
                <w:sz w:val="20"/>
                <w:szCs w:val="20"/>
              </w:rPr>
            </w:pPr>
          </w:p>
        </w:tc>
        <w:tc>
          <w:tcPr>
            <w:tcW w:w="5" w:type="pct"/>
            <w:vAlign w:val="center"/>
            <w:hideMark/>
          </w:tcPr>
          <w:p w14:paraId="60140017" w14:textId="77777777" w:rsidR="00000000" w:rsidRDefault="000A3118">
            <w:pPr>
              <w:rPr>
                <w:rFonts w:eastAsia="Times New Roman"/>
                <w:sz w:val="20"/>
                <w:szCs w:val="20"/>
              </w:rPr>
            </w:pPr>
          </w:p>
        </w:tc>
        <w:tc>
          <w:tcPr>
            <w:tcW w:w="5" w:type="pct"/>
            <w:vAlign w:val="center"/>
            <w:hideMark/>
          </w:tcPr>
          <w:p w14:paraId="7A54587B" w14:textId="77777777" w:rsidR="00000000" w:rsidRDefault="000A3118">
            <w:pPr>
              <w:rPr>
                <w:rFonts w:eastAsia="Times New Roman"/>
                <w:sz w:val="20"/>
                <w:szCs w:val="20"/>
              </w:rPr>
            </w:pPr>
          </w:p>
        </w:tc>
        <w:tc>
          <w:tcPr>
            <w:tcW w:w="26" w:type="pct"/>
            <w:vAlign w:val="center"/>
            <w:hideMark/>
          </w:tcPr>
          <w:p w14:paraId="10D356A1" w14:textId="77777777" w:rsidR="00000000" w:rsidRDefault="000A3118">
            <w:pPr>
              <w:rPr>
                <w:rFonts w:eastAsia="Times New Roman"/>
                <w:sz w:val="20"/>
                <w:szCs w:val="20"/>
              </w:rPr>
            </w:pPr>
          </w:p>
        </w:tc>
        <w:tc>
          <w:tcPr>
            <w:tcW w:w="5" w:type="pct"/>
            <w:vAlign w:val="center"/>
            <w:hideMark/>
          </w:tcPr>
          <w:p w14:paraId="16AF205A" w14:textId="77777777" w:rsidR="00000000" w:rsidRDefault="000A3118">
            <w:pPr>
              <w:rPr>
                <w:rFonts w:eastAsia="Times New Roman"/>
                <w:sz w:val="20"/>
                <w:szCs w:val="20"/>
              </w:rPr>
            </w:pPr>
          </w:p>
        </w:tc>
        <w:tc>
          <w:tcPr>
            <w:tcW w:w="50" w:type="pct"/>
            <w:vAlign w:val="center"/>
            <w:hideMark/>
          </w:tcPr>
          <w:p w14:paraId="5778E992" w14:textId="77777777" w:rsidR="00000000" w:rsidRDefault="000A3118">
            <w:pPr>
              <w:rPr>
                <w:rFonts w:eastAsia="Times New Roman"/>
                <w:sz w:val="20"/>
                <w:szCs w:val="20"/>
              </w:rPr>
            </w:pPr>
          </w:p>
        </w:tc>
        <w:tc>
          <w:tcPr>
            <w:tcW w:w="624" w:type="pct"/>
            <w:vAlign w:val="center"/>
            <w:hideMark/>
          </w:tcPr>
          <w:p w14:paraId="54A56DD0" w14:textId="77777777" w:rsidR="00000000" w:rsidRDefault="000A3118">
            <w:pPr>
              <w:rPr>
                <w:rFonts w:eastAsia="Times New Roman"/>
                <w:sz w:val="20"/>
                <w:szCs w:val="20"/>
              </w:rPr>
            </w:pPr>
          </w:p>
        </w:tc>
        <w:tc>
          <w:tcPr>
            <w:tcW w:w="5" w:type="pct"/>
            <w:vAlign w:val="center"/>
            <w:hideMark/>
          </w:tcPr>
          <w:p w14:paraId="6972B45A" w14:textId="77777777" w:rsidR="00000000" w:rsidRDefault="000A3118">
            <w:pPr>
              <w:rPr>
                <w:rFonts w:eastAsia="Times New Roman"/>
                <w:sz w:val="20"/>
                <w:szCs w:val="20"/>
              </w:rPr>
            </w:pPr>
          </w:p>
        </w:tc>
        <w:tc>
          <w:tcPr>
            <w:tcW w:w="5" w:type="pct"/>
            <w:vAlign w:val="center"/>
            <w:hideMark/>
          </w:tcPr>
          <w:p w14:paraId="707DE132" w14:textId="77777777" w:rsidR="00000000" w:rsidRDefault="000A3118">
            <w:pPr>
              <w:rPr>
                <w:rFonts w:eastAsia="Times New Roman"/>
                <w:sz w:val="20"/>
                <w:szCs w:val="20"/>
              </w:rPr>
            </w:pPr>
          </w:p>
        </w:tc>
        <w:tc>
          <w:tcPr>
            <w:tcW w:w="26" w:type="pct"/>
            <w:vAlign w:val="center"/>
            <w:hideMark/>
          </w:tcPr>
          <w:p w14:paraId="283528B6" w14:textId="77777777" w:rsidR="00000000" w:rsidRDefault="000A3118">
            <w:pPr>
              <w:rPr>
                <w:rFonts w:eastAsia="Times New Roman"/>
                <w:sz w:val="20"/>
                <w:szCs w:val="20"/>
              </w:rPr>
            </w:pPr>
          </w:p>
        </w:tc>
        <w:tc>
          <w:tcPr>
            <w:tcW w:w="5" w:type="pct"/>
            <w:vAlign w:val="center"/>
            <w:hideMark/>
          </w:tcPr>
          <w:p w14:paraId="1A67972D" w14:textId="77777777" w:rsidR="00000000" w:rsidRDefault="000A3118">
            <w:pPr>
              <w:rPr>
                <w:rFonts w:eastAsia="Times New Roman"/>
                <w:sz w:val="20"/>
                <w:szCs w:val="20"/>
              </w:rPr>
            </w:pPr>
          </w:p>
        </w:tc>
        <w:tc>
          <w:tcPr>
            <w:tcW w:w="50" w:type="pct"/>
            <w:vAlign w:val="center"/>
            <w:hideMark/>
          </w:tcPr>
          <w:p w14:paraId="131F50A6" w14:textId="77777777" w:rsidR="00000000" w:rsidRDefault="000A3118">
            <w:pPr>
              <w:rPr>
                <w:rFonts w:eastAsia="Times New Roman"/>
                <w:sz w:val="20"/>
                <w:szCs w:val="20"/>
              </w:rPr>
            </w:pPr>
          </w:p>
        </w:tc>
        <w:tc>
          <w:tcPr>
            <w:tcW w:w="624" w:type="pct"/>
            <w:vAlign w:val="center"/>
            <w:hideMark/>
          </w:tcPr>
          <w:p w14:paraId="3365A5BB" w14:textId="77777777" w:rsidR="00000000" w:rsidRDefault="000A3118">
            <w:pPr>
              <w:rPr>
                <w:rFonts w:eastAsia="Times New Roman"/>
                <w:sz w:val="20"/>
                <w:szCs w:val="20"/>
              </w:rPr>
            </w:pPr>
          </w:p>
        </w:tc>
        <w:tc>
          <w:tcPr>
            <w:tcW w:w="5" w:type="pct"/>
            <w:vAlign w:val="center"/>
            <w:hideMark/>
          </w:tcPr>
          <w:p w14:paraId="5D93BDF7" w14:textId="77777777" w:rsidR="00000000" w:rsidRDefault="000A3118">
            <w:pPr>
              <w:rPr>
                <w:rFonts w:eastAsia="Times New Roman"/>
                <w:sz w:val="20"/>
                <w:szCs w:val="20"/>
              </w:rPr>
            </w:pPr>
          </w:p>
        </w:tc>
      </w:tr>
      <w:tr w:rsidR="00000000" w14:paraId="3CD8EAAA" w14:textId="77777777">
        <w:trPr>
          <w:divId w:val="432937957"/>
          <w:jc w:val="center"/>
        </w:trPr>
        <w:tc>
          <w:tcPr>
            <w:tcW w:w="0" w:type="auto"/>
            <w:gridSpan w:val="3"/>
            <w:tcMar>
              <w:top w:w="0" w:type="dxa"/>
              <w:left w:w="20" w:type="dxa"/>
              <w:bottom w:w="0" w:type="dxa"/>
              <w:right w:w="20" w:type="dxa"/>
            </w:tcMar>
            <w:vAlign w:val="center"/>
            <w:hideMark/>
          </w:tcPr>
          <w:p w14:paraId="72B5D3C7"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48A5C93"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hideMark/>
          </w:tcPr>
          <w:p w14:paraId="0B0E40CF" w14:textId="77777777" w:rsidR="00000000" w:rsidRDefault="000A3118">
            <w:pPr>
              <w:jc w:val="center"/>
              <w:rPr>
                <w:rFonts w:eastAsia="Times New Roman"/>
              </w:rPr>
            </w:pPr>
            <w:r>
              <w:rPr>
                <w:rFonts w:eastAsia="Times New Roman"/>
                <w:b/>
                <w:bCs/>
                <w:color w:val="000000"/>
                <w:sz w:val="16"/>
                <w:szCs w:val="16"/>
              </w:rPr>
              <w:t>As of</w:t>
            </w:r>
          </w:p>
        </w:tc>
      </w:tr>
      <w:tr w:rsidR="00000000" w14:paraId="0CC88443" w14:textId="77777777">
        <w:trPr>
          <w:divId w:val="432937957"/>
          <w:jc w:val="center"/>
        </w:trPr>
        <w:tc>
          <w:tcPr>
            <w:tcW w:w="0" w:type="auto"/>
            <w:gridSpan w:val="3"/>
            <w:tcMar>
              <w:top w:w="0" w:type="dxa"/>
              <w:left w:w="20" w:type="dxa"/>
              <w:bottom w:w="0" w:type="dxa"/>
              <w:right w:w="20" w:type="dxa"/>
            </w:tcMar>
            <w:vAlign w:val="center"/>
            <w:hideMark/>
          </w:tcPr>
          <w:p w14:paraId="68AF4EB4"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286B2C27"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289A910"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Borders>
              <w:top w:val="single" w:sz="8" w:space="0" w:color="000000"/>
            </w:tcBorders>
            <w:tcMar>
              <w:top w:w="0" w:type="dxa"/>
              <w:left w:w="20" w:type="dxa"/>
              <w:bottom w:w="0" w:type="dxa"/>
              <w:right w:w="20" w:type="dxa"/>
            </w:tcMar>
            <w:vAlign w:val="center"/>
            <w:hideMark/>
          </w:tcPr>
          <w:p w14:paraId="66279CEF"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BC59AA" w14:textId="77777777" w:rsidR="00000000" w:rsidRDefault="000A3118">
            <w:pPr>
              <w:jc w:val="center"/>
              <w:rPr>
                <w:rFonts w:eastAsia="Times New Roman"/>
              </w:rPr>
            </w:pPr>
            <w:r>
              <w:rPr>
                <w:rFonts w:eastAsia="Times New Roman"/>
                <w:b/>
                <w:bCs/>
                <w:color w:val="000000"/>
                <w:sz w:val="16"/>
                <w:szCs w:val="16"/>
              </w:rPr>
              <w:t>December 31,</w:t>
            </w:r>
          </w:p>
        </w:tc>
      </w:tr>
      <w:tr w:rsidR="00000000" w14:paraId="4994C45A" w14:textId="77777777">
        <w:trPr>
          <w:divId w:val="432937957"/>
          <w:jc w:val="center"/>
        </w:trPr>
        <w:tc>
          <w:tcPr>
            <w:tcW w:w="0" w:type="auto"/>
            <w:gridSpan w:val="3"/>
            <w:tcMar>
              <w:top w:w="0" w:type="dxa"/>
              <w:left w:w="20" w:type="dxa"/>
              <w:bottom w:w="0" w:type="dxa"/>
              <w:right w:w="20" w:type="dxa"/>
            </w:tcMar>
            <w:vAlign w:val="center"/>
            <w:hideMark/>
          </w:tcPr>
          <w:p w14:paraId="0386A5FB"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5F9A4508"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3C571C3F"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74E37CA4"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5631A506" w14:textId="77777777" w:rsidR="00000000" w:rsidRDefault="000A3118">
            <w:pPr>
              <w:jc w:val="center"/>
              <w:rPr>
                <w:rFonts w:eastAsia="Times New Roman"/>
              </w:rPr>
            </w:pPr>
            <w:r>
              <w:rPr>
                <w:rFonts w:eastAsia="Times New Roman"/>
                <w:b/>
                <w:bCs/>
                <w:color w:val="000000"/>
                <w:sz w:val="16"/>
                <w:szCs w:val="16"/>
              </w:rPr>
              <w:t>2019</w:t>
            </w:r>
          </w:p>
        </w:tc>
      </w:tr>
      <w:tr w:rsidR="00000000" w14:paraId="296F0566" w14:textId="77777777">
        <w:trPr>
          <w:divId w:val="432937957"/>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3D7D1F" w14:textId="77777777" w:rsidR="00000000" w:rsidRDefault="000A3118">
            <w:pPr>
              <w:rPr>
                <w:rFonts w:eastAsia="Times New Roman"/>
              </w:rPr>
            </w:pPr>
            <w:r>
              <w:rPr>
                <w:rFonts w:eastAsia="Times New Roman"/>
                <w:color w:val="000000"/>
                <w:sz w:val="16"/>
                <w:szCs w:val="16"/>
              </w:rPr>
              <w:t>Credit Facility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F5F298"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686D1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2DC3DA"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BF5A63"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FB59CA"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B05B5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AD2B51" w14:textId="77777777" w:rsidR="00000000" w:rsidRDefault="000A3118">
            <w:pPr>
              <w:jc w:val="right"/>
              <w:rPr>
                <w:rFonts w:eastAsia="Times New Roman"/>
              </w:rPr>
            </w:pPr>
            <w:r>
              <w:rPr>
                <w:rFonts w:eastAsia="Times New Roman"/>
                <w:color w:val="000000"/>
                <w:sz w:val="16"/>
                <w:szCs w:val="16"/>
              </w:rPr>
              <w:t>55.0 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638EED" w14:textId="77777777" w:rsidR="00000000" w:rsidRDefault="000A3118">
            <w:pPr>
              <w:jc w:val="right"/>
              <w:rPr>
                <w:rFonts w:eastAsia="Times New Roman"/>
              </w:rPr>
            </w:pPr>
          </w:p>
        </w:tc>
      </w:tr>
      <w:tr w:rsidR="00000000" w14:paraId="25A1D542" w14:textId="77777777">
        <w:trPr>
          <w:divId w:val="432937957"/>
          <w:jc w:val="center"/>
        </w:trPr>
        <w:tc>
          <w:tcPr>
            <w:tcW w:w="0" w:type="auto"/>
            <w:gridSpan w:val="3"/>
            <w:shd w:val="clear" w:color="auto" w:fill="FFFFFF"/>
            <w:tcMar>
              <w:top w:w="30" w:type="dxa"/>
              <w:left w:w="20" w:type="dxa"/>
              <w:bottom w:w="30" w:type="dxa"/>
              <w:right w:w="20" w:type="dxa"/>
            </w:tcMar>
            <w:vAlign w:val="bottom"/>
            <w:hideMark/>
          </w:tcPr>
          <w:p w14:paraId="232ED1BA" w14:textId="77777777" w:rsidR="00000000" w:rsidRDefault="000A3118">
            <w:pPr>
              <w:rPr>
                <w:rFonts w:eastAsia="Times New Roman"/>
              </w:rPr>
            </w:pPr>
            <w:r>
              <w:rPr>
                <w:rFonts w:eastAsia="Times New Roman"/>
                <w:color w:val="000000"/>
                <w:sz w:val="16"/>
                <w:szCs w:val="16"/>
              </w:rPr>
              <w:t>Term Loans</w:t>
            </w:r>
          </w:p>
        </w:tc>
        <w:tc>
          <w:tcPr>
            <w:tcW w:w="0" w:type="auto"/>
            <w:gridSpan w:val="3"/>
            <w:shd w:val="clear" w:color="auto" w:fill="FFFFFF"/>
            <w:tcMar>
              <w:top w:w="0" w:type="dxa"/>
              <w:left w:w="20" w:type="dxa"/>
              <w:bottom w:w="0" w:type="dxa"/>
              <w:right w:w="20" w:type="dxa"/>
            </w:tcMar>
            <w:vAlign w:val="center"/>
            <w:hideMark/>
          </w:tcPr>
          <w:p w14:paraId="5630A4D6"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307E89" w14:textId="77777777" w:rsidR="00000000" w:rsidRDefault="000A3118">
            <w:pPr>
              <w:jc w:val="right"/>
              <w:rPr>
                <w:rFonts w:eastAsia="Times New Roman"/>
              </w:rPr>
            </w:pPr>
            <w:r>
              <w:rPr>
                <w:rFonts w:eastAsia="Times New Roman"/>
                <w:color w:val="000000"/>
                <w:sz w:val="16"/>
                <w:szCs w:val="16"/>
              </w:rPr>
              <w:t>506.4 </w:t>
            </w:r>
          </w:p>
        </w:tc>
        <w:tc>
          <w:tcPr>
            <w:tcW w:w="0" w:type="auto"/>
            <w:shd w:val="clear" w:color="auto" w:fill="FFFFFF"/>
            <w:tcMar>
              <w:top w:w="30" w:type="dxa"/>
              <w:left w:w="0" w:type="dxa"/>
              <w:bottom w:w="30" w:type="dxa"/>
              <w:right w:w="20" w:type="dxa"/>
            </w:tcMar>
            <w:vAlign w:val="bottom"/>
            <w:hideMark/>
          </w:tcPr>
          <w:p w14:paraId="16730A9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AEF6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6EBEAC" w14:textId="77777777" w:rsidR="00000000" w:rsidRDefault="000A3118">
            <w:pPr>
              <w:jc w:val="right"/>
              <w:rPr>
                <w:rFonts w:eastAsia="Times New Roman"/>
              </w:rPr>
            </w:pPr>
            <w:r>
              <w:rPr>
                <w:rFonts w:eastAsia="Times New Roman"/>
                <w:color w:val="000000"/>
                <w:sz w:val="16"/>
                <w:szCs w:val="16"/>
              </w:rPr>
              <w:t>515.6 </w:t>
            </w:r>
          </w:p>
        </w:tc>
        <w:tc>
          <w:tcPr>
            <w:tcW w:w="0" w:type="auto"/>
            <w:shd w:val="clear" w:color="auto" w:fill="FFFFFF"/>
            <w:tcMar>
              <w:top w:w="30" w:type="dxa"/>
              <w:left w:w="0" w:type="dxa"/>
              <w:bottom w:w="30" w:type="dxa"/>
              <w:right w:w="20" w:type="dxa"/>
            </w:tcMar>
            <w:vAlign w:val="bottom"/>
            <w:hideMark/>
          </w:tcPr>
          <w:p w14:paraId="3695A32D" w14:textId="77777777" w:rsidR="00000000" w:rsidRDefault="000A3118">
            <w:pPr>
              <w:jc w:val="right"/>
              <w:rPr>
                <w:rFonts w:eastAsia="Times New Roman"/>
              </w:rPr>
            </w:pPr>
          </w:p>
        </w:tc>
      </w:tr>
      <w:tr w:rsidR="00000000" w14:paraId="2CB906FB" w14:textId="77777777">
        <w:trPr>
          <w:divId w:val="432937957"/>
          <w:jc w:val="center"/>
        </w:trPr>
        <w:tc>
          <w:tcPr>
            <w:tcW w:w="0" w:type="auto"/>
            <w:gridSpan w:val="3"/>
            <w:shd w:val="clear" w:color="auto" w:fill="CCEEFF"/>
            <w:tcMar>
              <w:top w:w="30" w:type="dxa"/>
              <w:left w:w="20" w:type="dxa"/>
              <w:bottom w:w="30" w:type="dxa"/>
              <w:right w:w="20" w:type="dxa"/>
            </w:tcMar>
            <w:vAlign w:val="bottom"/>
            <w:hideMark/>
          </w:tcPr>
          <w:p w14:paraId="4C7F0BA2" w14:textId="77777777" w:rsidR="00000000" w:rsidRDefault="000A3118">
            <w:pPr>
              <w:rPr>
                <w:rFonts w:eastAsia="Times New Roman"/>
              </w:rPr>
            </w:pPr>
            <w:r>
              <w:rPr>
                <w:rFonts w:eastAsia="Times New Roman"/>
                <w:color w:val="000000"/>
                <w:sz w:val="16"/>
                <w:szCs w:val="16"/>
              </w:rPr>
              <w:t>Finance Leases</w:t>
            </w:r>
          </w:p>
        </w:tc>
        <w:tc>
          <w:tcPr>
            <w:tcW w:w="0" w:type="auto"/>
            <w:gridSpan w:val="3"/>
            <w:shd w:val="clear" w:color="auto" w:fill="CCEEFF"/>
            <w:tcMar>
              <w:top w:w="0" w:type="dxa"/>
              <w:left w:w="20" w:type="dxa"/>
              <w:bottom w:w="0" w:type="dxa"/>
              <w:right w:w="20" w:type="dxa"/>
            </w:tcMar>
            <w:vAlign w:val="center"/>
            <w:hideMark/>
          </w:tcPr>
          <w:p w14:paraId="40EE2AB5"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E927F7" w14:textId="77777777" w:rsidR="00000000" w:rsidRDefault="000A3118">
            <w:pPr>
              <w:jc w:val="right"/>
              <w:rPr>
                <w:rFonts w:eastAsia="Times New Roman"/>
              </w:rPr>
            </w:pPr>
            <w:r>
              <w:rPr>
                <w:rFonts w:eastAsia="Times New Roman"/>
                <w:color w:val="000000"/>
                <w:sz w:val="16"/>
                <w:szCs w:val="16"/>
              </w:rPr>
              <w:t>17.7 </w:t>
            </w:r>
          </w:p>
        </w:tc>
        <w:tc>
          <w:tcPr>
            <w:tcW w:w="0" w:type="auto"/>
            <w:shd w:val="clear" w:color="auto" w:fill="CCEEFF"/>
            <w:tcMar>
              <w:top w:w="30" w:type="dxa"/>
              <w:left w:w="0" w:type="dxa"/>
              <w:bottom w:w="30" w:type="dxa"/>
              <w:right w:w="20" w:type="dxa"/>
            </w:tcMar>
            <w:vAlign w:val="bottom"/>
            <w:hideMark/>
          </w:tcPr>
          <w:p w14:paraId="0AAEE9C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B2FD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781072" w14:textId="77777777" w:rsidR="00000000" w:rsidRDefault="000A3118">
            <w:pPr>
              <w:jc w:val="right"/>
              <w:rPr>
                <w:rFonts w:eastAsia="Times New Roman"/>
              </w:rPr>
            </w:pPr>
            <w:r>
              <w:rPr>
                <w:rFonts w:eastAsia="Times New Roman"/>
                <w:color w:val="000000"/>
                <w:sz w:val="16"/>
                <w:szCs w:val="16"/>
              </w:rPr>
              <w:t>18.7 </w:t>
            </w:r>
          </w:p>
        </w:tc>
        <w:tc>
          <w:tcPr>
            <w:tcW w:w="0" w:type="auto"/>
            <w:shd w:val="clear" w:color="auto" w:fill="CCEEFF"/>
            <w:tcMar>
              <w:top w:w="30" w:type="dxa"/>
              <w:left w:w="0" w:type="dxa"/>
              <w:bottom w:w="30" w:type="dxa"/>
              <w:right w:w="20" w:type="dxa"/>
            </w:tcMar>
            <w:vAlign w:val="bottom"/>
            <w:hideMark/>
          </w:tcPr>
          <w:p w14:paraId="671BB343" w14:textId="77777777" w:rsidR="00000000" w:rsidRDefault="000A3118">
            <w:pPr>
              <w:jc w:val="right"/>
              <w:rPr>
                <w:rFonts w:eastAsia="Times New Roman"/>
              </w:rPr>
            </w:pPr>
          </w:p>
        </w:tc>
      </w:tr>
      <w:tr w:rsidR="00000000" w14:paraId="2D438DCC" w14:textId="77777777">
        <w:trPr>
          <w:divId w:val="432937957"/>
          <w:jc w:val="center"/>
        </w:trPr>
        <w:tc>
          <w:tcPr>
            <w:tcW w:w="0" w:type="auto"/>
            <w:gridSpan w:val="3"/>
            <w:shd w:val="clear" w:color="auto" w:fill="FFFFFF"/>
            <w:tcMar>
              <w:top w:w="30" w:type="dxa"/>
              <w:left w:w="20" w:type="dxa"/>
              <w:bottom w:w="30" w:type="dxa"/>
              <w:right w:w="20" w:type="dxa"/>
            </w:tcMar>
            <w:vAlign w:val="bottom"/>
            <w:hideMark/>
          </w:tcPr>
          <w:p w14:paraId="514D8567" w14:textId="77777777" w:rsidR="00000000" w:rsidRDefault="000A3118">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26039F6E"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07FEB9" w14:textId="77777777" w:rsidR="00000000" w:rsidRDefault="000A3118">
            <w:pPr>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14:paraId="71C3EF2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A6D09"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F598DB" w14:textId="77777777" w:rsidR="00000000" w:rsidRDefault="000A3118">
            <w:pPr>
              <w:jc w:val="right"/>
              <w:rPr>
                <w:rFonts w:eastAsia="Times New Roman"/>
              </w:rPr>
            </w:pPr>
            <w:r>
              <w:rPr>
                <w:rFonts w:eastAsia="Times New Roman"/>
                <w:color w:val="000000"/>
                <w:sz w:val="16"/>
                <w:szCs w:val="16"/>
              </w:rPr>
              <w:t>39.5 </w:t>
            </w:r>
          </w:p>
        </w:tc>
        <w:tc>
          <w:tcPr>
            <w:tcW w:w="0" w:type="auto"/>
            <w:shd w:val="clear" w:color="auto" w:fill="FFFFFF"/>
            <w:tcMar>
              <w:top w:w="30" w:type="dxa"/>
              <w:left w:w="0" w:type="dxa"/>
              <w:bottom w:w="30" w:type="dxa"/>
              <w:right w:w="20" w:type="dxa"/>
            </w:tcMar>
            <w:vAlign w:val="bottom"/>
            <w:hideMark/>
          </w:tcPr>
          <w:p w14:paraId="2EF5F84E" w14:textId="77777777" w:rsidR="00000000" w:rsidRDefault="000A3118">
            <w:pPr>
              <w:jc w:val="right"/>
              <w:rPr>
                <w:rFonts w:eastAsia="Times New Roman"/>
              </w:rPr>
            </w:pPr>
          </w:p>
        </w:tc>
      </w:tr>
      <w:tr w:rsidR="00000000" w14:paraId="685A91B7" w14:textId="77777777">
        <w:trPr>
          <w:divId w:val="432937957"/>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3A38D33" w14:textId="77777777" w:rsidR="00000000" w:rsidRDefault="000A3118">
            <w:pPr>
              <w:rPr>
                <w:rFonts w:eastAsia="Times New Roman"/>
              </w:rPr>
            </w:pPr>
            <w:r>
              <w:rPr>
                <w:rFonts w:eastAsia="Times New Roman"/>
                <w:color w:val="000000"/>
                <w:sz w:val="16"/>
                <w:szCs w:val="16"/>
              </w:rPr>
              <w:t>Total debt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6C98F3"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345753" w14:textId="77777777" w:rsidR="00000000" w:rsidRDefault="000A3118">
            <w:pPr>
              <w:jc w:val="right"/>
              <w:rPr>
                <w:rFonts w:eastAsia="Times New Roman"/>
              </w:rPr>
            </w:pPr>
            <w:r>
              <w:rPr>
                <w:rFonts w:eastAsia="Times New Roman"/>
                <w:color w:val="000000"/>
                <w:sz w:val="16"/>
                <w:szCs w:val="16"/>
              </w:rPr>
              <w:t>526.6 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06FC12"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010E1D"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8744A0" w14:textId="77777777" w:rsidR="00000000" w:rsidRDefault="000A3118">
            <w:pPr>
              <w:jc w:val="right"/>
              <w:rPr>
                <w:rFonts w:eastAsia="Times New Roman"/>
              </w:rPr>
            </w:pPr>
            <w:r>
              <w:rPr>
                <w:rFonts w:eastAsia="Times New Roman"/>
                <w:color w:val="000000"/>
                <w:sz w:val="16"/>
                <w:szCs w:val="16"/>
              </w:rPr>
              <w:t>628.8 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60A303" w14:textId="77777777" w:rsidR="00000000" w:rsidRDefault="000A3118">
            <w:pPr>
              <w:jc w:val="right"/>
              <w:rPr>
                <w:rFonts w:eastAsia="Times New Roman"/>
              </w:rPr>
            </w:pPr>
          </w:p>
        </w:tc>
      </w:tr>
      <w:tr w:rsidR="00000000" w14:paraId="034BA1E2" w14:textId="77777777">
        <w:trPr>
          <w:divId w:val="432937957"/>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594FB69" w14:textId="77777777" w:rsidR="00000000" w:rsidRDefault="000A3118">
            <w:pPr>
              <w:rPr>
                <w:rFonts w:eastAsia="Times New Roman"/>
              </w:rPr>
            </w:pPr>
            <w:r>
              <w:rPr>
                <w:rFonts w:eastAsia="Times New Roman"/>
                <w:color w:val="000000"/>
                <w:sz w:val="16"/>
                <w:szCs w:val="16"/>
              </w:rPr>
              <w:t>Current maturities of long-term debt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F7DD47E"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4DCE99" w14:textId="77777777" w:rsidR="00000000" w:rsidRDefault="000A3118">
            <w:pPr>
              <w:jc w:val="right"/>
              <w:rPr>
                <w:rFonts w:eastAsia="Times New Roman"/>
              </w:rPr>
            </w:pPr>
            <w:r>
              <w:rPr>
                <w:rFonts w:eastAsia="Times New Roman"/>
                <w:color w:val="000000"/>
                <w:sz w:val="16"/>
                <w:szCs w:val="16"/>
              </w:rPr>
              <w:t>19.6 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FBA1EB"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7F8225"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B0B41C" w14:textId="77777777" w:rsidR="00000000" w:rsidRDefault="000A3118">
            <w:pPr>
              <w:jc w:val="right"/>
              <w:rPr>
                <w:rFonts w:eastAsia="Times New Roman"/>
              </w:rPr>
            </w:pPr>
            <w:r>
              <w:rPr>
                <w:rFonts w:eastAsia="Times New Roman"/>
                <w:color w:val="000000"/>
                <w:sz w:val="16"/>
                <w:szCs w:val="16"/>
              </w:rPr>
              <w:t>54.1 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FA7AF3" w14:textId="77777777" w:rsidR="00000000" w:rsidRDefault="000A3118">
            <w:pPr>
              <w:jc w:val="right"/>
              <w:rPr>
                <w:rFonts w:eastAsia="Times New Roman"/>
              </w:rPr>
            </w:pPr>
          </w:p>
        </w:tc>
      </w:tr>
      <w:tr w:rsidR="00000000" w14:paraId="26DEEF02" w14:textId="77777777">
        <w:trPr>
          <w:divId w:val="432937957"/>
          <w:jc w:val="center"/>
        </w:trPr>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14:paraId="078E1A45" w14:textId="77777777" w:rsidR="00000000" w:rsidRDefault="000A3118">
            <w:pPr>
              <w:rPr>
                <w:rFonts w:eastAsia="Times New Roman"/>
              </w:rPr>
            </w:pPr>
            <w:r>
              <w:rPr>
                <w:rFonts w:eastAsia="Times New Roman"/>
                <w:color w:val="000000"/>
                <w:sz w:val="16"/>
                <w:szCs w:val="16"/>
              </w:rPr>
              <w:t>Long-term debt</w:t>
            </w: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71928143" w14:textId="77777777" w:rsidR="00000000" w:rsidRDefault="000A3118">
            <w:pPr>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1C75E104" w14:textId="77777777" w:rsidR="00000000" w:rsidRDefault="000A3118">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146208E" w14:textId="77777777" w:rsidR="00000000" w:rsidRDefault="000A3118">
            <w:pPr>
              <w:jc w:val="right"/>
              <w:rPr>
                <w:rFonts w:eastAsia="Times New Roman"/>
              </w:rPr>
            </w:pPr>
            <w:r>
              <w:rPr>
                <w:rFonts w:eastAsia="Times New Roman"/>
                <w:color w:val="000000"/>
                <w:sz w:val="16"/>
                <w:szCs w:val="16"/>
              </w:rPr>
              <w:t>506.9 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2A5BDA14" w14:textId="77777777" w:rsidR="00000000" w:rsidRDefault="000A3118">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20C9F9B9" w14:textId="77777777" w:rsidR="00000000" w:rsidRDefault="000A3118">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7F7DFA7B" w14:textId="77777777" w:rsidR="00000000" w:rsidRDefault="000A3118">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EFF3D71" w14:textId="77777777" w:rsidR="00000000" w:rsidRDefault="000A3118">
            <w:pPr>
              <w:jc w:val="right"/>
              <w:rPr>
                <w:rFonts w:eastAsia="Times New Roman"/>
              </w:rPr>
            </w:pPr>
            <w:r>
              <w:rPr>
                <w:rFonts w:eastAsia="Times New Roman"/>
                <w:color w:val="000000"/>
                <w:sz w:val="16"/>
                <w:szCs w:val="16"/>
              </w:rPr>
              <w:t>574.7 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0E4DC29" w14:textId="77777777" w:rsidR="00000000" w:rsidRDefault="000A3118">
            <w:pPr>
              <w:jc w:val="right"/>
              <w:rPr>
                <w:rFonts w:eastAsia="Times New Roman"/>
              </w:rPr>
            </w:pPr>
          </w:p>
        </w:tc>
      </w:tr>
    </w:tbl>
    <w:p w14:paraId="5183D899" w14:textId="77777777" w:rsidR="00000000" w:rsidRDefault="000A3118">
      <w:pPr>
        <w:jc w:val="both"/>
        <w:divId w:val="690492945"/>
        <w:rPr>
          <w:rFonts w:eastAsia="Times New Roman"/>
        </w:rPr>
      </w:pPr>
      <w:r>
        <w:rPr>
          <w:rFonts w:eastAsia="Times New Roman"/>
          <w:color w:val="000000"/>
          <w:sz w:val="20"/>
          <w:szCs w:val="20"/>
        </w:rPr>
        <w:t>    </w:t>
      </w:r>
    </w:p>
    <w:p w14:paraId="4A193A40" w14:textId="77777777" w:rsidR="00000000" w:rsidRDefault="000A3118">
      <w:pPr>
        <w:jc w:val="center"/>
        <w:divId w:val="167407615"/>
        <w:rPr>
          <w:rFonts w:eastAsia="Times New Roman"/>
        </w:rPr>
      </w:pPr>
      <w:r>
        <w:rPr>
          <w:rFonts w:eastAsia="Times New Roman"/>
          <w:color w:val="000000"/>
          <w:sz w:val="20"/>
          <w:szCs w:val="20"/>
        </w:rPr>
        <w:t>16</w:t>
      </w:r>
    </w:p>
    <w:p w14:paraId="44DC8CD4" w14:textId="77777777" w:rsidR="00000000" w:rsidRDefault="000A3118">
      <w:pPr>
        <w:rPr>
          <w:rFonts w:eastAsia="Times New Roman"/>
        </w:rPr>
      </w:pPr>
      <w:r>
        <w:rPr>
          <w:rFonts w:eastAsia="Times New Roman"/>
        </w:rPr>
        <w:pict w14:anchorId="1D6C2AE5">
          <v:rect id="_x0000_i1044" style="width:0;height:1.5pt" o:hralign="center" o:hrstd="t" o:hr="t" fillcolor="#a0a0a0" stroked="f"/>
        </w:pict>
      </w:r>
    </w:p>
    <w:p w14:paraId="5C138A37" w14:textId="77777777" w:rsidR="00000000" w:rsidRDefault="000A3118">
      <w:pPr>
        <w:divId w:val="576287507"/>
        <w:rPr>
          <w:rFonts w:eastAsia="Times New Roman"/>
        </w:rPr>
      </w:pPr>
    </w:p>
    <w:p w14:paraId="74AA3AB7" w14:textId="77777777" w:rsidR="00000000" w:rsidRDefault="000A3118">
      <w:pPr>
        <w:ind w:firstLine="360"/>
        <w:jc w:val="both"/>
        <w:divId w:val="557664769"/>
        <w:rPr>
          <w:rFonts w:eastAsia="Times New Roman"/>
        </w:rPr>
      </w:pPr>
      <w:r>
        <w:rPr>
          <w:rFonts w:eastAsia="Times New Roman"/>
          <w:color w:val="000000"/>
          <w:sz w:val="20"/>
          <w:szCs w:val="20"/>
        </w:rPr>
        <w:t xml:space="preserve">The following table provides additional information about our interest income (expense), and other financing costs, net, for the periods presented for the three and nine months ended September 30, 2020 and </w:t>
      </w:r>
      <w:r>
        <w:rPr>
          <w:rFonts w:eastAsia="Times New Roman"/>
          <w:color w:val="000000"/>
          <w:sz w:val="20"/>
          <w:szCs w:val="20"/>
          <w:shd w:val="clear" w:color="auto" w:fill="FFFFFF"/>
        </w:rPr>
        <w:t>2019</w:t>
      </w:r>
      <w:r>
        <w:rPr>
          <w:rFonts w:eastAsia="Times New Roman"/>
          <w:color w:val="000000"/>
          <w:sz w:val="20"/>
          <w:szCs w:val="20"/>
        </w:rPr>
        <w:t xml:space="preserve"> (in mil</w:t>
      </w:r>
      <w:r>
        <w:rPr>
          <w:rFonts w:eastAsia="Times New Roman"/>
          <w:color w:val="000000"/>
          <w:sz w:val="20"/>
          <w:szCs w:val="20"/>
        </w:rPr>
        <w:t>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656"/>
        <w:gridCol w:w="37"/>
        <w:gridCol w:w="36"/>
        <w:gridCol w:w="36"/>
        <w:gridCol w:w="36"/>
        <w:gridCol w:w="100"/>
        <w:gridCol w:w="898"/>
        <w:gridCol w:w="36"/>
        <w:gridCol w:w="36"/>
        <w:gridCol w:w="36"/>
        <w:gridCol w:w="36"/>
        <w:gridCol w:w="100"/>
        <w:gridCol w:w="899"/>
        <w:gridCol w:w="36"/>
        <w:gridCol w:w="36"/>
        <w:gridCol w:w="36"/>
        <w:gridCol w:w="36"/>
        <w:gridCol w:w="100"/>
        <w:gridCol w:w="900"/>
        <w:gridCol w:w="36"/>
        <w:gridCol w:w="36"/>
        <w:gridCol w:w="36"/>
        <w:gridCol w:w="36"/>
        <w:gridCol w:w="100"/>
        <w:gridCol w:w="900"/>
        <w:gridCol w:w="36"/>
      </w:tblGrid>
      <w:tr w:rsidR="00000000" w14:paraId="4AFC80C2" w14:textId="77777777">
        <w:trPr>
          <w:divId w:val="1415855305"/>
        </w:trPr>
        <w:tc>
          <w:tcPr>
            <w:tcW w:w="50" w:type="pct"/>
            <w:vAlign w:val="center"/>
            <w:hideMark/>
          </w:tcPr>
          <w:p w14:paraId="419B7D69" w14:textId="77777777" w:rsidR="00000000" w:rsidRDefault="000A3118">
            <w:pPr>
              <w:ind w:firstLine="360"/>
              <w:jc w:val="both"/>
              <w:rPr>
                <w:rFonts w:eastAsia="Times New Roman"/>
              </w:rPr>
            </w:pPr>
          </w:p>
        </w:tc>
        <w:tc>
          <w:tcPr>
            <w:tcW w:w="2225" w:type="pct"/>
            <w:vAlign w:val="center"/>
            <w:hideMark/>
          </w:tcPr>
          <w:p w14:paraId="0526F399" w14:textId="77777777" w:rsidR="00000000" w:rsidRDefault="000A3118">
            <w:pPr>
              <w:rPr>
                <w:rFonts w:eastAsia="Times New Roman"/>
                <w:sz w:val="20"/>
                <w:szCs w:val="20"/>
              </w:rPr>
            </w:pPr>
          </w:p>
        </w:tc>
        <w:tc>
          <w:tcPr>
            <w:tcW w:w="5" w:type="pct"/>
            <w:vAlign w:val="center"/>
            <w:hideMark/>
          </w:tcPr>
          <w:p w14:paraId="425BEEE0" w14:textId="77777777" w:rsidR="00000000" w:rsidRDefault="000A3118">
            <w:pPr>
              <w:rPr>
                <w:rFonts w:eastAsia="Times New Roman"/>
                <w:sz w:val="20"/>
                <w:szCs w:val="20"/>
              </w:rPr>
            </w:pPr>
          </w:p>
        </w:tc>
        <w:tc>
          <w:tcPr>
            <w:tcW w:w="5" w:type="pct"/>
            <w:vAlign w:val="center"/>
            <w:hideMark/>
          </w:tcPr>
          <w:p w14:paraId="5BE7ED5A" w14:textId="77777777" w:rsidR="00000000" w:rsidRDefault="000A3118">
            <w:pPr>
              <w:rPr>
                <w:rFonts w:eastAsia="Times New Roman"/>
                <w:sz w:val="20"/>
                <w:szCs w:val="20"/>
              </w:rPr>
            </w:pPr>
          </w:p>
        </w:tc>
        <w:tc>
          <w:tcPr>
            <w:tcW w:w="26" w:type="pct"/>
            <w:vAlign w:val="center"/>
            <w:hideMark/>
          </w:tcPr>
          <w:p w14:paraId="6B8977B3" w14:textId="77777777" w:rsidR="00000000" w:rsidRDefault="000A3118">
            <w:pPr>
              <w:rPr>
                <w:rFonts w:eastAsia="Times New Roman"/>
                <w:sz w:val="20"/>
                <w:szCs w:val="20"/>
              </w:rPr>
            </w:pPr>
          </w:p>
        </w:tc>
        <w:tc>
          <w:tcPr>
            <w:tcW w:w="5" w:type="pct"/>
            <w:vAlign w:val="center"/>
            <w:hideMark/>
          </w:tcPr>
          <w:p w14:paraId="13C1FE59" w14:textId="77777777" w:rsidR="00000000" w:rsidRDefault="000A3118">
            <w:pPr>
              <w:rPr>
                <w:rFonts w:eastAsia="Times New Roman"/>
                <w:sz w:val="20"/>
                <w:szCs w:val="20"/>
              </w:rPr>
            </w:pPr>
          </w:p>
        </w:tc>
        <w:tc>
          <w:tcPr>
            <w:tcW w:w="50" w:type="pct"/>
            <w:vAlign w:val="center"/>
            <w:hideMark/>
          </w:tcPr>
          <w:p w14:paraId="14475A9A" w14:textId="77777777" w:rsidR="00000000" w:rsidRDefault="000A3118">
            <w:pPr>
              <w:rPr>
                <w:rFonts w:eastAsia="Times New Roman"/>
                <w:sz w:val="20"/>
                <w:szCs w:val="20"/>
              </w:rPr>
            </w:pPr>
          </w:p>
        </w:tc>
        <w:tc>
          <w:tcPr>
            <w:tcW w:w="588" w:type="pct"/>
            <w:vAlign w:val="center"/>
            <w:hideMark/>
          </w:tcPr>
          <w:p w14:paraId="106B7740" w14:textId="77777777" w:rsidR="00000000" w:rsidRDefault="000A3118">
            <w:pPr>
              <w:rPr>
                <w:rFonts w:eastAsia="Times New Roman"/>
                <w:sz w:val="20"/>
                <w:szCs w:val="20"/>
              </w:rPr>
            </w:pPr>
          </w:p>
        </w:tc>
        <w:tc>
          <w:tcPr>
            <w:tcW w:w="5" w:type="pct"/>
            <w:vAlign w:val="center"/>
            <w:hideMark/>
          </w:tcPr>
          <w:p w14:paraId="05CA99A9" w14:textId="77777777" w:rsidR="00000000" w:rsidRDefault="000A3118">
            <w:pPr>
              <w:rPr>
                <w:rFonts w:eastAsia="Times New Roman"/>
                <w:sz w:val="20"/>
                <w:szCs w:val="20"/>
              </w:rPr>
            </w:pPr>
          </w:p>
        </w:tc>
        <w:tc>
          <w:tcPr>
            <w:tcW w:w="5" w:type="pct"/>
            <w:vAlign w:val="center"/>
            <w:hideMark/>
          </w:tcPr>
          <w:p w14:paraId="48759FD7" w14:textId="77777777" w:rsidR="00000000" w:rsidRDefault="000A3118">
            <w:pPr>
              <w:rPr>
                <w:rFonts w:eastAsia="Times New Roman"/>
                <w:sz w:val="20"/>
                <w:szCs w:val="20"/>
              </w:rPr>
            </w:pPr>
          </w:p>
        </w:tc>
        <w:tc>
          <w:tcPr>
            <w:tcW w:w="26" w:type="pct"/>
            <w:vAlign w:val="center"/>
            <w:hideMark/>
          </w:tcPr>
          <w:p w14:paraId="6381E4D4" w14:textId="77777777" w:rsidR="00000000" w:rsidRDefault="000A3118">
            <w:pPr>
              <w:rPr>
                <w:rFonts w:eastAsia="Times New Roman"/>
                <w:sz w:val="20"/>
                <w:szCs w:val="20"/>
              </w:rPr>
            </w:pPr>
          </w:p>
        </w:tc>
        <w:tc>
          <w:tcPr>
            <w:tcW w:w="5" w:type="pct"/>
            <w:vAlign w:val="center"/>
            <w:hideMark/>
          </w:tcPr>
          <w:p w14:paraId="09347E2C" w14:textId="77777777" w:rsidR="00000000" w:rsidRDefault="000A3118">
            <w:pPr>
              <w:rPr>
                <w:rFonts w:eastAsia="Times New Roman"/>
                <w:sz w:val="20"/>
                <w:szCs w:val="20"/>
              </w:rPr>
            </w:pPr>
          </w:p>
        </w:tc>
        <w:tc>
          <w:tcPr>
            <w:tcW w:w="50" w:type="pct"/>
            <w:vAlign w:val="center"/>
            <w:hideMark/>
          </w:tcPr>
          <w:p w14:paraId="3DD919B4" w14:textId="77777777" w:rsidR="00000000" w:rsidRDefault="000A3118">
            <w:pPr>
              <w:rPr>
                <w:rFonts w:eastAsia="Times New Roman"/>
                <w:sz w:val="20"/>
                <w:szCs w:val="20"/>
              </w:rPr>
            </w:pPr>
          </w:p>
        </w:tc>
        <w:tc>
          <w:tcPr>
            <w:tcW w:w="588" w:type="pct"/>
            <w:vAlign w:val="center"/>
            <w:hideMark/>
          </w:tcPr>
          <w:p w14:paraId="4CBBDF50" w14:textId="77777777" w:rsidR="00000000" w:rsidRDefault="000A3118">
            <w:pPr>
              <w:rPr>
                <w:rFonts w:eastAsia="Times New Roman"/>
                <w:sz w:val="20"/>
                <w:szCs w:val="20"/>
              </w:rPr>
            </w:pPr>
          </w:p>
        </w:tc>
        <w:tc>
          <w:tcPr>
            <w:tcW w:w="5" w:type="pct"/>
            <w:vAlign w:val="center"/>
            <w:hideMark/>
          </w:tcPr>
          <w:p w14:paraId="5E72E07E" w14:textId="77777777" w:rsidR="00000000" w:rsidRDefault="000A3118">
            <w:pPr>
              <w:rPr>
                <w:rFonts w:eastAsia="Times New Roman"/>
                <w:sz w:val="20"/>
                <w:szCs w:val="20"/>
              </w:rPr>
            </w:pPr>
          </w:p>
        </w:tc>
        <w:tc>
          <w:tcPr>
            <w:tcW w:w="5" w:type="pct"/>
            <w:vAlign w:val="center"/>
            <w:hideMark/>
          </w:tcPr>
          <w:p w14:paraId="781B3935" w14:textId="77777777" w:rsidR="00000000" w:rsidRDefault="000A3118">
            <w:pPr>
              <w:rPr>
                <w:rFonts w:eastAsia="Times New Roman"/>
                <w:sz w:val="20"/>
                <w:szCs w:val="20"/>
              </w:rPr>
            </w:pPr>
          </w:p>
        </w:tc>
        <w:tc>
          <w:tcPr>
            <w:tcW w:w="26" w:type="pct"/>
            <w:vAlign w:val="center"/>
            <w:hideMark/>
          </w:tcPr>
          <w:p w14:paraId="476E94A0" w14:textId="77777777" w:rsidR="00000000" w:rsidRDefault="000A3118">
            <w:pPr>
              <w:rPr>
                <w:rFonts w:eastAsia="Times New Roman"/>
                <w:sz w:val="20"/>
                <w:szCs w:val="20"/>
              </w:rPr>
            </w:pPr>
          </w:p>
        </w:tc>
        <w:tc>
          <w:tcPr>
            <w:tcW w:w="5" w:type="pct"/>
            <w:vAlign w:val="center"/>
            <w:hideMark/>
          </w:tcPr>
          <w:p w14:paraId="78488707" w14:textId="77777777" w:rsidR="00000000" w:rsidRDefault="000A3118">
            <w:pPr>
              <w:rPr>
                <w:rFonts w:eastAsia="Times New Roman"/>
                <w:sz w:val="20"/>
                <w:szCs w:val="20"/>
              </w:rPr>
            </w:pPr>
          </w:p>
        </w:tc>
        <w:tc>
          <w:tcPr>
            <w:tcW w:w="50" w:type="pct"/>
            <w:vAlign w:val="center"/>
            <w:hideMark/>
          </w:tcPr>
          <w:p w14:paraId="11710DA2" w14:textId="77777777" w:rsidR="00000000" w:rsidRDefault="000A3118">
            <w:pPr>
              <w:rPr>
                <w:rFonts w:eastAsia="Times New Roman"/>
                <w:sz w:val="20"/>
                <w:szCs w:val="20"/>
              </w:rPr>
            </w:pPr>
          </w:p>
        </w:tc>
        <w:tc>
          <w:tcPr>
            <w:tcW w:w="588" w:type="pct"/>
            <w:vAlign w:val="center"/>
            <w:hideMark/>
          </w:tcPr>
          <w:p w14:paraId="3924BD85" w14:textId="77777777" w:rsidR="00000000" w:rsidRDefault="000A3118">
            <w:pPr>
              <w:rPr>
                <w:rFonts w:eastAsia="Times New Roman"/>
                <w:sz w:val="20"/>
                <w:szCs w:val="20"/>
              </w:rPr>
            </w:pPr>
          </w:p>
        </w:tc>
        <w:tc>
          <w:tcPr>
            <w:tcW w:w="5" w:type="pct"/>
            <w:vAlign w:val="center"/>
            <w:hideMark/>
          </w:tcPr>
          <w:p w14:paraId="51875D99" w14:textId="77777777" w:rsidR="00000000" w:rsidRDefault="000A3118">
            <w:pPr>
              <w:rPr>
                <w:rFonts w:eastAsia="Times New Roman"/>
                <w:sz w:val="20"/>
                <w:szCs w:val="20"/>
              </w:rPr>
            </w:pPr>
          </w:p>
        </w:tc>
        <w:tc>
          <w:tcPr>
            <w:tcW w:w="5" w:type="pct"/>
            <w:vAlign w:val="center"/>
            <w:hideMark/>
          </w:tcPr>
          <w:p w14:paraId="511E9EF5" w14:textId="77777777" w:rsidR="00000000" w:rsidRDefault="000A3118">
            <w:pPr>
              <w:rPr>
                <w:rFonts w:eastAsia="Times New Roman"/>
                <w:sz w:val="20"/>
                <w:szCs w:val="20"/>
              </w:rPr>
            </w:pPr>
          </w:p>
        </w:tc>
        <w:tc>
          <w:tcPr>
            <w:tcW w:w="26" w:type="pct"/>
            <w:vAlign w:val="center"/>
            <w:hideMark/>
          </w:tcPr>
          <w:p w14:paraId="1EC4F7D2" w14:textId="77777777" w:rsidR="00000000" w:rsidRDefault="000A3118">
            <w:pPr>
              <w:rPr>
                <w:rFonts w:eastAsia="Times New Roman"/>
                <w:sz w:val="20"/>
                <w:szCs w:val="20"/>
              </w:rPr>
            </w:pPr>
          </w:p>
        </w:tc>
        <w:tc>
          <w:tcPr>
            <w:tcW w:w="5" w:type="pct"/>
            <w:vAlign w:val="center"/>
            <w:hideMark/>
          </w:tcPr>
          <w:p w14:paraId="0563EC77" w14:textId="77777777" w:rsidR="00000000" w:rsidRDefault="000A3118">
            <w:pPr>
              <w:rPr>
                <w:rFonts w:eastAsia="Times New Roman"/>
                <w:sz w:val="20"/>
                <w:szCs w:val="20"/>
              </w:rPr>
            </w:pPr>
          </w:p>
        </w:tc>
        <w:tc>
          <w:tcPr>
            <w:tcW w:w="50" w:type="pct"/>
            <w:vAlign w:val="center"/>
            <w:hideMark/>
          </w:tcPr>
          <w:p w14:paraId="6573350B" w14:textId="77777777" w:rsidR="00000000" w:rsidRDefault="000A3118">
            <w:pPr>
              <w:rPr>
                <w:rFonts w:eastAsia="Times New Roman"/>
                <w:sz w:val="20"/>
                <w:szCs w:val="20"/>
              </w:rPr>
            </w:pPr>
          </w:p>
        </w:tc>
        <w:tc>
          <w:tcPr>
            <w:tcW w:w="588" w:type="pct"/>
            <w:vAlign w:val="center"/>
            <w:hideMark/>
          </w:tcPr>
          <w:p w14:paraId="0FC6E075" w14:textId="77777777" w:rsidR="00000000" w:rsidRDefault="000A3118">
            <w:pPr>
              <w:rPr>
                <w:rFonts w:eastAsia="Times New Roman"/>
                <w:sz w:val="20"/>
                <w:szCs w:val="20"/>
              </w:rPr>
            </w:pPr>
          </w:p>
        </w:tc>
        <w:tc>
          <w:tcPr>
            <w:tcW w:w="5" w:type="pct"/>
            <w:vAlign w:val="center"/>
            <w:hideMark/>
          </w:tcPr>
          <w:p w14:paraId="5B9DACD6" w14:textId="77777777" w:rsidR="00000000" w:rsidRDefault="000A3118">
            <w:pPr>
              <w:rPr>
                <w:rFonts w:eastAsia="Times New Roman"/>
                <w:sz w:val="20"/>
                <w:szCs w:val="20"/>
              </w:rPr>
            </w:pPr>
          </w:p>
        </w:tc>
      </w:tr>
      <w:tr w:rsidR="00000000" w14:paraId="2A4769B2" w14:textId="77777777">
        <w:trPr>
          <w:divId w:val="1415855305"/>
        </w:trPr>
        <w:tc>
          <w:tcPr>
            <w:tcW w:w="0" w:type="auto"/>
            <w:gridSpan w:val="3"/>
            <w:tcMar>
              <w:top w:w="0" w:type="dxa"/>
              <w:left w:w="20" w:type="dxa"/>
              <w:bottom w:w="0" w:type="dxa"/>
              <w:right w:w="20" w:type="dxa"/>
            </w:tcMar>
            <w:vAlign w:val="center"/>
            <w:hideMark/>
          </w:tcPr>
          <w:p w14:paraId="53E46559"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7C10DD1F"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2DFFEDA4" w14:textId="77777777" w:rsidR="00000000" w:rsidRDefault="000A3118">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14:paraId="4E4C7E53" w14:textId="77777777" w:rsidR="00000000" w:rsidRDefault="000A3118">
            <w:pPr>
              <w:jc w:val="center"/>
              <w:rPr>
                <w:rFonts w:eastAsia="Times New Roman"/>
              </w:rPr>
            </w:pPr>
          </w:p>
        </w:tc>
        <w:tc>
          <w:tcPr>
            <w:tcW w:w="0" w:type="auto"/>
            <w:gridSpan w:val="9"/>
            <w:tcMar>
              <w:top w:w="30" w:type="dxa"/>
              <w:left w:w="20" w:type="dxa"/>
              <w:bottom w:w="30" w:type="dxa"/>
              <w:right w:w="20" w:type="dxa"/>
            </w:tcMar>
            <w:vAlign w:val="bottom"/>
            <w:hideMark/>
          </w:tcPr>
          <w:p w14:paraId="67971682" w14:textId="77777777" w:rsidR="00000000" w:rsidRDefault="000A3118">
            <w:pPr>
              <w:jc w:val="center"/>
              <w:rPr>
                <w:rFonts w:eastAsia="Times New Roman"/>
              </w:rPr>
            </w:pPr>
            <w:r>
              <w:rPr>
                <w:rFonts w:eastAsia="Times New Roman"/>
                <w:b/>
                <w:bCs/>
                <w:color w:val="000000"/>
                <w:sz w:val="16"/>
                <w:szCs w:val="16"/>
              </w:rPr>
              <w:t>For the Nine Months Ended</w:t>
            </w:r>
          </w:p>
        </w:tc>
      </w:tr>
      <w:tr w:rsidR="00000000" w14:paraId="2697A38E" w14:textId="77777777">
        <w:trPr>
          <w:divId w:val="1415855305"/>
        </w:trPr>
        <w:tc>
          <w:tcPr>
            <w:tcW w:w="0" w:type="auto"/>
            <w:gridSpan w:val="3"/>
            <w:tcMar>
              <w:top w:w="0" w:type="dxa"/>
              <w:left w:w="20" w:type="dxa"/>
              <w:bottom w:w="0" w:type="dxa"/>
              <w:right w:w="20" w:type="dxa"/>
            </w:tcMar>
            <w:vAlign w:val="center"/>
            <w:hideMark/>
          </w:tcPr>
          <w:p w14:paraId="10AE9DCB"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15E83D34"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0980C02C"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2B590804" w14:textId="77777777" w:rsidR="00000000" w:rsidRDefault="000A3118">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14:paraId="1195457E" w14:textId="77777777" w:rsidR="00000000" w:rsidRDefault="000A3118">
            <w:pPr>
              <w:jc w:val="center"/>
              <w:rPr>
                <w:rFonts w:eastAsia="Times New Roman"/>
              </w:rPr>
            </w:pPr>
            <w:r>
              <w:rPr>
                <w:rFonts w:eastAsia="Times New Roman"/>
                <w:b/>
                <w:bCs/>
                <w:color w:val="000000"/>
                <w:sz w:val="16"/>
                <w:szCs w:val="16"/>
              </w:rPr>
              <w:t>September 30,</w:t>
            </w:r>
          </w:p>
        </w:tc>
      </w:tr>
      <w:tr w:rsidR="00000000" w14:paraId="166CB6DE" w14:textId="77777777">
        <w:trPr>
          <w:divId w:val="1415855305"/>
        </w:trPr>
        <w:tc>
          <w:tcPr>
            <w:tcW w:w="0" w:type="auto"/>
            <w:gridSpan w:val="3"/>
            <w:tcMar>
              <w:top w:w="0" w:type="dxa"/>
              <w:left w:w="20" w:type="dxa"/>
              <w:bottom w:w="0" w:type="dxa"/>
              <w:right w:w="20" w:type="dxa"/>
            </w:tcMar>
            <w:vAlign w:val="center"/>
            <w:hideMark/>
          </w:tcPr>
          <w:p w14:paraId="226A3B94"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607C710F"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10A338E"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F687FAB"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F675A0"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380B3EF0"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7A3F6D"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6E001F4"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B7C0D0" w14:textId="77777777" w:rsidR="00000000" w:rsidRDefault="000A3118">
            <w:pPr>
              <w:jc w:val="center"/>
              <w:rPr>
                <w:rFonts w:eastAsia="Times New Roman"/>
              </w:rPr>
            </w:pPr>
            <w:r>
              <w:rPr>
                <w:rFonts w:eastAsia="Times New Roman"/>
                <w:b/>
                <w:bCs/>
                <w:color w:val="000000"/>
                <w:sz w:val="16"/>
                <w:szCs w:val="16"/>
              </w:rPr>
              <w:t>2019</w:t>
            </w:r>
          </w:p>
        </w:tc>
      </w:tr>
      <w:tr w:rsidR="00000000" w14:paraId="629DEDBB" w14:textId="77777777">
        <w:trPr>
          <w:divId w:val="141585530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B02B2D" w14:textId="77777777" w:rsidR="00000000" w:rsidRDefault="000A3118">
            <w:pPr>
              <w:rPr>
                <w:rFonts w:eastAsia="Times New Roman"/>
              </w:rPr>
            </w:pPr>
            <w:r>
              <w:rPr>
                <w:rFonts w:eastAsia="Times New Roman"/>
                <w:color w:val="000000"/>
                <w:sz w:val="16"/>
                <w:szCs w:val="16"/>
              </w:rPr>
              <w:t>Interest income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7556F4"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95C74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0AB35A" w14:textId="77777777" w:rsidR="00000000" w:rsidRDefault="000A3118">
            <w:pPr>
              <w:jc w:val="right"/>
              <w:rPr>
                <w:rFonts w:eastAsia="Times New Roman"/>
              </w:rPr>
            </w:pPr>
            <w:r>
              <w:rPr>
                <w:rFonts w:eastAsia="Times New Roman"/>
                <w:color w:val="000000"/>
                <w:sz w:val="16"/>
                <w:szCs w:val="16"/>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8F654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2C351E"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FEBD4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AF3C1A" w14:textId="77777777" w:rsidR="00000000" w:rsidRDefault="000A3118">
            <w:pPr>
              <w:jc w:val="right"/>
              <w:rPr>
                <w:rFonts w:eastAsia="Times New Roman"/>
              </w:rPr>
            </w:pPr>
            <w:r>
              <w:rPr>
                <w:rFonts w:eastAsia="Times New Roman"/>
                <w:color w:val="000000"/>
                <w:sz w:val="16"/>
                <w:szCs w:val="16"/>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A1BB51"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9BCE4B"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45F21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65D978" w14:textId="77777777" w:rsidR="00000000" w:rsidRDefault="000A3118">
            <w:pPr>
              <w:jc w:val="right"/>
              <w:rPr>
                <w:rFonts w:eastAsia="Times New Roman"/>
              </w:rPr>
            </w:pPr>
            <w:r>
              <w:rPr>
                <w:rFonts w:eastAsia="Times New Roman"/>
                <w:color w:val="000000"/>
                <w:sz w:val="16"/>
                <w:szCs w:val="16"/>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547409"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F453E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43046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0CD4A2" w14:textId="77777777" w:rsidR="00000000" w:rsidRDefault="000A3118">
            <w:pPr>
              <w:jc w:val="right"/>
              <w:rPr>
                <w:rFonts w:eastAsia="Times New Roman"/>
              </w:rPr>
            </w:pPr>
            <w:r>
              <w:rPr>
                <w:rFonts w:eastAsia="Times New Roman"/>
                <w:color w:val="000000"/>
                <w:sz w:val="16"/>
                <w:szCs w:val="16"/>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46364D" w14:textId="77777777" w:rsidR="00000000" w:rsidRDefault="000A3118">
            <w:pPr>
              <w:jc w:val="right"/>
              <w:rPr>
                <w:rFonts w:eastAsia="Times New Roman"/>
              </w:rPr>
            </w:pPr>
          </w:p>
        </w:tc>
      </w:tr>
      <w:tr w:rsidR="00000000" w14:paraId="7C2E5FED" w14:textId="77777777">
        <w:trPr>
          <w:divId w:val="1415855305"/>
        </w:trPr>
        <w:tc>
          <w:tcPr>
            <w:tcW w:w="0" w:type="auto"/>
            <w:gridSpan w:val="3"/>
            <w:tcMar>
              <w:top w:w="30" w:type="dxa"/>
              <w:left w:w="20" w:type="dxa"/>
              <w:bottom w:w="30" w:type="dxa"/>
              <w:right w:w="20" w:type="dxa"/>
            </w:tcMar>
            <w:vAlign w:val="bottom"/>
            <w:hideMark/>
          </w:tcPr>
          <w:p w14:paraId="5FB5FCE4" w14:textId="77777777" w:rsidR="00000000" w:rsidRDefault="000A3118">
            <w:pPr>
              <w:rPr>
                <w:rFonts w:eastAsia="Times New Roman"/>
              </w:rPr>
            </w:pPr>
            <w:r>
              <w:rPr>
                <w:rFonts w:eastAsia="Times New Roman"/>
                <w:color w:val="000000"/>
                <w:sz w:val="16"/>
                <w:szCs w:val="16"/>
              </w:rPr>
              <w:t>Interest expense and other financing costs</w:t>
            </w:r>
          </w:p>
        </w:tc>
        <w:tc>
          <w:tcPr>
            <w:tcW w:w="0" w:type="auto"/>
            <w:gridSpan w:val="3"/>
            <w:tcMar>
              <w:top w:w="0" w:type="dxa"/>
              <w:left w:w="20" w:type="dxa"/>
              <w:bottom w:w="0" w:type="dxa"/>
              <w:right w:w="20" w:type="dxa"/>
            </w:tcMar>
            <w:vAlign w:val="center"/>
            <w:hideMark/>
          </w:tcPr>
          <w:p w14:paraId="63B3AE7D" w14:textId="77777777" w:rsidR="00000000" w:rsidRDefault="000A3118">
            <w:pPr>
              <w:rPr>
                <w:rFonts w:eastAsia="Times New Roman"/>
              </w:rPr>
            </w:pPr>
          </w:p>
        </w:tc>
        <w:tc>
          <w:tcPr>
            <w:tcW w:w="0" w:type="auto"/>
            <w:gridSpan w:val="2"/>
            <w:tcMar>
              <w:top w:w="30" w:type="dxa"/>
              <w:left w:w="20" w:type="dxa"/>
              <w:bottom w:w="30" w:type="dxa"/>
              <w:right w:w="0" w:type="dxa"/>
            </w:tcMar>
            <w:vAlign w:val="bottom"/>
            <w:hideMark/>
          </w:tcPr>
          <w:p w14:paraId="7F39CE51" w14:textId="77777777" w:rsidR="00000000" w:rsidRDefault="000A3118">
            <w:pPr>
              <w:jc w:val="right"/>
              <w:rPr>
                <w:rFonts w:eastAsia="Times New Roman"/>
              </w:rPr>
            </w:pPr>
            <w:r>
              <w:rPr>
                <w:rFonts w:eastAsia="Times New Roman"/>
                <w:color w:val="000000"/>
                <w:sz w:val="16"/>
                <w:szCs w:val="16"/>
              </w:rPr>
              <w:t>(9.4)</w:t>
            </w:r>
          </w:p>
        </w:tc>
        <w:tc>
          <w:tcPr>
            <w:tcW w:w="0" w:type="auto"/>
            <w:tcMar>
              <w:top w:w="30" w:type="dxa"/>
              <w:left w:w="0" w:type="dxa"/>
              <w:bottom w:w="30" w:type="dxa"/>
              <w:right w:w="20" w:type="dxa"/>
            </w:tcMar>
            <w:vAlign w:val="bottom"/>
            <w:hideMark/>
          </w:tcPr>
          <w:p w14:paraId="67AD029E"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734A57B7" w14:textId="77777777" w:rsidR="00000000" w:rsidRDefault="000A311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613EC0A" w14:textId="77777777" w:rsidR="00000000" w:rsidRDefault="000A3118">
            <w:pPr>
              <w:jc w:val="right"/>
              <w:rPr>
                <w:rFonts w:eastAsia="Times New Roman"/>
              </w:rPr>
            </w:pPr>
            <w:r>
              <w:rPr>
                <w:rFonts w:eastAsia="Times New Roman"/>
                <w:color w:val="000000"/>
                <w:sz w:val="16"/>
                <w:szCs w:val="16"/>
              </w:rPr>
              <w:t>(21.2)</w:t>
            </w:r>
          </w:p>
        </w:tc>
        <w:tc>
          <w:tcPr>
            <w:tcW w:w="0" w:type="auto"/>
            <w:tcMar>
              <w:top w:w="30" w:type="dxa"/>
              <w:left w:w="0" w:type="dxa"/>
              <w:bottom w:w="30" w:type="dxa"/>
              <w:right w:w="20" w:type="dxa"/>
            </w:tcMar>
            <w:vAlign w:val="bottom"/>
            <w:hideMark/>
          </w:tcPr>
          <w:p w14:paraId="4552E61E"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1852E65E" w14:textId="77777777" w:rsidR="00000000" w:rsidRDefault="000A311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F5C52FB" w14:textId="77777777" w:rsidR="00000000" w:rsidRDefault="000A3118">
            <w:pPr>
              <w:jc w:val="right"/>
              <w:rPr>
                <w:rFonts w:eastAsia="Times New Roman"/>
              </w:rPr>
            </w:pPr>
            <w:r>
              <w:rPr>
                <w:rFonts w:eastAsia="Times New Roman"/>
                <w:color w:val="000000"/>
                <w:sz w:val="16"/>
                <w:szCs w:val="16"/>
              </w:rPr>
              <w:t>(36.3)</w:t>
            </w:r>
          </w:p>
        </w:tc>
        <w:tc>
          <w:tcPr>
            <w:tcW w:w="0" w:type="auto"/>
            <w:tcMar>
              <w:top w:w="30" w:type="dxa"/>
              <w:left w:w="0" w:type="dxa"/>
              <w:bottom w:w="30" w:type="dxa"/>
              <w:right w:w="20" w:type="dxa"/>
            </w:tcMar>
            <w:vAlign w:val="bottom"/>
            <w:hideMark/>
          </w:tcPr>
          <w:p w14:paraId="53E82ED0"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0D58D448" w14:textId="77777777" w:rsidR="00000000" w:rsidRDefault="000A311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3D48528" w14:textId="77777777" w:rsidR="00000000" w:rsidRDefault="000A3118">
            <w:pPr>
              <w:jc w:val="right"/>
              <w:rPr>
                <w:rFonts w:eastAsia="Times New Roman"/>
              </w:rPr>
            </w:pPr>
            <w:r>
              <w:rPr>
                <w:rFonts w:eastAsia="Times New Roman"/>
                <w:color w:val="000000"/>
                <w:sz w:val="16"/>
                <w:szCs w:val="16"/>
              </w:rPr>
              <w:t>(63.3)</w:t>
            </w:r>
          </w:p>
        </w:tc>
        <w:tc>
          <w:tcPr>
            <w:tcW w:w="0" w:type="auto"/>
            <w:tcMar>
              <w:top w:w="30" w:type="dxa"/>
              <w:left w:w="0" w:type="dxa"/>
              <w:bottom w:w="30" w:type="dxa"/>
              <w:right w:w="20" w:type="dxa"/>
            </w:tcMar>
            <w:vAlign w:val="bottom"/>
            <w:hideMark/>
          </w:tcPr>
          <w:p w14:paraId="2B050F72" w14:textId="77777777" w:rsidR="00000000" w:rsidRDefault="000A3118">
            <w:pPr>
              <w:jc w:val="right"/>
              <w:rPr>
                <w:rFonts w:eastAsia="Times New Roman"/>
              </w:rPr>
            </w:pPr>
          </w:p>
        </w:tc>
      </w:tr>
      <w:tr w:rsidR="00000000" w14:paraId="2B7150B2" w14:textId="77777777">
        <w:trPr>
          <w:divId w:val="1415855305"/>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A230D4C"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DC1DC5F"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30187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270237" w14:textId="77777777" w:rsidR="00000000" w:rsidRDefault="000A3118">
            <w:pPr>
              <w:jc w:val="right"/>
              <w:rPr>
                <w:rFonts w:eastAsia="Times New Roman"/>
              </w:rPr>
            </w:pPr>
            <w:r>
              <w:rPr>
                <w:rFonts w:eastAsia="Times New Roman"/>
                <w:color w:val="000000"/>
                <w:sz w:val="16"/>
                <w:szCs w:val="16"/>
              </w:rPr>
              <w:t>(8.7)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8CDD48"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312032C"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109E1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8E33AC" w14:textId="77777777" w:rsidR="00000000" w:rsidRDefault="000A3118">
            <w:pPr>
              <w:jc w:val="right"/>
              <w:rPr>
                <w:rFonts w:eastAsia="Times New Roman"/>
              </w:rPr>
            </w:pPr>
            <w:r>
              <w:rPr>
                <w:rFonts w:eastAsia="Times New Roman"/>
                <w:color w:val="000000"/>
                <w:sz w:val="16"/>
                <w:szCs w:val="16"/>
              </w:rPr>
              <w:t>(19.5)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611A5D"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B3D2332"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7C24F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A2A524" w14:textId="77777777" w:rsidR="00000000" w:rsidRDefault="000A3118">
            <w:pPr>
              <w:jc w:val="right"/>
              <w:rPr>
                <w:rFonts w:eastAsia="Times New Roman"/>
              </w:rPr>
            </w:pPr>
            <w:r>
              <w:rPr>
                <w:rFonts w:eastAsia="Times New Roman"/>
                <w:color w:val="000000"/>
                <w:sz w:val="16"/>
                <w:szCs w:val="16"/>
              </w:rPr>
              <w:t>(34.1)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A643A0" w14:textId="77777777" w:rsidR="00000000" w:rsidRDefault="000A3118">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237D1A2F"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62346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7FFC4C" w14:textId="77777777" w:rsidR="00000000" w:rsidRDefault="000A3118">
            <w:pPr>
              <w:jc w:val="right"/>
              <w:rPr>
                <w:rFonts w:eastAsia="Times New Roman"/>
              </w:rPr>
            </w:pPr>
            <w:r>
              <w:rPr>
                <w:rFonts w:eastAsia="Times New Roman"/>
                <w:color w:val="000000"/>
                <w:sz w:val="16"/>
                <w:szCs w:val="16"/>
              </w:rPr>
              <w:t>(59.1)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FEDD01" w14:textId="77777777" w:rsidR="00000000" w:rsidRDefault="000A3118">
            <w:pPr>
              <w:jc w:val="right"/>
              <w:rPr>
                <w:rFonts w:eastAsia="Times New Roman"/>
              </w:rPr>
            </w:pPr>
          </w:p>
        </w:tc>
      </w:tr>
    </w:tbl>
    <w:p w14:paraId="353194B5" w14:textId="77777777" w:rsidR="00000000" w:rsidRDefault="000A3118">
      <w:pPr>
        <w:ind w:firstLine="720"/>
        <w:divId w:val="1947957565"/>
        <w:rPr>
          <w:rFonts w:eastAsia="Times New Roman"/>
        </w:rPr>
      </w:pPr>
      <w:r>
        <w:rPr>
          <w:rFonts w:eastAsia="Times New Roman"/>
          <w:color w:val="000000"/>
          <w:sz w:val="2"/>
          <w:szCs w:val="2"/>
        </w:rPr>
        <w:t>t</w:t>
      </w:r>
    </w:p>
    <w:p w14:paraId="4A22A7A3" w14:textId="77777777" w:rsidR="00000000" w:rsidRDefault="000A3118">
      <w:pPr>
        <w:jc w:val="both"/>
        <w:divId w:val="1200050459"/>
        <w:rPr>
          <w:rFonts w:eastAsia="Times New Roman"/>
        </w:rPr>
      </w:pPr>
    </w:p>
    <w:p w14:paraId="2E8607C9" w14:textId="77777777" w:rsidR="00000000" w:rsidRDefault="000A3118">
      <w:pPr>
        <w:jc w:val="both"/>
        <w:rPr>
          <w:rFonts w:eastAsia="Times New Roman"/>
        </w:rPr>
      </w:pPr>
      <w:r>
        <w:rPr>
          <w:rFonts w:eastAsia="Times New Roman"/>
          <w:b/>
          <w:bCs/>
          <w:color w:val="000000"/>
          <w:sz w:val="20"/>
          <w:szCs w:val="20"/>
        </w:rPr>
        <w:t>7. Fair Value Measurements</w:t>
      </w:r>
    </w:p>
    <w:p w14:paraId="66E56F40" w14:textId="77777777" w:rsidR="00000000" w:rsidRDefault="000A3118">
      <w:pPr>
        <w:ind w:firstLine="720"/>
        <w:jc w:val="both"/>
        <w:rPr>
          <w:rFonts w:eastAsia="Times New Roman"/>
        </w:rPr>
      </w:pPr>
      <w:r>
        <w:rPr>
          <w:rFonts w:eastAsia="Times New Roman"/>
          <w:color w:val="000000"/>
          <w:sz w:val="20"/>
          <w:szCs w:val="20"/>
        </w:rPr>
        <w:t> </w:t>
      </w:r>
    </w:p>
    <w:p w14:paraId="0AE9E429" w14:textId="77777777" w:rsidR="00000000" w:rsidRDefault="000A3118">
      <w:pPr>
        <w:ind w:firstLine="360"/>
        <w:jc w:val="both"/>
        <w:rPr>
          <w:rFonts w:eastAsia="Times New Roman"/>
        </w:rPr>
      </w:pPr>
      <w:r>
        <w:rPr>
          <w:rFonts w:eastAsia="Times New Roman"/>
          <w:color w:val="000000"/>
          <w:sz w:val="20"/>
          <w:szCs w:val="20"/>
        </w:rPr>
        <w:t>The carrying amounts of cash and cash equivalents, net accounts receivable, accounts payable and accrued expenses and other current liabilities approximate fair value based on their short-term maturities. The carrying values of our debt and notes receivabl</w:t>
      </w:r>
      <w:r>
        <w:rPr>
          <w:rFonts w:eastAsia="Times New Roman"/>
          <w:color w:val="000000"/>
          <w:sz w:val="20"/>
          <w:szCs w:val="20"/>
        </w:rPr>
        <w:t>e approximate fair value since these instruments bear interest either at variable rates or fixed rates, which are not significantly different from market rates. Based on the fair value hierarchy, our total debt of $526.6 million and $628.8 million as of Se</w:t>
      </w:r>
      <w:r>
        <w:rPr>
          <w:rFonts w:eastAsia="Times New Roman"/>
          <w:color w:val="000000"/>
          <w:sz w:val="20"/>
          <w:szCs w:val="20"/>
        </w:rPr>
        <w:t>ptember 30, 2020 and December 31, 2019, respectively, and our notes receivable of $46.7 million and $21.0 million as of September 30, 2020 and December 31, 2019, respectively, were categorized as Level 2.</w:t>
      </w:r>
    </w:p>
    <w:p w14:paraId="49E2C0AD" w14:textId="77777777" w:rsidR="00000000" w:rsidRDefault="000A3118">
      <w:pPr>
        <w:ind w:firstLine="360"/>
        <w:jc w:val="both"/>
        <w:rPr>
          <w:rFonts w:eastAsia="Times New Roman"/>
        </w:rPr>
      </w:pPr>
    </w:p>
    <w:p w14:paraId="1B068724" w14:textId="77777777" w:rsidR="00000000" w:rsidRDefault="000A3118">
      <w:pPr>
        <w:ind w:firstLine="360"/>
        <w:jc w:val="both"/>
        <w:divId w:val="433744386"/>
        <w:rPr>
          <w:rFonts w:eastAsia="Times New Roman"/>
        </w:rPr>
      </w:pPr>
      <w:r>
        <w:rPr>
          <w:rFonts w:eastAsia="Times New Roman"/>
          <w:color w:val="000000"/>
          <w:sz w:val="20"/>
          <w:szCs w:val="20"/>
        </w:rPr>
        <w:t>The following tables present information about ou</w:t>
      </w:r>
      <w:r>
        <w:rPr>
          <w:rFonts w:eastAsia="Times New Roman"/>
          <w:color w:val="000000"/>
          <w:sz w:val="20"/>
          <w:szCs w:val="20"/>
        </w:rPr>
        <w:t xml:space="preserve">r gross assets and liabilities that are measured at fair value on a recurring basis as of September 30, 2020 and </w:t>
      </w:r>
      <w:r>
        <w:rPr>
          <w:rFonts w:eastAsia="Times New Roman"/>
          <w:color w:val="000000"/>
          <w:sz w:val="20"/>
          <w:szCs w:val="20"/>
          <w:shd w:val="clear" w:color="auto" w:fill="FFFFFF"/>
        </w:rPr>
        <w:t>December 31, 2019</w:t>
      </w:r>
      <w:r>
        <w:rPr>
          <w:rFonts w:eastAsia="Times New Roman"/>
          <w:color w:val="000000"/>
          <w:sz w:val="20"/>
          <w:szCs w:val="20"/>
        </w:rPr>
        <w:t xml:space="preserve">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192"/>
        <w:gridCol w:w="36"/>
        <w:gridCol w:w="36"/>
        <w:gridCol w:w="36"/>
        <w:gridCol w:w="36"/>
        <w:gridCol w:w="100"/>
        <w:gridCol w:w="764"/>
        <w:gridCol w:w="36"/>
        <w:gridCol w:w="36"/>
        <w:gridCol w:w="36"/>
        <w:gridCol w:w="36"/>
        <w:gridCol w:w="100"/>
        <w:gridCol w:w="765"/>
        <w:gridCol w:w="36"/>
        <w:gridCol w:w="36"/>
        <w:gridCol w:w="36"/>
        <w:gridCol w:w="36"/>
        <w:gridCol w:w="101"/>
        <w:gridCol w:w="765"/>
        <w:gridCol w:w="37"/>
        <w:gridCol w:w="36"/>
        <w:gridCol w:w="36"/>
        <w:gridCol w:w="36"/>
        <w:gridCol w:w="100"/>
        <w:gridCol w:w="767"/>
        <w:gridCol w:w="36"/>
      </w:tblGrid>
      <w:tr w:rsidR="00000000" w14:paraId="6D267630" w14:textId="77777777">
        <w:trPr>
          <w:divId w:val="129329150"/>
        </w:trPr>
        <w:tc>
          <w:tcPr>
            <w:tcW w:w="50" w:type="pct"/>
            <w:vAlign w:val="center"/>
            <w:hideMark/>
          </w:tcPr>
          <w:p w14:paraId="647B1ED5" w14:textId="77777777" w:rsidR="00000000" w:rsidRDefault="000A3118">
            <w:pPr>
              <w:ind w:firstLine="360"/>
              <w:jc w:val="both"/>
              <w:rPr>
                <w:rFonts w:eastAsia="Times New Roman"/>
              </w:rPr>
            </w:pPr>
          </w:p>
        </w:tc>
        <w:tc>
          <w:tcPr>
            <w:tcW w:w="2547" w:type="pct"/>
            <w:vAlign w:val="center"/>
            <w:hideMark/>
          </w:tcPr>
          <w:p w14:paraId="625AB867" w14:textId="77777777" w:rsidR="00000000" w:rsidRDefault="000A3118">
            <w:pPr>
              <w:rPr>
                <w:rFonts w:eastAsia="Times New Roman"/>
                <w:sz w:val="20"/>
                <w:szCs w:val="20"/>
              </w:rPr>
            </w:pPr>
          </w:p>
        </w:tc>
        <w:tc>
          <w:tcPr>
            <w:tcW w:w="5" w:type="pct"/>
            <w:vAlign w:val="center"/>
            <w:hideMark/>
          </w:tcPr>
          <w:p w14:paraId="4D613E41" w14:textId="77777777" w:rsidR="00000000" w:rsidRDefault="000A3118">
            <w:pPr>
              <w:rPr>
                <w:rFonts w:eastAsia="Times New Roman"/>
                <w:sz w:val="20"/>
                <w:szCs w:val="20"/>
              </w:rPr>
            </w:pPr>
          </w:p>
        </w:tc>
        <w:tc>
          <w:tcPr>
            <w:tcW w:w="5" w:type="pct"/>
            <w:vAlign w:val="center"/>
            <w:hideMark/>
          </w:tcPr>
          <w:p w14:paraId="269E209A" w14:textId="77777777" w:rsidR="00000000" w:rsidRDefault="000A3118">
            <w:pPr>
              <w:rPr>
                <w:rFonts w:eastAsia="Times New Roman"/>
                <w:sz w:val="20"/>
                <w:szCs w:val="20"/>
              </w:rPr>
            </w:pPr>
          </w:p>
        </w:tc>
        <w:tc>
          <w:tcPr>
            <w:tcW w:w="26" w:type="pct"/>
            <w:vAlign w:val="center"/>
            <w:hideMark/>
          </w:tcPr>
          <w:p w14:paraId="1B557762" w14:textId="77777777" w:rsidR="00000000" w:rsidRDefault="000A3118">
            <w:pPr>
              <w:rPr>
                <w:rFonts w:eastAsia="Times New Roman"/>
                <w:sz w:val="20"/>
                <w:szCs w:val="20"/>
              </w:rPr>
            </w:pPr>
          </w:p>
        </w:tc>
        <w:tc>
          <w:tcPr>
            <w:tcW w:w="5" w:type="pct"/>
            <w:vAlign w:val="center"/>
            <w:hideMark/>
          </w:tcPr>
          <w:p w14:paraId="38D1B05C" w14:textId="77777777" w:rsidR="00000000" w:rsidRDefault="000A3118">
            <w:pPr>
              <w:rPr>
                <w:rFonts w:eastAsia="Times New Roman"/>
                <w:sz w:val="20"/>
                <w:szCs w:val="20"/>
              </w:rPr>
            </w:pPr>
          </w:p>
        </w:tc>
        <w:tc>
          <w:tcPr>
            <w:tcW w:w="50" w:type="pct"/>
            <w:vAlign w:val="center"/>
            <w:hideMark/>
          </w:tcPr>
          <w:p w14:paraId="5F679761" w14:textId="77777777" w:rsidR="00000000" w:rsidRDefault="000A3118">
            <w:pPr>
              <w:rPr>
                <w:rFonts w:eastAsia="Times New Roman"/>
                <w:sz w:val="20"/>
                <w:szCs w:val="20"/>
              </w:rPr>
            </w:pPr>
          </w:p>
        </w:tc>
        <w:tc>
          <w:tcPr>
            <w:tcW w:w="507" w:type="pct"/>
            <w:vAlign w:val="center"/>
            <w:hideMark/>
          </w:tcPr>
          <w:p w14:paraId="24275BE7" w14:textId="77777777" w:rsidR="00000000" w:rsidRDefault="000A3118">
            <w:pPr>
              <w:rPr>
                <w:rFonts w:eastAsia="Times New Roman"/>
                <w:sz w:val="20"/>
                <w:szCs w:val="20"/>
              </w:rPr>
            </w:pPr>
          </w:p>
        </w:tc>
        <w:tc>
          <w:tcPr>
            <w:tcW w:w="5" w:type="pct"/>
            <w:vAlign w:val="center"/>
            <w:hideMark/>
          </w:tcPr>
          <w:p w14:paraId="14FD6378" w14:textId="77777777" w:rsidR="00000000" w:rsidRDefault="000A3118">
            <w:pPr>
              <w:rPr>
                <w:rFonts w:eastAsia="Times New Roman"/>
                <w:sz w:val="20"/>
                <w:szCs w:val="20"/>
              </w:rPr>
            </w:pPr>
          </w:p>
        </w:tc>
        <w:tc>
          <w:tcPr>
            <w:tcW w:w="5" w:type="pct"/>
            <w:vAlign w:val="center"/>
            <w:hideMark/>
          </w:tcPr>
          <w:p w14:paraId="57DDAF0F" w14:textId="77777777" w:rsidR="00000000" w:rsidRDefault="000A3118">
            <w:pPr>
              <w:rPr>
                <w:rFonts w:eastAsia="Times New Roman"/>
                <w:sz w:val="20"/>
                <w:szCs w:val="20"/>
              </w:rPr>
            </w:pPr>
          </w:p>
        </w:tc>
        <w:tc>
          <w:tcPr>
            <w:tcW w:w="26" w:type="pct"/>
            <w:vAlign w:val="center"/>
            <w:hideMark/>
          </w:tcPr>
          <w:p w14:paraId="6E91C2B0" w14:textId="77777777" w:rsidR="00000000" w:rsidRDefault="000A3118">
            <w:pPr>
              <w:rPr>
                <w:rFonts w:eastAsia="Times New Roman"/>
                <w:sz w:val="20"/>
                <w:szCs w:val="20"/>
              </w:rPr>
            </w:pPr>
          </w:p>
        </w:tc>
        <w:tc>
          <w:tcPr>
            <w:tcW w:w="5" w:type="pct"/>
            <w:vAlign w:val="center"/>
            <w:hideMark/>
          </w:tcPr>
          <w:p w14:paraId="68E6DDE2" w14:textId="77777777" w:rsidR="00000000" w:rsidRDefault="000A3118">
            <w:pPr>
              <w:rPr>
                <w:rFonts w:eastAsia="Times New Roman"/>
                <w:sz w:val="20"/>
                <w:szCs w:val="20"/>
              </w:rPr>
            </w:pPr>
          </w:p>
        </w:tc>
        <w:tc>
          <w:tcPr>
            <w:tcW w:w="50" w:type="pct"/>
            <w:vAlign w:val="center"/>
            <w:hideMark/>
          </w:tcPr>
          <w:p w14:paraId="7BDB225B" w14:textId="77777777" w:rsidR="00000000" w:rsidRDefault="000A3118">
            <w:pPr>
              <w:rPr>
                <w:rFonts w:eastAsia="Times New Roman"/>
                <w:sz w:val="20"/>
                <w:szCs w:val="20"/>
              </w:rPr>
            </w:pPr>
          </w:p>
        </w:tc>
        <w:tc>
          <w:tcPr>
            <w:tcW w:w="507" w:type="pct"/>
            <w:vAlign w:val="center"/>
            <w:hideMark/>
          </w:tcPr>
          <w:p w14:paraId="20C1F58C" w14:textId="77777777" w:rsidR="00000000" w:rsidRDefault="000A3118">
            <w:pPr>
              <w:rPr>
                <w:rFonts w:eastAsia="Times New Roman"/>
                <w:sz w:val="20"/>
                <w:szCs w:val="20"/>
              </w:rPr>
            </w:pPr>
          </w:p>
        </w:tc>
        <w:tc>
          <w:tcPr>
            <w:tcW w:w="5" w:type="pct"/>
            <w:vAlign w:val="center"/>
            <w:hideMark/>
          </w:tcPr>
          <w:p w14:paraId="4BF5B255" w14:textId="77777777" w:rsidR="00000000" w:rsidRDefault="000A3118">
            <w:pPr>
              <w:rPr>
                <w:rFonts w:eastAsia="Times New Roman"/>
                <w:sz w:val="20"/>
                <w:szCs w:val="20"/>
              </w:rPr>
            </w:pPr>
          </w:p>
        </w:tc>
        <w:tc>
          <w:tcPr>
            <w:tcW w:w="5" w:type="pct"/>
            <w:vAlign w:val="center"/>
            <w:hideMark/>
          </w:tcPr>
          <w:p w14:paraId="2BC742BE" w14:textId="77777777" w:rsidR="00000000" w:rsidRDefault="000A3118">
            <w:pPr>
              <w:rPr>
                <w:rFonts w:eastAsia="Times New Roman"/>
                <w:sz w:val="20"/>
                <w:szCs w:val="20"/>
              </w:rPr>
            </w:pPr>
          </w:p>
        </w:tc>
        <w:tc>
          <w:tcPr>
            <w:tcW w:w="26" w:type="pct"/>
            <w:vAlign w:val="center"/>
            <w:hideMark/>
          </w:tcPr>
          <w:p w14:paraId="16584107" w14:textId="77777777" w:rsidR="00000000" w:rsidRDefault="000A3118">
            <w:pPr>
              <w:rPr>
                <w:rFonts w:eastAsia="Times New Roman"/>
                <w:sz w:val="20"/>
                <w:szCs w:val="20"/>
              </w:rPr>
            </w:pPr>
          </w:p>
        </w:tc>
        <w:tc>
          <w:tcPr>
            <w:tcW w:w="5" w:type="pct"/>
            <w:vAlign w:val="center"/>
            <w:hideMark/>
          </w:tcPr>
          <w:p w14:paraId="52C36064" w14:textId="77777777" w:rsidR="00000000" w:rsidRDefault="000A3118">
            <w:pPr>
              <w:rPr>
                <w:rFonts w:eastAsia="Times New Roman"/>
                <w:sz w:val="20"/>
                <w:szCs w:val="20"/>
              </w:rPr>
            </w:pPr>
          </w:p>
        </w:tc>
        <w:tc>
          <w:tcPr>
            <w:tcW w:w="50" w:type="pct"/>
            <w:vAlign w:val="center"/>
            <w:hideMark/>
          </w:tcPr>
          <w:p w14:paraId="2C55B4AC" w14:textId="77777777" w:rsidR="00000000" w:rsidRDefault="000A3118">
            <w:pPr>
              <w:rPr>
                <w:rFonts w:eastAsia="Times New Roman"/>
                <w:sz w:val="20"/>
                <w:szCs w:val="20"/>
              </w:rPr>
            </w:pPr>
          </w:p>
        </w:tc>
        <w:tc>
          <w:tcPr>
            <w:tcW w:w="507" w:type="pct"/>
            <w:vAlign w:val="center"/>
            <w:hideMark/>
          </w:tcPr>
          <w:p w14:paraId="6F00E3E0" w14:textId="77777777" w:rsidR="00000000" w:rsidRDefault="000A3118">
            <w:pPr>
              <w:rPr>
                <w:rFonts w:eastAsia="Times New Roman"/>
                <w:sz w:val="20"/>
                <w:szCs w:val="20"/>
              </w:rPr>
            </w:pPr>
          </w:p>
        </w:tc>
        <w:tc>
          <w:tcPr>
            <w:tcW w:w="5" w:type="pct"/>
            <w:vAlign w:val="center"/>
            <w:hideMark/>
          </w:tcPr>
          <w:p w14:paraId="10330DD3" w14:textId="77777777" w:rsidR="00000000" w:rsidRDefault="000A3118">
            <w:pPr>
              <w:rPr>
                <w:rFonts w:eastAsia="Times New Roman"/>
                <w:sz w:val="20"/>
                <w:szCs w:val="20"/>
              </w:rPr>
            </w:pPr>
          </w:p>
        </w:tc>
        <w:tc>
          <w:tcPr>
            <w:tcW w:w="5" w:type="pct"/>
            <w:vAlign w:val="center"/>
            <w:hideMark/>
          </w:tcPr>
          <w:p w14:paraId="11A61E76" w14:textId="77777777" w:rsidR="00000000" w:rsidRDefault="000A3118">
            <w:pPr>
              <w:rPr>
                <w:rFonts w:eastAsia="Times New Roman"/>
                <w:sz w:val="20"/>
                <w:szCs w:val="20"/>
              </w:rPr>
            </w:pPr>
          </w:p>
        </w:tc>
        <w:tc>
          <w:tcPr>
            <w:tcW w:w="26" w:type="pct"/>
            <w:vAlign w:val="center"/>
            <w:hideMark/>
          </w:tcPr>
          <w:p w14:paraId="2CEB614C" w14:textId="77777777" w:rsidR="00000000" w:rsidRDefault="000A3118">
            <w:pPr>
              <w:rPr>
                <w:rFonts w:eastAsia="Times New Roman"/>
                <w:sz w:val="20"/>
                <w:szCs w:val="20"/>
              </w:rPr>
            </w:pPr>
          </w:p>
        </w:tc>
        <w:tc>
          <w:tcPr>
            <w:tcW w:w="5" w:type="pct"/>
            <w:vAlign w:val="center"/>
            <w:hideMark/>
          </w:tcPr>
          <w:p w14:paraId="5D005E93" w14:textId="77777777" w:rsidR="00000000" w:rsidRDefault="000A3118">
            <w:pPr>
              <w:rPr>
                <w:rFonts w:eastAsia="Times New Roman"/>
                <w:sz w:val="20"/>
                <w:szCs w:val="20"/>
              </w:rPr>
            </w:pPr>
          </w:p>
        </w:tc>
        <w:tc>
          <w:tcPr>
            <w:tcW w:w="50" w:type="pct"/>
            <w:vAlign w:val="center"/>
            <w:hideMark/>
          </w:tcPr>
          <w:p w14:paraId="72390F8E" w14:textId="77777777" w:rsidR="00000000" w:rsidRDefault="000A3118">
            <w:pPr>
              <w:rPr>
                <w:rFonts w:eastAsia="Times New Roman"/>
                <w:sz w:val="20"/>
                <w:szCs w:val="20"/>
              </w:rPr>
            </w:pPr>
          </w:p>
        </w:tc>
        <w:tc>
          <w:tcPr>
            <w:tcW w:w="508" w:type="pct"/>
            <w:vAlign w:val="center"/>
            <w:hideMark/>
          </w:tcPr>
          <w:p w14:paraId="1216B8D8" w14:textId="77777777" w:rsidR="00000000" w:rsidRDefault="000A3118">
            <w:pPr>
              <w:rPr>
                <w:rFonts w:eastAsia="Times New Roman"/>
                <w:sz w:val="20"/>
                <w:szCs w:val="20"/>
              </w:rPr>
            </w:pPr>
          </w:p>
        </w:tc>
        <w:tc>
          <w:tcPr>
            <w:tcW w:w="5" w:type="pct"/>
            <w:vAlign w:val="center"/>
            <w:hideMark/>
          </w:tcPr>
          <w:p w14:paraId="0CBDEC7F" w14:textId="77777777" w:rsidR="00000000" w:rsidRDefault="000A3118">
            <w:pPr>
              <w:rPr>
                <w:rFonts w:eastAsia="Times New Roman"/>
                <w:sz w:val="20"/>
                <w:szCs w:val="20"/>
              </w:rPr>
            </w:pPr>
          </w:p>
        </w:tc>
      </w:tr>
      <w:tr w:rsidR="00000000" w14:paraId="392025C3" w14:textId="77777777">
        <w:trPr>
          <w:divId w:val="129329150"/>
        </w:trPr>
        <w:tc>
          <w:tcPr>
            <w:tcW w:w="0" w:type="auto"/>
            <w:gridSpan w:val="3"/>
            <w:tcMar>
              <w:top w:w="0" w:type="dxa"/>
              <w:left w:w="20" w:type="dxa"/>
              <w:bottom w:w="0" w:type="dxa"/>
              <w:right w:w="20" w:type="dxa"/>
            </w:tcMar>
            <w:vAlign w:val="center"/>
            <w:hideMark/>
          </w:tcPr>
          <w:p w14:paraId="7790F629" w14:textId="77777777" w:rsidR="00000000" w:rsidRDefault="000A3118">
            <w:pPr>
              <w:rPr>
                <w:rFonts w:eastAsia="Times New Roman"/>
                <w:sz w:val="20"/>
                <w:szCs w:val="20"/>
              </w:rPr>
            </w:pPr>
          </w:p>
        </w:tc>
        <w:tc>
          <w:tcPr>
            <w:tcW w:w="0" w:type="auto"/>
            <w:gridSpan w:val="24"/>
            <w:tcMar>
              <w:top w:w="30" w:type="dxa"/>
              <w:left w:w="20" w:type="dxa"/>
              <w:bottom w:w="30" w:type="dxa"/>
              <w:right w:w="20" w:type="dxa"/>
            </w:tcMar>
            <w:vAlign w:val="bottom"/>
            <w:hideMark/>
          </w:tcPr>
          <w:p w14:paraId="0F40844D" w14:textId="77777777" w:rsidR="00000000" w:rsidRDefault="000A3118">
            <w:pPr>
              <w:jc w:val="center"/>
              <w:rPr>
                <w:rFonts w:eastAsia="Times New Roman"/>
              </w:rPr>
            </w:pPr>
            <w:r>
              <w:rPr>
                <w:rFonts w:eastAsia="Times New Roman"/>
                <w:b/>
                <w:bCs/>
                <w:color w:val="000000"/>
                <w:sz w:val="16"/>
                <w:szCs w:val="16"/>
              </w:rPr>
              <w:t>Fair Value Measurements as of September 30, 2020</w:t>
            </w:r>
          </w:p>
        </w:tc>
      </w:tr>
      <w:tr w:rsidR="00000000" w14:paraId="07C57F0D" w14:textId="77777777">
        <w:trPr>
          <w:divId w:val="129329150"/>
        </w:trPr>
        <w:tc>
          <w:tcPr>
            <w:tcW w:w="0" w:type="auto"/>
            <w:gridSpan w:val="3"/>
            <w:tcBorders>
              <w:top w:val="single" w:sz="8" w:space="0" w:color="000000"/>
            </w:tcBorders>
            <w:tcMar>
              <w:top w:w="0" w:type="dxa"/>
              <w:left w:w="20" w:type="dxa"/>
              <w:bottom w:w="0" w:type="dxa"/>
              <w:right w:w="20" w:type="dxa"/>
            </w:tcMar>
            <w:vAlign w:val="center"/>
            <w:hideMark/>
          </w:tcPr>
          <w:p w14:paraId="21556EA0" w14:textId="77777777" w:rsidR="00000000" w:rsidRDefault="000A311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581C039"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DB82B37" w14:textId="77777777" w:rsidR="00000000" w:rsidRDefault="000A3118">
            <w:pPr>
              <w:jc w:val="right"/>
              <w:rPr>
                <w:rFonts w:eastAsia="Times New Roman"/>
              </w:rPr>
            </w:pPr>
            <w:r>
              <w:rPr>
                <w:rFonts w:eastAsia="Times New Roman"/>
                <w:b/>
                <w:bCs/>
                <w:color w:val="000000"/>
                <w:sz w:val="16"/>
                <w:szCs w:val="16"/>
              </w:rPr>
              <w:t>Level 1 Inputs</w:t>
            </w:r>
          </w:p>
        </w:tc>
        <w:tc>
          <w:tcPr>
            <w:tcW w:w="0" w:type="auto"/>
            <w:gridSpan w:val="3"/>
            <w:tcBorders>
              <w:top w:val="single" w:sz="8" w:space="0" w:color="000000"/>
            </w:tcBorders>
            <w:tcMar>
              <w:top w:w="0" w:type="dxa"/>
              <w:left w:w="20" w:type="dxa"/>
              <w:bottom w:w="0" w:type="dxa"/>
              <w:right w:w="20" w:type="dxa"/>
            </w:tcMar>
            <w:vAlign w:val="center"/>
            <w:hideMark/>
          </w:tcPr>
          <w:p w14:paraId="5D5EB505" w14:textId="77777777" w:rsidR="00000000" w:rsidRDefault="000A3118">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536B11" w14:textId="77777777" w:rsidR="00000000" w:rsidRDefault="000A3118">
            <w:pPr>
              <w:jc w:val="right"/>
              <w:rPr>
                <w:rFonts w:eastAsia="Times New Roman"/>
              </w:rPr>
            </w:pPr>
            <w:r>
              <w:rPr>
                <w:rFonts w:eastAsia="Times New Roman"/>
                <w:b/>
                <w:bCs/>
                <w:color w:val="000000"/>
                <w:sz w:val="16"/>
                <w:szCs w:val="16"/>
              </w:rPr>
              <w:t>Level 2 Inputs</w:t>
            </w:r>
          </w:p>
        </w:tc>
        <w:tc>
          <w:tcPr>
            <w:tcW w:w="0" w:type="auto"/>
            <w:gridSpan w:val="3"/>
            <w:tcBorders>
              <w:top w:val="single" w:sz="8" w:space="0" w:color="000000"/>
            </w:tcBorders>
            <w:tcMar>
              <w:top w:w="0" w:type="dxa"/>
              <w:left w:w="20" w:type="dxa"/>
              <w:bottom w:w="0" w:type="dxa"/>
              <w:right w:w="20" w:type="dxa"/>
            </w:tcMar>
            <w:vAlign w:val="center"/>
            <w:hideMark/>
          </w:tcPr>
          <w:p w14:paraId="3C3F3462" w14:textId="77777777" w:rsidR="00000000" w:rsidRDefault="000A3118">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C958D5" w14:textId="77777777" w:rsidR="00000000" w:rsidRDefault="000A3118">
            <w:pPr>
              <w:jc w:val="right"/>
              <w:rPr>
                <w:rFonts w:eastAsia="Times New Roman"/>
              </w:rPr>
            </w:pPr>
            <w:r>
              <w:rPr>
                <w:rFonts w:eastAsia="Times New Roman"/>
                <w:b/>
                <w:bCs/>
                <w:color w:val="000000"/>
                <w:sz w:val="16"/>
                <w:szCs w:val="16"/>
              </w:rPr>
              <w:t>Level 3 Inputs</w:t>
            </w:r>
          </w:p>
        </w:tc>
        <w:tc>
          <w:tcPr>
            <w:tcW w:w="0" w:type="auto"/>
            <w:gridSpan w:val="3"/>
            <w:tcBorders>
              <w:top w:val="single" w:sz="8" w:space="0" w:color="000000"/>
            </w:tcBorders>
            <w:tcMar>
              <w:top w:w="0" w:type="dxa"/>
              <w:left w:w="20" w:type="dxa"/>
              <w:bottom w:w="0" w:type="dxa"/>
              <w:right w:w="20" w:type="dxa"/>
            </w:tcMar>
            <w:vAlign w:val="center"/>
            <w:hideMark/>
          </w:tcPr>
          <w:p w14:paraId="4A61DD49" w14:textId="77777777" w:rsidR="00000000" w:rsidRDefault="000A3118">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7327AA" w14:textId="77777777" w:rsidR="00000000" w:rsidRDefault="000A3118">
            <w:pPr>
              <w:jc w:val="right"/>
              <w:rPr>
                <w:rFonts w:eastAsia="Times New Roman"/>
              </w:rPr>
            </w:pPr>
            <w:r>
              <w:rPr>
                <w:rFonts w:eastAsia="Times New Roman"/>
                <w:b/>
                <w:bCs/>
                <w:color w:val="000000"/>
                <w:sz w:val="16"/>
                <w:szCs w:val="16"/>
              </w:rPr>
              <w:t>Total</w:t>
            </w:r>
          </w:p>
        </w:tc>
      </w:tr>
      <w:tr w:rsidR="00000000" w14:paraId="556B3C47" w14:textId="77777777">
        <w:trPr>
          <w:divId w:val="12932915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A7C47A" w14:textId="77777777" w:rsidR="00000000" w:rsidRDefault="000A3118">
            <w:pPr>
              <w:rPr>
                <w:rFonts w:eastAsia="Times New Roman"/>
              </w:rPr>
            </w:pPr>
            <w:r>
              <w:rPr>
                <w:rFonts w:eastAsia="Times New Roman"/>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296359"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D51DC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E544D3"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8E1617"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F2361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12D47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6EDD96"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37880E" w14:textId="77777777" w:rsidR="00000000" w:rsidRDefault="000A3118">
            <w:pPr>
              <w:rPr>
                <w:rFonts w:eastAsia="Times New Roman"/>
                <w:sz w:val="20"/>
                <w:szCs w:val="20"/>
              </w:rPr>
            </w:pPr>
          </w:p>
        </w:tc>
      </w:tr>
      <w:tr w:rsidR="00000000" w14:paraId="3461AECC" w14:textId="77777777">
        <w:trPr>
          <w:divId w:val="129329150"/>
        </w:trPr>
        <w:tc>
          <w:tcPr>
            <w:tcW w:w="0" w:type="auto"/>
            <w:gridSpan w:val="3"/>
            <w:shd w:val="clear" w:color="auto" w:fill="FFFFFF"/>
            <w:tcMar>
              <w:top w:w="30" w:type="dxa"/>
              <w:left w:w="135" w:type="dxa"/>
              <w:bottom w:w="30" w:type="dxa"/>
              <w:right w:w="20" w:type="dxa"/>
            </w:tcMar>
            <w:vAlign w:val="bottom"/>
            <w:hideMark/>
          </w:tcPr>
          <w:p w14:paraId="0DF45CAB" w14:textId="77777777" w:rsidR="00000000" w:rsidRDefault="000A3118">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14:paraId="7293BCAC"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28BA074D"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3B6CF59" w14:textId="77777777" w:rsidR="00000000" w:rsidRDefault="000A3118">
            <w:pPr>
              <w:jc w:val="right"/>
              <w:rPr>
                <w:rFonts w:eastAsia="Times New Roman"/>
              </w:rPr>
            </w:pPr>
            <w:r>
              <w:rPr>
                <w:rFonts w:eastAsia="Times New Roman"/>
                <w:color w:val="000000"/>
                <w:sz w:val="16"/>
                <w:szCs w:val="16"/>
              </w:rPr>
              <w:t>270.3 </w:t>
            </w:r>
          </w:p>
        </w:tc>
        <w:tc>
          <w:tcPr>
            <w:tcW w:w="0" w:type="auto"/>
            <w:shd w:val="clear" w:color="auto" w:fill="FFFFFF"/>
            <w:tcMar>
              <w:top w:w="30" w:type="dxa"/>
              <w:left w:w="0" w:type="dxa"/>
              <w:bottom w:w="30" w:type="dxa"/>
              <w:right w:w="20" w:type="dxa"/>
            </w:tcMar>
            <w:vAlign w:val="bottom"/>
            <w:hideMark/>
          </w:tcPr>
          <w:p w14:paraId="173D298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FE41C"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8ED07F"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4E19F89" w14:textId="77777777" w:rsidR="00000000" w:rsidRDefault="000A3118">
            <w:pPr>
              <w:jc w:val="right"/>
              <w:rPr>
                <w:rFonts w:eastAsia="Times New Roman"/>
              </w:rPr>
            </w:pPr>
            <w:r>
              <w:rPr>
                <w:rFonts w:eastAsia="Times New Roman"/>
                <w:color w:val="000000"/>
                <w:sz w:val="16"/>
                <w:szCs w:val="16"/>
              </w:rPr>
              <w:t>159.3 </w:t>
            </w:r>
          </w:p>
        </w:tc>
        <w:tc>
          <w:tcPr>
            <w:tcW w:w="0" w:type="auto"/>
            <w:shd w:val="clear" w:color="auto" w:fill="FFFFFF"/>
            <w:tcMar>
              <w:top w:w="30" w:type="dxa"/>
              <w:left w:w="0" w:type="dxa"/>
              <w:bottom w:w="30" w:type="dxa"/>
              <w:right w:w="20" w:type="dxa"/>
            </w:tcMar>
            <w:vAlign w:val="bottom"/>
            <w:hideMark/>
          </w:tcPr>
          <w:p w14:paraId="7EB206E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0F98F"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32AACF"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ECF8217" w14:textId="77777777" w:rsidR="00000000" w:rsidRDefault="000A3118">
            <w:pPr>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14:paraId="59BEA3B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B8AE3"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2BCD0E"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6665A77" w14:textId="77777777" w:rsidR="00000000" w:rsidRDefault="000A3118">
            <w:pPr>
              <w:jc w:val="right"/>
              <w:rPr>
                <w:rFonts w:eastAsia="Times New Roman"/>
              </w:rPr>
            </w:pPr>
            <w:r>
              <w:rPr>
                <w:rFonts w:eastAsia="Times New Roman"/>
                <w:color w:val="000000"/>
                <w:sz w:val="16"/>
                <w:szCs w:val="16"/>
              </w:rPr>
              <w:t>443.8 </w:t>
            </w:r>
          </w:p>
        </w:tc>
        <w:tc>
          <w:tcPr>
            <w:tcW w:w="0" w:type="auto"/>
            <w:shd w:val="clear" w:color="auto" w:fill="FFFFFF"/>
            <w:tcMar>
              <w:top w:w="30" w:type="dxa"/>
              <w:left w:w="0" w:type="dxa"/>
              <w:bottom w:w="30" w:type="dxa"/>
              <w:right w:w="20" w:type="dxa"/>
            </w:tcMar>
            <w:vAlign w:val="bottom"/>
            <w:hideMark/>
          </w:tcPr>
          <w:p w14:paraId="4FA97E5E" w14:textId="77777777" w:rsidR="00000000" w:rsidRDefault="000A3118">
            <w:pPr>
              <w:jc w:val="right"/>
              <w:rPr>
                <w:rFonts w:eastAsia="Times New Roman"/>
              </w:rPr>
            </w:pPr>
          </w:p>
        </w:tc>
      </w:tr>
      <w:tr w:rsidR="00000000" w14:paraId="5919205E" w14:textId="77777777">
        <w:trPr>
          <w:divId w:val="129329150"/>
        </w:trPr>
        <w:tc>
          <w:tcPr>
            <w:tcW w:w="0" w:type="auto"/>
            <w:gridSpan w:val="3"/>
            <w:shd w:val="clear" w:color="auto" w:fill="CCEEFF"/>
            <w:tcMar>
              <w:top w:w="30" w:type="dxa"/>
              <w:left w:w="135" w:type="dxa"/>
              <w:bottom w:w="30" w:type="dxa"/>
              <w:right w:w="20" w:type="dxa"/>
            </w:tcMar>
            <w:vAlign w:val="bottom"/>
            <w:hideMark/>
          </w:tcPr>
          <w:p w14:paraId="227B8900" w14:textId="77777777" w:rsidR="00000000" w:rsidRDefault="000A3118">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14:paraId="78438403"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2C5E1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E21E9D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4253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E44F20" w14:textId="77777777" w:rsidR="00000000" w:rsidRDefault="000A3118">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14:paraId="2ABC558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A83F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14BB9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6CB60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F998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01EDB2" w14:textId="77777777" w:rsidR="00000000" w:rsidRDefault="000A3118">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14:paraId="58087FBB" w14:textId="77777777" w:rsidR="00000000" w:rsidRDefault="000A3118">
            <w:pPr>
              <w:jc w:val="right"/>
              <w:rPr>
                <w:rFonts w:eastAsia="Times New Roman"/>
              </w:rPr>
            </w:pPr>
          </w:p>
        </w:tc>
      </w:tr>
      <w:tr w:rsidR="00000000" w14:paraId="57F28CD7" w14:textId="77777777">
        <w:trPr>
          <w:divId w:val="129329150"/>
        </w:trPr>
        <w:tc>
          <w:tcPr>
            <w:tcW w:w="0" w:type="auto"/>
            <w:gridSpan w:val="3"/>
            <w:vAlign w:val="center"/>
            <w:hideMark/>
          </w:tcPr>
          <w:p w14:paraId="33FBA485" w14:textId="77777777" w:rsidR="00000000" w:rsidRDefault="000A3118">
            <w:pPr>
              <w:jc w:val="right"/>
              <w:rPr>
                <w:rFonts w:eastAsia="Times New Roman"/>
                <w:sz w:val="20"/>
                <w:szCs w:val="20"/>
              </w:rPr>
            </w:pPr>
          </w:p>
        </w:tc>
        <w:tc>
          <w:tcPr>
            <w:tcW w:w="0" w:type="auto"/>
            <w:gridSpan w:val="3"/>
            <w:vAlign w:val="center"/>
            <w:hideMark/>
          </w:tcPr>
          <w:p w14:paraId="57E34B25" w14:textId="77777777" w:rsidR="00000000" w:rsidRDefault="000A3118">
            <w:pPr>
              <w:rPr>
                <w:rFonts w:eastAsia="Times New Roman"/>
                <w:sz w:val="20"/>
                <w:szCs w:val="20"/>
              </w:rPr>
            </w:pPr>
          </w:p>
        </w:tc>
        <w:tc>
          <w:tcPr>
            <w:tcW w:w="0" w:type="auto"/>
            <w:gridSpan w:val="3"/>
            <w:vAlign w:val="center"/>
            <w:hideMark/>
          </w:tcPr>
          <w:p w14:paraId="45C6B98F" w14:textId="77777777" w:rsidR="00000000" w:rsidRDefault="000A3118">
            <w:pPr>
              <w:rPr>
                <w:rFonts w:eastAsia="Times New Roman"/>
                <w:sz w:val="20"/>
                <w:szCs w:val="20"/>
              </w:rPr>
            </w:pPr>
          </w:p>
        </w:tc>
        <w:tc>
          <w:tcPr>
            <w:tcW w:w="0" w:type="auto"/>
            <w:gridSpan w:val="3"/>
            <w:vAlign w:val="center"/>
            <w:hideMark/>
          </w:tcPr>
          <w:p w14:paraId="73C98B19" w14:textId="77777777" w:rsidR="00000000" w:rsidRDefault="000A3118">
            <w:pPr>
              <w:rPr>
                <w:rFonts w:eastAsia="Times New Roman"/>
                <w:sz w:val="20"/>
                <w:szCs w:val="20"/>
              </w:rPr>
            </w:pPr>
          </w:p>
        </w:tc>
        <w:tc>
          <w:tcPr>
            <w:tcW w:w="0" w:type="auto"/>
            <w:gridSpan w:val="3"/>
            <w:vAlign w:val="center"/>
            <w:hideMark/>
          </w:tcPr>
          <w:p w14:paraId="15EA2A5B" w14:textId="77777777" w:rsidR="00000000" w:rsidRDefault="000A3118">
            <w:pPr>
              <w:rPr>
                <w:rFonts w:eastAsia="Times New Roman"/>
                <w:sz w:val="20"/>
                <w:szCs w:val="20"/>
              </w:rPr>
            </w:pPr>
          </w:p>
        </w:tc>
        <w:tc>
          <w:tcPr>
            <w:tcW w:w="0" w:type="auto"/>
            <w:gridSpan w:val="3"/>
            <w:vAlign w:val="center"/>
            <w:hideMark/>
          </w:tcPr>
          <w:p w14:paraId="5367AAAB" w14:textId="77777777" w:rsidR="00000000" w:rsidRDefault="000A3118">
            <w:pPr>
              <w:rPr>
                <w:rFonts w:eastAsia="Times New Roman"/>
                <w:sz w:val="20"/>
                <w:szCs w:val="20"/>
              </w:rPr>
            </w:pPr>
          </w:p>
        </w:tc>
        <w:tc>
          <w:tcPr>
            <w:tcW w:w="0" w:type="auto"/>
            <w:gridSpan w:val="3"/>
            <w:vAlign w:val="center"/>
            <w:hideMark/>
          </w:tcPr>
          <w:p w14:paraId="4B0B3225" w14:textId="77777777" w:rsidR="00000000" w:rsidRDefault="000A3118">
            <w:pPr>
              <w:rPr>
                <w:rFonts w:eastAsia="Times New Roman"/>
                <w:sz w:val="20"/>
                <w:szCs w:val="20"/>
              </w:rPr>
            </w:pPr>
          </w:p>
        </w:tc>
        <w:tc>
          <w:tcPr>
            <w:tcW w:w="0" w:type="auto"/>
            <w:gridSpan w:val="3"/>
            <w:vAlign w:val="center"/>
            <w:hideMark/>
          </w:tcPr>
          <w:p w14:paraId="078F8EFC" w14:textId="77777777" w:rsidR="00000000" w:rsidRDefault="000A3118">
            <w:pPr>
              <w:rPr>
                <w:rFonts w:eastAsia="Times New Roman"/>
                <w:sz w:val="20"/>
                <w:szCs w:val="20"/>
              </w:rPr>
            </w:pPr>
          </w:p>
        </w:tc>
        <w:tc>
          <w:tcPr>
            <w:tcW w:w="0" w:type="auto"/>
            <w:gridSpan w:val="3"/>
            <w:vAlign w:val="center"/>
            <w:hideMark/>
          </w:tcPr>
          <w:p w14:paraId="296D0F59" w14:textId="77777777" w:rsidR="00000000" w:rsidRDefault="000A3118">
            <w:pPr>
              <w:rPr>
                <w:rFonts w:eastAsia="Times New Roman"/>
                <w:sz w:val="20"/>
                <w:szCs w:val="20"/>
              </w:rPr>
            </w:pPr>
          </w:p>
        </w:tc>
      </w:tr>
      <w:tr w:rsidR="00000000" w14:paraId="1D6E2A77" w14:textId="77777777">
        <w:trPr>
          <w:divId w:val="129329150"/>
        </w:trPr>
        <w:tc>
          <w:tcPr>
            <w:tcW w:w="0" w:type="auto"/>
            <w:gridSpan w:val="3"/>
            <w:shd w:val="clear" w:color="auto" w:fill="FFFFFF"/>
            <w:tcMar>
              <w:top w:w="30" w:type="dxa"/>
              <w:left w:w="135" w:type="dxa"/>
              <w:bottom w:w="30" w:type="dxa"/>
              <w:right w:w="20" w:type="dxa"/>
            </w:tcMar>
            <w:vAlign w:val="bottom"/>
            <w:hideMark/>
          </w:tcPr>
          <w:p w14:paraId="0F120733" w14:textId="77777777" w:rsidR="00000000" w:rsidRDefault="000A3118">
            <w:pPr>
              <w:rPr>
                <w:rFonts w:eastAsia="Times New Roman"/>
              </w:rPr>
            </w:pPr>
            <w:r>
              <w:rPr>
                <w:rFonts w:eastAsia="Times New Roman"/>
                <w:color w:val="000000"/>
                <w:sz w:val="16"/>
                <w:szCs w:val="16"/>
              </w:rPr>
              <w:t>Cash surrender value of life insurance</w:t>
            </w:r>
          </w:p>
        </w:tc>
        <w:tc>
          <w:tcPr>
            <w:tcW w:w="0" w:type="auto"/>
            <w:gridSpan w:val="3"/>
            <w:shd w:val="clear" w:color="auto" w:fill="FFFFFF"/>
            <w:tcMar>
              <w:top w:w="0" w:type="dxa"/>
              <w:left w:w="20" w:type="dxa"/>
              <w:bottom w:w="0" w:type="dxa"/>
              <w:right w:w="20" w:type="dxa"/>
            </w:tcMar>
            <w:vAlign w:val="center"/>
            <w:hideMark/>
          </w:tcPr>
          <w:p w14:paraId="41AAE30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D36F0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15785A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F729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CD0983" w14:textId="77777777" w:rsidR="00000000" w:rsidRDefault="000A3118">
            <w:pPr>
              <w:jc w:val="right"/>
              <w:rPr>
                <w:rFonts w:eastAsia="Times New Roman"/>
              </w:rPr>
            </w:pPr>
            <w:r>
              <w:rPr>
                <w:rFonts w:eastAsia="Times New Roman"/>
                <w:color w:val="000000"/>
                <w:sz w:val="16"/>
                <w:szCs w:val="16"/>
              </w:rPr>
              <w:t>10.8 </w:t>
            </w:r>
          </w:p>
        </w:tc>
        <w:tc>
          <w:tcPr>
            <w:tcW w:w="0" w:type="auto"/>
            <w:shd w:val="clear" w:color="auto" w:fill="FFFFFF"/>
            <w:tcMar>
              <w:top w:w="30" w:type="dxa"/>
              <w:left w:w="0" w:type="dxa"/>
              <w:bottom w:w="30" w:type="dxa"/>
              <w:right w:w="20" w:type="dxa"/>
            </w:tcMar>
            <w:vAlign w:val="bottom"/>
            <w:hideMark/>
          </w:tcPr>
          <w:p w14:paraId="32F2D8E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9037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87DB3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0F233D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B649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0E07FD" w14:textId="77777777" w:rsidR="00000000" w:rsidRDefault="000A3118">
            <w:pPr>
              <w:jc w:val="right"/>
              <w:rPr>
                <w:rFonts w:eastAsia="Times New Roman"/>
              </w:rPr>
            </w:pPr>
            <w:r>
              <w:rPr>
                <w:rFonts w:eastAsia="Times New Roman"/>
                <w:color w:val="000000"/>
                <w:sz w:val="16"/>
                <w:szCs w:val="16"/>
              </w:rPr>
              <w:t>10.8 </w:t>
            </w:r>
          </w:p>
        </w:tc>
        <w:tc>
          <w:tcPr>
            <w:tcW w:w="0" w:type="auto"/>
            <w:shd w:val="clear" w:color="auto" w:fill="FFFFFF"/>
            <w:tcMar>
              <w:top w:w="30" w:type="dxa"/>
              <w:left w:w="0" w:type="dxa"/>
              <w:bottom w:w="30" w:type="dxa"/>
              <w:right w:w="20" w:type="dxa"/>
            </w:tcMar>
            <w:vAlign w:val="bottom"/>
            <w:hideMark/>
          </w:tcPr>
          <w:p w14:paraId="4B552B62" w14:textId="77777777" w:rsidR="00000000" w:rsidRDefault="000A3118">
            <w:pPr>
              <w:jc w:val="right"/>
              <w:rPr>
                <w:rFonts w:eastAsia="Times New Roman"/>
              </w:rPr>
            </w:pPr>
          </w:p>
        </w:tc>
      </w:tr>
      <w:tr w:rsidR="00000000" w14:paraId="51CC8EB7" w14:textId="77777777">
        <w:trPr>
          <w:divId w:val="129329150"/>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14:paraId="265FE53C" w14:textId="77777777" w:rsidR="00000000" w:rsidRDefault="000A3118">
            <w:pPr>
              <w:rPr>
                <w:rFonts w:eastAsia="Times New Roman"/>
              </w:rPr>
            </w:pPr>
            <w:r>
              <w:rPr>
                <w:rFonts w:eastAsia="Times New Roman"/>
                <w:color w:val="000000"/>
                <w:sz w:val="16"/>
                <w:szCs w:val="16"/>
              </w:rPr>
              <w:t>Total assets at fair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E9E5A5"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1BC34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1F80EB" w14:textId="77777777" w:rsidR="00000000" w:rsidRDefault="000A3118">
            <w:pPr>
              <w:jc w:val="right"/>
              <w:rPr>
                <w:rFonts w:eastAsia="Times New Roman"/>
              </w:rPr>
            </w:pPr>
            <w:r>
              <w:rPr>
                <w:rFonts w:eastAsia="Times New Roman"/>
                <w:color w:val="000000"/>
                <w:sz w:val="16"/>
                <w:szCs w:val="16"/>
              </w:rPr>
              <w:t>270.3 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A1703E"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5BCF3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286E6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1F6870" w14:textId="77777777" w:rsidR="00000000" w:rsidRDefault="000A3118">
            <w:pPr>
              <w:jc w:val="right"/>
              <w:rPr>
                <w:rFonts w:eastAsia="Times New Roman"/>
              </w:rPr>
            </w:pPr>
            <w:r>
              <w:rPr>
                <w:rFonts w:eastAsia="Times New Roman"/>
                <w:color w:val="000000"/>
                <w:sz w:val="16"/>
                <w:szCs w:val="16"/>
              </w:rPr>
              <w:t>171.8 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F66B6E"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840D29"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F9D28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0F8ABF" w14:textId="77777777" w:rsidR="00000000" w:rsidRDefault="000A3118">
            <w:pPr>
              <w:jc w:val="right"/>
              <w:rPr>
                <w:rFonts w:eastAsia="Times New Roman"/>
              </w:rPr>
            </w:pPr>
            <w:r>
              <w:rPr>
                <w:rFonts w:eastAsia="Times New Roman"/>
                <w:color w:val="000000"/>
                <w:sz w:val="16"/>
                <w:szCs w:val="16"/>
              </w:rPr>
              <w:t>14.2 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4A9049"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8E249F"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1FDB6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2FD634" w14:textId="77777777" w:rsidR="00000000" w:rsidRDefault="000A3118">
            <w:pPr>
              <w:jc w:val="right"/>
              <w:rPr>
                <w:rFonts w:eastAsia="Times New Roman"/>
              </w:rPr>
            </w:pPr>
            <w:r>
              <w:rPr>
                <w:rFonts w:eastAsia="Times New Roman"/>
                <w:color w:val="000000"/>
                <w:sz w:val="16"/>
                <w:szCs w:val="16"/>
              </w:rPr>
              <w:t>456.3 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396B0C" w14:textId="77777777" w:rsidR="00000000" w:rsidRDefault="000A3118">
            <w:pPr>
              <w:jc w:val="right"/>
              <w:rPr>
                <w:rFonts w:eastAsia="Times New Roman"/>
              </w:rPr>
            </w:pPr>
          </w:p>
        </w:tc>
      </w:tr>
      <w:tr w:rsidR="00000000" w14:paraId="09B67D8A" w14:textId="77777777">
        <w:trPr>
          <w:divId w:val="129329150"/>
          <w:trHeight w:val="28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F8BD6C7"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2BB510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720775A"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8F6A3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FE9EA57"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CFCDD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E18A0D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DE91D4"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8D16F4" w14:textId="77777777" w:rsidR="00000000" w:rsidRDefault="000A3118">
            <w:pPr>
              <w:rPr>
                <w:rFonts w:eastAsia="Times New Roman"/>
                <w:sz w:val="20"/>
                <w:szCs w:val="20"/>
              </w:rPr>
            </w:pPr>
          </w:p>
        </w:tc>
      </w:tr>
      <w:tr w:rsidR="00000000" w14:paraId="701FFD49" w14:textId="77777777">
        <w:trPr>
          <w:divId w:val="129329150"/>
        </w:trPr>
        <w:tc>
          <w:tcPr>
            <w:tcW w:w="0" w:type="auto"/>
            <w:gridSpan w:val="3"/>
            <w:shd w:val="clear" w:color="auto" w:fill="CCEEFF"/>
            <w:tcMar>
              <w:top w:w="30" w:type="dxa"/>
              <w:left w:w="20" w:type="dxa"/>
              <w:bottom w:w="30" w:type="dxa"/>
              <w:right w:w="20" w:type="dxa"/>
            </w:tcMar>
            <w:vAlign w:val="bottom"/>
            <w:hideMark/>
          </w:tcPr>
          <w:p w14:paraId="38FADB05" w14:textId="77777777" w:rsidR="00000000" w:rsidRDefault="000A3118">
            <w:pPr>
              <w:rPr>
                <w:rFonts w:eastAsia="Times New Roman"/>
              </w:rPr>
            </w:pPr>
            <w:r>
              <w:rPr>
                <w:rFonts w:eastAsia="Times New Roman"/>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14:paraId="0AB11806" w14:textId="77777777" w:rsidR="00000000" w:rsidRDefault="000A3118">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6F3636A" w14:textId="77777777" w:rsidR="00000000" w:rsidRDefault="000A3118">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239AD0F" w14:textId="77777777" w:rsidR="00000000" w:rsidRDefault="000A3118">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9B0B9DD" w14:textId="77777777" w:rsidR="00000000" w:rsidRDefault="000A3118">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BD753F1" w14:textId="77777777" w:rsidR="00000000" w:rsidRDefault="000A3118">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EBC0A4F" w14:textId="77777777" w:rsidR="00000000" w:rsidRDefault="000A3118">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6EE456A8" w14:textId="77777777" w:rsidR="00000000" w:rsidRDefault="000A3118">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8DD62B1" w14:textId="77777777" w:rsidR="00000000" w:rsidRDefault="000A3118">
            <w:pPr>
              <w:jc w:val="right"/>
              <w:rPr>
                <w:rFonts w:eastAsia="Times New Roman"/>
              </w:rPr>
            </w:pPr>
            <w:r>
              <w:rPr>
                <w:rFonts w:eastAsia="Times New Roman"/>
                <w:color w:val="000000"/>
                <w:sz w:val="16"/>
                <w:szCs w:val="16"/>
              </w:rPr>
              <w:t> </w:t>
            </w:r>
          </w:p>
        </w:tc>
      </w:tr>
      <w:tr w:rsidR="00000000" w14:paraId="2844B643" w14:textId="77777777">
        <w:trPr>
          <w:divId w:val="129329150"/>
        </w:trPr>
        <w:tc>
          <w:tcPr>
            <w:tcW w:w="0" w:type="auto"/>
            <w:gridSpan w:val="3"/>
            <w:shd w:val="clear" w:color="auto" w:fill="FFFFFF"/>
            <w:tcMar>
              <w:top w:w="30" w:type="dxa"/>
              <w:left w:w="135" w:type="dxa"/>
              <w:bottom w:w="30" w:type="dxa"/>
              <w:right w:w="20" w:type="dxa"/>
            </w:tcMar>
            <w:vAlign w:val="bottom"/>
            <w:hideMark/>
          </w:tcPr>
          <w:p w14:paraId="1644C352" w14:textId="77777777" w:rsidR="00000000" w:rsidRDefault="000A3118">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14:paraId="6705E68C"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686A66D1"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4F75796" w14:textId="77777777" w:rsidR="00000000" w:rsidRDefault="000A3118">
            <w:pPr>
              <w:jc w:val="right"/>
              <w:rPr>
                <w:rFonts w:eastAsia="Times New Roman"/>
              </w:rPr>
            </w:pPr>
            <w:r>
              <w:rPr>
                <w:rFonts w:eastAsia="Times New Roman"/>
                <w:color w:val="000000"/>
                <w:sz w:val="16"/>
                <w:szCs w:val="16"/>
              </w:rPr>
              <w:t>264.3 </w:t>
            </w:r>
          </w:p>
        </w:tc>
        <w:tc>
          <w:tcPr>
            <w:tcW w:w="0" w:type="auto"/>
            <w:shd w:val="clear" w:color="auto" w:fill="FFFFFF"/>
            <w:tcMar>
              <w:top w:w="30" w:type="dxa"/>
              <w:left w:w="0" w:type="dxa"/>
              <w:bottom w:w="30" w:type="dxa"/>
              <w:right w:w="20" w:type="dxa"/>
            </w:tcMar>
            <w:vAlign w:val="bottom"/>
            <w:hideMark/>
          </w:tcPr>
          <w:p w14:paraId="2FE7F26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4B3C3F"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532D22"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EF728B9" w14:textId="77777777" w:rsidR="00000000" w:rsidRDefault="000A3118">
            <w:pPr>
              <w:jc w:val="right"/>
              <w:rPr>
                <w:rFonts w:eastAsia="Times New Roman"/>
              </w:rPr>
            </w:pPr>
            <w:r>
              <w:rPr>
                <w:rFonts w:eastAsia="Times New Roman"/>
                <w:color w:val="000000"/>
                <w:sz w:val="16"/>
                <w:szCs w:val="16"/>
              </w:rPr>
              <w:t>114.8 </w:t>
            </w:r>
          </w:p>
        </w:tc>
        <w:tc>
          <w:tcPr>
            <w:tcW w:w="0" w:type="auto"/>
            <w:shd w:val="clear" w:color="auto" w:fill="FFFFFF"/>
            <w:tcMar>
              <w:top w:w="30" w:type="dxa"/>
              <w:left w:w="0" w:type="dxa"/>
              <w:bottom w:w="30" w:type="dxa"/>
              <w:right w:w="20" w:type="dxa"/>
            </w:tcMar>
            <w:vAlign w:val="bottom"/>
            <w:hideMark/>
          </w:tcPr>
          <w:p w14:paraId="2AE223F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8A7DA4"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02DE4A"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5166AF7" w14:textId="77777777" w:rsidR="00000000" w:rsidRDefault="000A3118">
            <w:pPr>
              <w:jc w:val="right"/>
              <w:rPr>
                <w:rFonts w:eastAsia="Times New Roman"/>
              </w:rPr>
            </w:pPr>
            <w:r>
              <w:rPr>
                <w:rFonts w:eastAsia="Times New Roman"/>
                <w:color w:val="000000"/>
                <w:sz w:val="16"/>
                <w:szCs w:val="16"/>
              </w:rPr>
              <w:t>6.4 </w:t>
            </w:r>
          </w:p>
        </w:tc>
        <w:tc>
          <w:tcPr>
            <w:tcW w:w="0" w:type="auto"/>
            <w:shd w:val="clear" w:color="auto" w:fill="FFFFFF"/>
            <w:tcMar>
              <w:top w:w="30" w:type="dxa"/>
              <w:left w:w="0" w:type="dxa"/>
              <w:bottom w:w="30" w:type="dxa"/>
              <w:right w:w="20" w:type="dxa"/>
            </w:tcMar>
            <w:vAlign w:val="bottom"/>
            <w:hideMark/>
          </w:tcPr>
          <w:p w14:paraId="3812546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CE8FB"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C2BECC"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B1E7B3C" w14:textId="77777777" w:rsidR="00000000" w:rsidRDefault="000A3118">
            <w:pPr>
              <w:jc w:val="right"/>
              <w:rPr>
                <w:rFonts w:eastAsia="Times New Roman"/>
              </w:rPr>
            </w:pPr>
            <w:r>
              <w:rPr>
                <w:rFonts w:eastAsia="Times New Roman"/>
                <w:color w:val="000000"/>
                <w:sz w:val="16"/>
                <w:szCs w:val="16"/>
              </w:rPr>
              <w:t>385.5 </w:t>
            </w:r>
          </w:p>
        </w:tc>
        <w:tc>
          <w:tcPr>
            <w:tcW w:w="0" w:type="auto"/>
            <w:shd w:val="clear" w:color="auto" w:fill="FFFFFF"/>
            <w:tcMar>
              <w:top w:w="30" w:type="dxa"/>
              <w:left w:w="0" w:type="dxa"/>
              <w:bottom w:w="30" w:type="dxa"/>
              <w:right w:w="20" w:type="dxa"/>
            </w:tcMar>
            <w:vAlign w:val="bottom"/>
            <w:hideMark/>
          </w:tcPr>
          <w:p w14:paraId="5B6AB8E9" w14:textId="77777777" w:rsidR="00000000" w:rsidRDefault="000A3118">
            <w:pPr>
              <w:jc w:val="right"/>
              <w:rPr>
                <w:rFonts w:eastAsia="Times New Roman"/>
              </w:rPr>
            </w:pPr>
          </w:p>
        </w:tc>
      </w:tr>
      <w:tr w:rsidR="00000000" w14:paraId="71F10B67" w14:textId="77777777">
        <w:trPr>
          <w:divId w:val="129329150"/>
        </w:trPr>
        <w:tc>
          <w:tcPr>
            <w:tcW w:w="0" w:type="auto"/>
            <w:gridSpan w:val="3"/>
            <w:shd w:val="clear" w:color="auto" w:fill="CCEEFF"/>
            <w:tcMar>
              <w:top w:w="30" w:type="dxa"/>
              <w:left w:w="135" w:type="dxa"/>
              <w:bottom w:w="30" w:type="dxa"/>
              <w:right w:w="20" w:type="dxa"/>
            </w:tcMar>
            <w:vAlign w:val="bottom"/>
            <w:hideMark/>
          </w:tcPr>
          <w:p w14:paraId="6F10E63A" w14:textId="77777777" w:rsidR="00000000" w:rsidRDefault="000A3118">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14:paraId="765D409E"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84EFD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0F23AC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7157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8EDF87" w14:textId="77777777" w:rsidR="00000000" w:rsidRDefault="000A3118">
            <w:pPr>
              <w:jc w:val="right"/>
              <w:rPr>
                <w:rFonts w:eastAsia="Times New Roman"/>
              </w:rPr>
            </w:pPr>
            <w:r>
              <w:rPr>
                <w:rFonts w:eastAsia="Times New Roman"/>
                <w:color w:val="000000"/>
                <w:sz w:val="16"/>
                <w:szCs w:val="16"/>
              </w:rPr>
              <w:t>10.4 </w:t>
            </w:r>
          </w:p>
        </w:tc>
        <w:tc>
          <w:tcPr>
            <w:tcW w:w="0" w:type="auto"/>
            <w:shd w:val="clear" w:color="auto" w:fill="CCEEFF"/>
            <w:tcMar>
              <w:top w:w="30" w:type="dxa"/>
              <w:left w:w="0" w:type="dxa"/>
              <w:bottom w:w="30" w:type="dxa"/>
              <w:right w:w="20" w:type="dxa"/>
            </w:tcMar>
            <w:vAlign w:val="bottom"/>
            <w:hideMark/>
          </w:tcPr>
          <w:p w14:paraId="4322167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46D3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F4B6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11C4F2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5C03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7B1202" w14:textId="77777777" w:rsidR="00000000" w:rsidRDefault="000A3118">
            <w:pPr>
              <w:jc w:val="right"/>
              <w:rPr>
                <w:rFonts w:eastAsia="Times New Roman"/>
              </w:rPr>
            </w:pPr>
            <w:r>
              <w:rPr>
                <w:rFonts w:eastAsia="Times New Roman"/>
                <w:color w:val="000000"/>
                <w:sz w:val="16"/>
                <w:szCs w:val="16"/>
              </w:rPr>
              <w:t>10.4 </w:t>
            </w:r>
          </w:p>
        </w:tc>
        <w:tc>
          <w:tcPr>
            <w:tcW w:w="0" w:type="auto"/>
            <w:shd w:val="clear" w:color="auto" w:fill="CCEEFF"/>
            <w:tcMar>
              <w:top w:w="30" w:type="dxa"/>
              <w:left w:w="0" w:type="dxa"/>
              <w:bottom w:w="30" w:type="dxa"/>
              <w:right w:w="20" w:type="dxa"/>
            </w:tcMar>
            <w:vAlign w:val="bottom"/>
            <w:hideMark/>
          </w:tcPr>
          <w:p w14:paraId="4B6EBA61" w14:textId="77777777" w:rsidR="00000000" w:rsidRDefault="000A3118">
            <w:pPr>
              <w:jc w:val="right"/>
              <w:rPr>
                <w:rFonts w:eastAsia="Times New Roman"/>
              </w:rPr>
            </w:pPr>
          </w:p>
        </w:tc>
      </w:tr>
      <w:tr w:rsidR="00000000" w14:paraId="4C8EDA6A" w14:textId="77777777">
        <w:trPr>
          <w:divId w:val="129329150"/>
        </w:trPr>
        <w:tc>
          <w:tcPr>
            <w:tcW w:w="0" w:type="auto"/>
            <w:gridSpan w:val="3"/>
            <w:shd w:val="clear" w:color="auto" w:fill="FFFFFF"/>
            <w:tcMar>
              <w:top w:w="30" w:type="dxa"/>
              <w:left w:w="135" w:type="dxa"/>
              <w:bottom w:w="30" w:type="dxa"/>
              <w:right w:w="20" w:type="dxa"/>
            </w:tcMar>
            <w:vAlign w:val="bottom"/>
            <w:hideMark/>
          </w:tcPr>
          <w:p w14:paraId="474F6B66" w14:textId="77777777" w:rsidR="00000000" w:rsidRDefault="000A3118">
            <w:pPr>
              <w:rPr>
                <w:rFonts w:eastAsia="Times New Roman"/>
              </w:rPr>
            </w:pPr>
            <w:r>
              <w:rPr>
                <w:rFonts w:eastAsia="Times New Roman"/>
                <w:color w:val="000000"/>
                <w:sz w:val="16"/>
                <w:szCs w:val="16"/>
              </w:rPr>
              <w:t>Interest rate contract</w:t>
            </w:r>
          </w:p>
        </w:tc>
        <w:tc>
          <w:tcPr>
            <w:tcW w:w="0" w:type="auto"/>
            <w:gridSpan w:val="3"/>
            <w:shd w:val="clear" w:color="auto" w:fill="FFFFFF"/>
            <w:tcMar>
              <w:top w:w="0" w:type="dxa"/>
              <w:left w:w="20" w:type="dxa"/>
              <w:bottom w:w="0" w:type="dxa"/>
              <w:right w:w="20" w:type="dxa"/>
            </w:tcMar>
            <w:vAlign w:val="center"/>
            <w:hideMark/>
          </w:tcPr>
          <w:p w14:paraId="4CD800FE"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AB016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6223F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B6AA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06E53B" w14:textId="77777777" w:rsidR="00000000" w:rsidRDefault="000A3118">
            <w:pPr>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14:paraId="2C94BF2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545C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1E51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BF67D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0A3D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9B248F" w14:textId="77777777" w:rsidR="00000000" w:rsidRDefault="000A3118">
            <w:pPr>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14:paraId="45D66288" w14:textId="77777777" w:rsidR="00000000" w:rsidRDefault="000A3118">
            <w:pPr>
              <w:jc w:val="right"/>
              <w:rPr>
                <w:rFonts w:eastAsia="Times New Roman"/>
              </w:rPr>
            </w:pPr>
          </w:p>
        </w:tc>
      </w:tr>
      <w:tr w:rsidR="00000000" w14:paraId="3C9CDCA9" w14:textId="77777777">
        <w:trPr>
          <w:divId w:val="129329150"/>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14:paraId="1F5DFAA3" w14:textId="77777777" w:rsidR="00000000" w:rsidRDefault="000A3118">
            <w:pPr>
              <w:rPr>
                <w:rFonts w:eastAsia="Times New Roman"/>
              </w:rPr>
            </w:pPr>
            <w:r>
              <w:rPr>
                <w:rFonts w:eastAsia="Times New Roman"/>
                <w:color w:val="000000"/>
                <w:sz w:val="16"/>
                <w:szCs w:val="16"/>
              </w:rPr>
              <w:t>Total liabilities at fair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6508CB"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0F3BD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76CCAC" w14:textId="77777777" w:rsidR="00000000" w:rsidRDefault="000A3118">
            <w:pPr>
              <w:jc w:val="right"/>
              <w:rPr>
                <w:rFonts w:eastAsia="Times New Roman"/>
              </w:rPr>
            </w:pPr>
            <w:r>
              <w:rPr>
                <w:rFonts w:eastAsia="Times New Roman"/>
                <w:color w:val="000000"/>
                <w:sz w:val="16"/>
                <w:szCs w:val="16"/>
              </w:rPr>
              <w:t>264.3 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968CBF"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A23FF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7C087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5DD076" w14:textId="77777777" w:rsidR="00000000" w:rsidRDefault="000A3118">
            <w:pPr>
              <w:jc w:val="right"/>
              <w:rPr>
                <w:rFonts w:eastAsia="Times New Roman"/>
              </w:rPr>
            </w:pPr>
            <w:r>
              <w:rPr>
                <w:rFonts w:eastAsia="Times New Roman"/>
                <w:color w:val="000000"/>
                <w:sz w:val="16"/>
                <w:szCs w:val="16"/>
              </w:rPr>
              <w:t>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133C25"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F74C4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353A5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0C2EEA" w14:textId="77777777" w:rsidR="00000000" w:rsidRDefault="000A3118">
            <w:pPr>
              <w:jc w:val="right"/>
              <w:rPr>
                <w:rFonts w:eastAsia="Times New Roman"/>
              </w:rPr>
            </w:pPr>
            <w:r>
              <w:rPr>
                <w:rFonts w:eastAsia="Times New Roman"/>
                <w:color w:val="000000"/>
                <w:sz w:val="16"/>
                <w:szCs w:val="16"/>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70A50B"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786F44"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51362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967331" w14:textId="77777777" w:rsidR="00000000" w:rsidRDefault="000A3118">
            <w:pPr>
              <w:jc w:val="right"/>
              <w:rPr>
                <w:rFonts w:eastAsia="Times New Roman"/>
              </w:rPr>
            </w:pPr>
            <w:r>
              <w:rPr>
                <w:rFonts w:eastAsia="Times New Roman"/>
                <w:color w:val="000000"/>
                <w:sz w:val="16"/>
                <w:szCs w:val="16"/>
              </w:rPr>
              <w:t>400.7 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CE0B86" w14:textId="77777777" w:rsidR="00000000" w:rsidRDefault="000A3118">
            <w:pPr>
              <w:jc w:val="right"/>
              <w:rPr>
                <w:rFonts w:eastAsia="Times New Roman"/>
              </w:rPr>
            </w:pPr>
          </w:p>
        </w:tc>
      </w:tr>
      <w:tr w:rsidR="00000000" w14:paraId="544CBB01" w14:textId="77777777">
        <w:trPr>
          <w:divId w:val="129329150"/>
          <w:trHeight w:val="280"/>
        </w:trPr>
        <w:tc>
          <w:tcPr>
            <w:tcW w:w="0" w:type="auto"/>
            <w:gridSpan w:val="3"/>
            <w:tcBorders>
              <w:top w:val="double" w:sz="6" w:space="0" w:color="000000"/>
            </w:tcBorders>
            <w:tcMar>
              <w:top w:w="0" w:type="dxa"/>
              <w:left w:w="20" w:type="dxa"/>
              <w:bottom w:w="0" w:type="dxa"/>
              <w:right w:w="20" w:type="dxa"/>
            </w:tcMar>
            <w:vAlign w:val="center"/>
            <w:hideMark/>
          </w:tcPr>
          <w:p w14:paraId="68CA1616" w14:textId="77777777" w:rsidR="00000000" w:rsidRDefault="000A3118">
            <w:pPr>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BBE29E7"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95A4993"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7C57141"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C96B72F"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CFE677B"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6D4B89E"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9BB648F" w14:textId="77777777" w:rsidR="00000000" w:rsidRDefault="000A311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50D8FA6" w14:textId="77777777" w:rsidR="00000000" w:rsidRDefault="000A3118">
            <w:pPr>
              <w:rPr>
                <w:rFonts w:eastAsia="Times New Roman"/>
                <w:sz w:val="20"/>
                <w:szCs w:val="20"/>
              </w:rPr>
            </w:pPr>
          </w:p>
        </w:tc>
      </w:tr>
      <w:tr w:rsidR="00000000" w14:paraId="36967AD6" w14:textId="77777777">
        <w:trPr>
          <w:divId w:val="129329150"/>
        </w:trPr>
        <w:tc>
          <w:tcPr>
            <w:tcW w:w="0" w:type="auto"/>
            <w:gridSpan w:val="3"/>
            <w:tcMar>
              <w:top w:w="0" w:type="dxa"/>
              <w:left w:w="20" w:type="dxa"/>
              <w:bottom w:w="0" w:type="dxa"/>
              <w:right w:w="20" w:type="dxa"/>
            </w:tcMar>
            <w:vAlign w:val="center"/>
            <w:hideMark/>
          </w:tcPr>
          <w:p w14:paraId="1EAEFE31" w14:textId="77777777" w:rsidR="00000000" w:rsidRDefault="000A3118">
            <w:pPr>
              <w:rPr>
                <w:rFonts w:eastAsia="Times New Roman"/>
                <w:sz w:val="20"/>
                <w:szCs w:val="20"/>
              </w:rPr>
            </w:pPr>
          </w:p>
        </w:tc>
        <w:tc>
          <w:tcPr>
            <w:tcW w:w="0" w:type="auto"/>
            <w:gridSpan w:val="24"/>
            <w:tcMar>
              <w:top w:w="30" w:type="dxa"/>
              <w:left w:w="20" w:type="dxa"/>
              <w:bottom w:w="30" w:type="dxa"/>
              <w:right w:w="20" w:type="dxa"/>
            </w:tcMar>
            <w:vAlign w:val="bottom"/>
            <w:hideMark/>
          </w:tcPr>
          <w:p w14:paraId="3A5A55B3" w14:textId="77777777" w:rsidR="00000000" w:rsidRDefault="000A3118">
            <w:pPr>
              <w:jc w:val="center"/>
              <w:rPr>
                <w:rFonts w:eastAsia="Times New Roman"/>
              </w:rPr>
            </w:pPr>
            <w:r>
              <w:rPr>
                <w:rFonts w:eastAsia="Times New Roman"/>
                <w:b/>
                <w:bCs/>
                <w:color w:val="000000"/>
                <w:sz w:val="16"/>
                <w:szCs w:val="16"/>
              </w:rPr>
              <w:t>Fair Value Measurements as of December 31, 2019</w:t>
            </w:r>
          </w:p>
        </w:tc>
      </w:tr>
      <w:tr w:rsidR="00000000" w14:paraId="35373589" w14:textId="77777777">
        <w:trPr>
          <w:divId w:val="129329150"/>
        </w:trPr>
        <w:tc>
          <w:tcPr>
            <w:tcW w:w="0" w:type="auto"/>
            <w:gridSpan w:val="3"/>
            <w:tcBorders>
              <w:top w:val="single" w:sz="8" w:space="0" w:color="000000"/>
            </w:tcBorders>
            <w:tcMar>
              <w:top w:w="0" w:type="dxa"/>
              <w:left w:w="20" w:type="dxa"/>
              <w:bottom w:w="0" w:type="dxa"/>
              <w:right w:w="20" w:type="dxa"/>
            </w:tcMar>
            <w:vAlign w:val="center"/>
            <w:hideMark/>
          </w:tcPr>
          <w:p w14:paraId="45F3302B" w14:textId="77777777" w:rsidR="00000000" w:rsidRDefault="000A311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D8BC5F4"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635DD70" w14:textId="77777777" w:rsidR="00000000" w:rsidRDefault="000A3118">
            <w:pPr>
              <w:jc w:val="right"/>
              <w:rPr>
                <w:rFonts w:eastAsia="Times New Roman"/>
              </w:rPr>
            </w:pPr>
            <w:r>
              <w:rPr>
                <w:rFonts w:eastAsia="Times New Roman"/>
                <w:b/>
                <w:bCs/>
                <w:color w:val="000000"/>
                <w:sz w:val="16"/>
                <w:szCs w:val="16"/>
              </w:rPr>
              <w:t>Level 1 Inputs</w:t>
            </w:r>
          </w:p>
        </w:tc>
        <w:tc>
          <w:tcPr>
            <w:tcW w:w="0" w:type="auto"/>
            <w:gridSpan w:val="3"/>
            <w:tcBorders>
              <w:top w:val="single" w:sz="8" w:space="0" w:color="000000"/>
            </w:tcBorders>
            <w:tcMar>
              <w:top w:w="0" w:type="dxa"/>
              <w:left w:w="20" w:type="dxa"/>
              <w:bottom w:w="0" w:type="dxa"/>
              <w:right w:w="20" w:type="dxa"/>
            </w:tcMar>
            <w:vAlign w:val="center"/>
            <w:hideMark/>
          </w:tcPr>
          <w:p w14:paraId="2B7CC337" w14:textId="77777777" w:rsidR="00000000" w:rsidRDefault="000A3118">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59F14A" w14:textId="77777777" w:rsidR="00000000" w:rsidRDefault="000A3118">
            <w:pPr>
              <w:jc w:val="right"/>
              <w:rPr>
                <w:rFonts w:eastAsia="Times New Roman"/>
              </w:rPr>
            </w:pPr>
            <w:r>
              <w:rPr>
                <w:rFonts w:eastAsia="Times New Roman"/>
                <w:b/>
                <w:bCs/>
                <w:color w:val="000000"/>
                <w:sz w:val="16"/>
                <w:szCs w:val="16"/>
              </w:rPr>
              <w:t>Level 2 Inputs</w:t>
            </w:r>
          </w:p>
        </w:tc>
        <w:tc>
          <w:tcPr>
            <w:tcW w:w="0" w:type="auto"/>
            <w:gridSpan w:val="3"/>
            <w:tcBorders>
              <w:top w:val="single" w:sz="8" w:space="0" w:color="000000"/>
            </w:tcBorders>
            <w:tcMar>
              <w:top w:w="0" w:type="dxa"/>
              <w:left w:w="20" w:type="dxa"/>
              <w:bottom w:w="0" w:type="dxa"/>
              <w:right w:w="20" w:type="dxa"/>
            </w:tcMar>
            <w:vAlign w:val="center"/>
            <w:hideMark/>
          </w:tcPr>
          <w:p w14:paraId="518A9BB1" w14:textId="77777777" w:rsidR="00000000" w:rsidRDefault="000A3118">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83C039" w14:textId="77777777" w:rsidR="00000000" w:rsidRDefault="000A3118">
            <w:pPr>
              <w:jc w:val="right"/>
              <w:rPr>
                <w:rFonts w:eastAsia="Times New Roman"/>
              </w:rPr>
            </w:pPr>
            <w:r>
              <w:rPr>
                <w:rFonts w:eastAsia="Times New Roman"/>
                <w:b/>
                <w:bCs/>
                <w:color w:val="000000"/>
                <w:sz w:val="16"/>
                <w:szCs w:val="16"/>
              </w:rPr>
              <w:t>Level 3 Inputs</w:t>
            </w:r>
          </w:p>
        </w:tc>
        <w:tc>
          <w:tcPr>
            <w:tcW w:w="0" w:type="auto"/>
            <w:gridSpan w:val="3"/>
            <w:tcBorders>
              <w:top w:val="single" w:sz="8" w:space="0" w:color="000000"/>
            </w:tcBorders>
            <w:tcMar>
              <w:top w:w="0" w:type="dxa"/>
              <w:left w:w="20" w:type="dxa"/>
              <w:bottom w:w="0" w:type="dxa"/>
              <w:right w:w="20" w:type="dxa"/>
            </w:tcMar>
            <w:vAlign w:val="center"/>
            <w:hideMark/>
          </w:tcPr>
          <w:p w14:paraId="52722C43" w14:textId="77777777" w:rsidR="00000000" w:rsidRDefault="000A3118">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18F337" w14:textId="77777777" w:rsidR="00000000" w:rsidRDefault="000A3118">
            <w:pPr>
              <w:jc w:val="right"/>
              <w:rPr>
                <w:rFonts w:eastAsia="Times New Roman"/>
              </w:rPr>
            </w:pPr>
            <w:r>
              <w:rPr>
                <w:rFonts w:eastAsia="Times New Roman"/>
                <w:b/>
                <w:bCs/>
                <w:color w:val="000000"/>
                <w:sz w:val="16"/>
                <w:szCs w:val="16"/>
              </w:rPr>
              <w:t>Total</w:t>
            </w:r>
          </w:p>
        </w:tc>
      </w:tr>
      <w:tr w:rsidR="00000000" w14:paraId="22252CFD" w14:textId="77777777">
        <w:trPr>
          <w:divId w:val="12932915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0D9739" w14:textId="77777777" w:rsidR="00000000" w:rsidRDefault="000A3118">
            <w:pPr>
              <w:rPr>
                <w:rFonts w:eastAsia="Times New Roman"/>
              </w:rPr>
            </w:pPr>
            <w:r>
              <w:rPr>
                <w:rFonts w:eastAsia="Times New Roman"/>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6F2B80"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E4C221"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F82828"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295AE6"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9117A0"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442884"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D35686"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AB3535" w14:textId="77777777" w:rsidR="00000000" w:rsidRDefault="000A3118">
            <w:pPr>
              <w:rPr>
                <w:rFonts w:eastAsia="Times New Roman"/>
                <w:sz w:val="20"/>
                <w:szCs w:val="20"/>
              </w:rPr>
            </w:pPr>
          </w:p>
        </w:tc>
      </w:tr>
      <w:tr w:rsidR="00000000" w14:paraId="2740D76D" w14:textId="77777777">
        <w:trPr>
          <w:divId w:val="129329150"/>
        </w:trPr>
        <w:tc>
          <w:tcPr>
            <w:tcW w:w="0" w:type="auto"/>
            <w:gridSpan w:val="3"/>
            <w:shd w:val="clear" w:color="auto" w:fill="FFFFFF"/>
            <w:tcMar>
              <w:top w:w="30" w:type="dxa"/>
              <w:left w:w="135" w:type="dxa"/>
              <w:bottom w:w="30" w:type="dxa"/>
              <w:right w:w="20" w:type="dxa"/>
            </w:tcMar>
            <w:vAlign w:val="bottom"/>
            <w:hideMark/>
          </w:tcPr>
          <w:p w14:paraId="073BADC5" w14:textId="77777777" w:rsidR="00000000" w:rsidRDefault="000A3118">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14:paraId="17861976"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0E8B94DE"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BDAC9B0" w14:textId="77777777" w:rsidR="00000000" w:rsidRDefault="000A3118">
            <w:pPr>
              <w:jc w:val="right"/>
              <w:rPr>
                <w:rFonts w:eastAsia="Times New Roman"/>
              </w:rPr>
            </w:pPr>
            <w:r>
              <w:rPr>
                <w:rFonts w:eastAsia="Times New Roman"/>
                <w:color w:val="000000"/>
                <w:sz w:val="16"/>
                <w:szCs w:val="16"/>
              </w:rPr>
              <w:t>148.3 </w:t>
            </w:r>
          </w:p>
        </w:tc>
        <w:tc>
          <w:tcPr>
            <w:tcW w:w="0" w:type="auto"/>
            <w:shd w:val="clear" w:color="auto" w:fill="FFFFFF"/>
            <w:tcMar>
              <w:top w:w="30" w:type="dxa"/>
              <w:left w:w="0" w:type="dxa"/>
              <w:bottom w:w="30" w:type="dxa"/>
              <w:right w:w="20" w:type="dxa"/>
            </w:tcMar>
            <w:vAlign w:val="bottom"/>
            <w:hideMark/>
          </w:tcPr>
          <w:p w14:paraId="337831E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1EC036"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C09CED"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3510A9D" w14:textId="77777777" w:rsidR="00000000" w:rsidRDefault="000A3118">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14:paraId="7710ECB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554353"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04BF43"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22A4DB4" w14:textId="77777777" w:rsidR="00000000" w:rsidRDefault="000A3118">
            <w:pPr>
              <w:jc w:val="right"/>
              <w:rPr>
                <w:rFonts w:eastAsia="Times New Roman"/>
              </w:rPr>
            </w:pPr>
            <w:r>
              <w:rPr>
                <w:rFonts w:eastAsia="Times New Roman"/>
                <w:color w:val="000000"/>
                <w:sz w:val="16"/>
                <w:szCs w:val="16"/>
              </w:rPr>
              <w:t>10.7 </w:t>
            </w:r>
          </w:p>
        </w:tc>
        <w:tc>
          <w:tcPr>
            <w:tcW w:w="0" w:type="auto"/>
            <w:shd w:val="clear" w:color="auto" w:fill="FFFFFF"/>
            <w:tcMar>
              <w:top w:w="30" w:type="dxa"/>
              <w:left w:w="0" w:type="dxa"/>
              <w:bottom w:w="30" w:type="dxa"/>
              <w:right w:w="20" w:type="dxa"/>
            </w:tcMar>
            <w:vAlign w:val="bottom"/>
            <w:hideMark/>
          </w:tcPr>
          <w:p w14:paraId="2BF3962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D3627B"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75E824"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85796A6" w14:textId="77777777" w:rsidR="00000000" w:rsidRDefault="000A3118">
            <w:pPr>
              <w:jc w:val="right"/>
              <w:rPr>
                <w:rFonts w:eastAsia="Times New Roman"/>
              </w:rPr>
            </w:pPr>
            <w:r>
              <w:rPr>
                <w:rFonts w:eastAsia="Times New Roman"/>
                <w:color w:val="000000"/>
                <w:sz w:val="16"/>
                <w:szCs w:val="16"/>
              </w:rPr>
              <w:t>259.0 </w:t>
            </w:r>
          </w:p>
        </w:tc>
        <w:tc>
          <w:tcPr>
            <w:tcW w:w="0" w:type="auto"/>
            <w:shd w:val="clear" w:color="auto" w:fill="FFFFFF"/>
            <w:tcMar>
              <w:top w:w="30" w:type="dxa"/>
              <w:left w:w="0" w:type="dxa"/>
              <w:bottom w:w="30" w:type="dxa"/>
              <w:right w:w="20" w:type="dxa"/>
            </w:tcMar>
            <w:vAlign w:val="bottom"/>
            <w:hideMark/>
          </w:tcPr>
          <w:p w14:paraId="533B5BE2" w14:textId="77777777" w:rsidR="00000000" w:rsidRDefault="000A3118">
            <w:pPr>
              <w:jc w:val="right"/>
              <w:rPr>
                <w:rFonts w:eastAsia="Times New Roman"/>
              </w:rPr>
            </w:pPr>
          </w:p>
        </w:tc>
      </w:tr>
      <w:tr w:rsidR="00000000" w14:paraId="0FE4E589" w14:textId="77777777">
        <w:trPr>
          <w:divId w:val="129329150"/>
        </w:trPr>
        <w:tc>
          <w:tcPr>
            <w:tcW w:w="0" w:type="auto"/>
            <w:gridSpan w:val="3"/>
            <w:shd w:val="clear" w:color="auto" w:fill="CCEEFF"/>
            <w:tcMar>
              <w:top w:w="30" w:type="dxa"/>
              <w:left w:w="135" w:type="dxa"/>
              <w:bottom w:w="30" w:type="dxa"/>
              <w:right w:w="20" w:type="dxa"/>
            </w:tcMar>
            <w:vAlign w:val="bottom"/>
            <w:hideMark/>
          </w:tcPr>
          <w:p w14:paraId="7D9540C4" w14:textId="77777777" w:rsidR="00000000" w:rsidRDefault="000A3118">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14:paraId="61E2AD0A"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1552F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D1DA58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63076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20B7F7" w14:textId="77777777" w:rsidR="00000000" w:rsidRDefault="000A3118">
            <w:pPr>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14:paraId="293E50A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7F86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F2091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453D0F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842EC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037817" w14:textId="77777777" w:rsidR="00000000" w:rsidRDefault="000A3118">
            <w:pPr>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14:paraId="4022BE22" w14:textId="77777777" w:rsidR="00000000" w:rsidRDefault="000A3118">
            <w:pPr>
              <w:jc w:val="right"/>
              <w:rPr>
                <w:rFonts w:eastAsia="Times New Roman"/>
              </w:rPr>
            </w:pPr>
          </w:p>
        </w:tc>
      </w:tr>
      <w:tr w:rsidR="00000000" w14:paraId="4932C7BD" w14:textId="77777777">
        <w:trPr>
          <w:divId w:val="129329150"/>
        </w:trPr>
        <w:tc>
          <w:tcPr>
            <w:tcW w:w="0" w:type="auto"/>
            <w:gridSpan w:val="3"/>
            <w:shd w:val="clear" w:color="auto" w:fill="FFFFFF"/>
            <w:tcMar>
              <w:top w:w="30" w:type="dxa"/>
              <w:left w:w="135" w:type="dxa"/>
              <w:bottom w:w="30" w:type="dxa"/>
              <w:right w:w="20" w:type="dxa"/>
            </w:tcMar>
            <w:vAlign w:val="bottom"/>
            <w:hideMark/>
          </w:tcPr>
          <w:p w14:paraId="5B4681AC" w14:textId="77777777" w:rsidR="00000000" w:rsidRDefault="000A3118">
            <w:pPr>
              <w:rPr>
                <w:rFonts w:eastAsia="Times New Roman"/>
              </w:rPr>
            </w:pPr>
            <w:r>
              <w:rPr>
                <w:rFonts w:eastAsia="Times New Roman"/>
                <w:color w:val="000000"/>
                <w:sz w:val="16"/>
                <w:szCs w:val="16"/>
              </w:rPr>
              <w:t>Cash surrender value of life insurance</w:t>
            </w:r>
          </w:p>
        </w:tc>
        <w:tc>
          <w:tcPr>
            <w:tcW w:w="0" w:type="auto"/>
            <w:gridSpan w:val="3"/>
            <w:shd w:val="clear" w:color="auto" w:fill="FFFFFF"/>
            <w:tcMar>
              <w:top w:w="0" w:type="dxa"/>
              <w:left w:w="20" w:type="dxa"/>
              <w:bottom w:w="0" w:type="dxa"/>
              <w:right w:w="20" w:type="dxa"/>
            </w:tcMar>
            <w:vAlign w:val="center"/>
            <w:hideMark/>
          </w:tcPr>
          <w:p w14:paraId="3AE99992"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B55A1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E4D2AD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0A2A9"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1D2EA6" w14:textId="77777777" w:rsidR="00000000" w:rsidRDefault="000A3118">
            <w:pPr>
              <w:jc w:val="right"/>
              <w:rPr>
                <w:rFonts w:eastAsia="Times New Roman"/>
              </w:rPr>
            </w:pPr>
            <w:r>
              <w:rPr>
                <w:rFonts w:eastAsia="Times New Roman"/>
                <w:color w:val="000000"/>
                <w:sz w:val="16"/>
                <w:szCs w:val="16"/>
              </w:rPr>
              <w:t>9.4 </w:t>
            </w:r>
          </w:p>
        </w:tc>
        <w:tc>
          <w:tcPr>
            <w:tcW w:w="0" w:type="auto"/>
            <w:shd w:val="clear" w:color="auto" w:fill="FFFFFF"/>
            <w:tcMar>
              <w:top w:w="30" w:type="dxa"/>
              <w:left w:w="0" w:type="dxa"/>
              <w:bottom w:w="30" w:type="dxa"/>
              <w:right w:w="20" w:type="dxa"/>
            </w:tcMar>
            <w:vAlign w:val="bottom"/>
            <w:hideMark/>
          </w:tcPr>
          <w:p w14:paraId="3F93568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AF959"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EC745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6372EF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207B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BE9141" w14:textId="77777777" w:rsidR="00000000" w:rsidRDefault="000A3118">
            <w:pPr>
              <w:jc w:val="right"/>
              <w:rPr>
                <w:rFonts w:eastAsia="Times New Roman"/>
              </w:rPr>
            </w:pPr>
            <w:r>
              <w:rPr>
                <w:rFonts w:eastAsia="Times New Roman"/>
                <w:color w:val="000000"/>
                <w:sz w:val="16"/>
                <w:szCs w:val="16"/>
              </w:rPr>
              <w:t>9.4 </w:t>
            </w:r>
          </w:p>
        </w:tc>
        <w:tc>
          <w:tcPr>
            <w:tcW w:w="0" w:type="auto"/>
            <w:shd w:val="clear" w:color="auto" w:fill="FFFFFF"/>
            <w:tcMar>
              <w:top w:w="30" w:type="dxa"/>
              <w:left w:w="0" w:type="dxa"/>
              <w:bottom w:w="30" w:type="dxa"/>
              <w:right w:w="20" w:type="dxa"/>
            </w:tcMar>
            <w:vAlign w:val="bottom"/>
            <w:hideMark/>
          </w:tcPr>
          <w:p w14:paraId="7DD75708" w14:textId="77777777" w:rsidR="00000000" w:rsidRDefault="000A3118">
            <w:pPr>
              <w:jc w:val="right"/>
              <w:rPr>
                <w:rFonts w:eastAsia="Times New Roman"/>
              </w:rPr>
            </w:pPr>
          </w:p>
        </w:tc>
      </w:tr>
      <w:tr w:rsidR="00000000" w14:paraId="10E0D207" w14:textId="77777777">
        <w:trPr>
          <w:divId w:val="129329150"/>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14:paraId="3C2584FD" w14:textId="77777777" w:rsidR="00000000" w:rsidRDefault="000A3118">
            <w:pPr>
              <w:rPr>
                <w:rFonts w:eastAsia="Times New Roman"/>
              </w:rPr>
            </w:pPr>
            <w:r>
              <w:rPr>
                <w:rFonts w:eastAsia="Times New Roman"/>
                <w:color w:val="000000"/>
                <w:sz w:val="16"/>
                <w:szCs w:val="16"/>
              </w:rPr>
              <w:t>Total assets at fair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6BA3E6"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7B54B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6CF59A" w14:textId="77777777" w:rsidR="00000000" w:rsidRDefault="000A3118">
            <w:pPr>
              <w:jc w:val="right"/>
              <w:rPr>
                <w:rFonts w:eastAsia="Times New Roman"/>
              </w:rPr>
            </w:pPr>
            <w:r>
              <w:rPr>
                <w:rFonts w:eastAsia="Times New Roman"/>
                <w:color w:val="000000"/>
                <w:sz w:val="16"/>
                <w:szCs w:val="16"/>
              </w:rPr>
              <w:t>148.3 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16CC9E"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B4A1AA"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AACF8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E91110" w14:textId="77777777" w:rsidR="00000000" w:rsidRDefault="000A3118">
            <w:pPr>
              <w:jc w:val="right"/>
              <w:rPr>
                <w:rFonts w:eastAsia="Times New Roman"/>
              </w:rPr>
            </w:pPr>
            <w:r>
              <w:rPr>
                <w:rFonts w:eastAsia="Times New Roman"/>
                <w:color w:val="000000"/>
                <w:sz w:val="16"/>
                <w:szCs w:val="16"/>
              </w:rPr>
              <w:t>111.4 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407F89"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6973C0"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8A637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15C5F7" w14:textId="77777777" w:rsidR="00000000" w:rsidRDefault="000A3118">
            <w:pPr>
              <w:jc w:val="right"/>
              <w:rPr>
                <w:rFonts w:eastAsia="Times New Roman"/>
              </w:rPr>
            </w:pPr>
            <w:r>
              <w:rPr>
                <w:rFonts w:eastAsia="Times New Roman"/>
                <w:color w:val="000000"/>
                <w:sz w:val="16"/>
                <w:szCs w:val="16"/>
              </w:rPr>
              <w:t>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583506"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F70C09"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957B7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AED8BB" w14:textId="77777777" w:rsidR="00000000" w:rsidRDefault="000A3118">
            <w:pPr>
              <w:jc w:val="right"/>
              <w:rPr>
                <w:rFonts w:eastAsia="Times New Roman"/>
              </w:rPr>
            </w:pPr>
            <w:r>
              <w:rPr>
                <w:rFonts w:eastAsia="Times New Roman"/>
                <w:color w:val="000000"/>
                <w:sz w:val="16"/>
                <w:szCs w:val="16"/>
              </w:rPr>
              <w:t>270.4 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BD3681" w14:textId="77777777" w:rsidR="00000000" w:rsidRDefault="000A3118">
            <w:pPr>
              <w:jc w:val="right"/>
              <w:rPr>
                <w:rFonts w:eastAsia="Times New Roman"/>
              </w:rPr>
            </w:pPr>
          </w:p>
        </w:tc>
      </w:tr>
      <w:tr w:rsidR="00000000" w14:paraId="3D2C0B67" w14:textId="77777777">
        <w:trPr>
          <w:divId w:val="129329150"/>
          <w:trHeight w:val="28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E5FDE2"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498870"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D04198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5394D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823600"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45E90CA"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E58541"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35C95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47A917C" w14:textId="77777777" w:rsidR="00000000" w:rsidRDefault="000A3118">
            <w:pPr>
              <w:rPr>
                <w:rFonts w:eastAsia="Times New Roman"/>
                <w:sz w:val="20"/>
                <w:szCs w:val="20"/>
              </w:rPr>
            </w:pPr>
          </w:p>
        </w:tc>
      </w:tr>
      <w:tr w:rsidR="00000000" w14:paraId="75DAB696" w14:textId="77777777">
        <w:trPr>
          <w:divId w:val="129329150"/>
        </w:trPr>
        <w:tc>
          <w:tcPr>
            <w:tcW w:w="0" w:type="auto"/>
            <w:gridSpan w:val="3"/>
            <w:shd w:val="clear" w:color="auto" w:fill="CCEEFF"/>
            <w:tcMar>
              <w:top w:w="30" w:type="dxa"/>
              <w:left w:w="20" w:type="dxa"/>
              <w:bottom w:w="30" w:type="dxa"/>
              <w:right w:w="20" w:type="dxa"/>
            </w:tcMar>
            <w:vAlign w:val="bottom"/>
            <w:hideMark/>
          </w:tcPr>
          <w:p w14:paraId="5DBE4196" w14:textId="77777777" w:rsidR="00000000" w:rsidRDefault="000A3118">
            <w:pPr>
              <w:rPr>
                <w:rFonts w:eastAsia="Times New Roman"/>
              </w:rPr>
            </w:pPr>
            <w:r>
              <w:rPr>
                <w:rFonts w:eastAsia="Times New Roman"/>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14:paraId="66E70928" w14:textId="77777777" w:rsidR="00000000" w:rsidRDefault="000A3118">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7326D"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3652D8"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14FABD"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E40F70"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30E8F2"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655AAA"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5401EE" w14:textId="77777777" w:rsidR="00000000" w:rsidRDefault="000A3118">
            <w:pPr>
              <w:rPr>
                <w:rFonts w:eastAsia="Times New Roman"/>
                <w:sz w:val="20"/>
                <w:szCs w:val="20"/>
              </w:rPr>
            </w:pPr>
          </w:p>
        </w:tc>
      </w:tr>
      <w:tr w:rsidR="00000000" w14:paraId="506568D1" w14:textId="77777777">
        <w:trPr>
          <w:divId w:val="129329150"/>
        </w:trPr>
        <w:tc>
          <w:tcPr>
            <w:tcW w:w="0" w:type="auto"/>
            <w:gridSpan w:val="3"/>
            <w:shd w:val="clear" w:color="auto" w:fill="FFFFFF"/>
            <w:tcMar>
              <w:top w:w="30" w:type="dxa"/>
              <w:left w:w="135" w:type="dxa"/>
              <w:bottom w:w="30" w:type="dxa"/>
              <w:right w:w="20" w:type="dxa"/>
            </w:tcMar>
            <w:vAlign w:val="bottom"/>
            <w:hideMark/>
          </w:tcPr>
          <w:p w14:paraId="629BA25C" w14:textId="77777777" w:rsidR="00000000" w:rsidRDefault="000A3118">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14:paraId="07B085A8"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1A043688"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EACB13C" w14:textId="77777777" w:rsidR="00000000" w:rsidRDefault="000A3118">
            <w:pPr>
              <w:jc w:val="right"/>
              <w:rPr>
                <w:rFonts w:eastAsia="Times New Roman"/>
              </w:rPr>
            </w:pPr>
            <w:r>
              <w:rPr>
                <w:rFonts w:eastAsia="Times New Roman"/>
                <w:color w:val="000000"/>
                <w:sz w:val="16"/>
                <w:szCs w:val="16"/>
              </w:rPr>
              <w:t>177.6 </w:t>
            </w:r>
          </w:p>
        </w:tc>
        <w:tc>
          <w:tcPr>
            <w:tcW w:w="0" w:type="auto"/>
            <w:shd w:val="clear" w:color="auto" w:fill="FFFFFF"/>
            <w:tcMar>
              <w:top w:w="30" w:type="dxa"/>
              <w:left w:w="0" w:type="dxa"/>
              <w:bottom w:w="30" w:type="dxa"/>
              <w:right w:w="20" w:type="dxa"/>
            </w:tcMar>
            <w:vAlign w:val="bottom"/>
            <w:hideMark/>
          </w:tcPr>
          <w:p w14:paraId="32181C9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EC0B9"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04658D"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2B8C517" w14:textId="77777777" w:rsidR="00000000" w:rsidRDefault="000A3118">
            <w:pPr>
              <w:jc w:val="right"/>
              <w:rPr>
                <w:rFonts w:eastAsia="Times New Roman"/>
              </w:rPr>
            </w:pPr>
            <w:r>
              <w:rPr>
                <w:rFonts w:eastAsia="Times New Roman"/>
                <w:color w:val="000000"/>
                <w:sz w:val="16"/>
                <w:szCs w:val="16"/>
              </w:rPr>
              <w:t>69.3 </w:t>
            </w:r>
          </w:p>
        </w:tc>
        <w:tc>
          <w:tcPr>
            <w:tcW w:w="0" w:type="auto"/>
            <w:shd w:val="clear" w:color="auto" w:fill="FFFFFF"/>
            <w:tcMar>
              <w:top w:w="30" w:type="dxa"/>
              <w:left w:w="0" w:type="dxa"/>
              <w:bottom w:w="30" w:type="dxa"/>
              <w:right w:w="20" w:type="dxa"/>
            </w:tcMar>
            <w:vAlign w:val="bottom"/>
            <w:hideMark/>
          </w:tcPr>
          <w:p w14:paraId="256DC85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C7CC9"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3C2588"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9788548" w14:textId="77777777" w:rsidR="00000000" w:rsidRDefault="000A3118">
            <w:pPr>
              <w:jc w:val="right"/>
              <w:rPr>
                <w:rFonts w:eastAsia="Times New Roman"/>
              </w:rPr>
            </w:pPr>
            <w:r>
              <w:rPr>
                <w:rFonts w:eastAsia="Times New Roman"/>
                <w:color w:val="000000"/>
                <w:sz w:val="16"/>
                <w:szCs w:val="16"/>
              </w:rPr>
              <w:t>8.1 </w:t>
            </w:r>
          </w:p>
        </w:tc>
        <w:tc>
          <w:tcPr>
            <w:tcW w:w="0" w:type="auto"/>
            <w:shd w:val="clear" w:color="auto" w:fill="FFFFFF"/>
            <w:tcMar>
              <w:top w:w="30" w:type="dxa"/>
              <w:left w:w="0" w:type="dxa"/>
              <w:bottom w:w="30" w:type="dxa"/>
              <w:right w:w="20" w:type="dxa"/>
            </w:tcMar>
            <w:vAlign w:val="bottom"/>
            <w:hideMark/>
          </w:tcPr>
          <w:p w14:paraId="1F9E01C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B83659"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09A722"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E5DA309" w14:textId="77777777" w:rsidR="00000000" w:rsidRDefault="000A3118">
            <w:pPr>
              <w:jc w:val="right"/>
              <w:rPr>
                <w:rFonts w:eastAsia="Times New Roman"/>
              </w:rPr>
            </w:pPr>
            <w:r>
              <w:rPr>
                <w:rFonts w:eastAsia="Times New Roman"/>
                <w:color w:val="000000"/>
                <w:sz w:val="16"/>
                <w:szCs w:val="16"/>
              </w:rPr>
              <w:t>255.0 </w:t>
            </w:r>
          </w:p>
        </w:tc>
        <w:tc>
          <w:tcPr>
            <w:tcW w:w="0" w:type="auto"/>
            <w:shd w:val="clear" w:color="auto" w:fill="FFFFFF"/>
            <w:tcMar>
              <w:top w:w="30" w:type="dxa"/>
              <w:left w:w="0" w:type="dxa"/>
              <w:bottom w:w="30" w:type="dxa"/>
              <w:right w:w="20" w:type="dxa"/>
            </w:tcMar>
            <w:vAlign w:val="bottom"/>
            <w:hideMark/>
          </w:tcPr>
          <w:p w14:paraId="79446862" w14:textId="77777777" w:rsidR="00000000" w:rsidRDefault="000A3118">
            <w:pPr>
              <w:jc w:val="right"/>
              <w:rPr>
                <w:rFonts w:eastAsia="Times New Roman"/>
              </w:rPr>
            </w:pPr>
          </w:p>
        </w:tc>
      </w:tr>
      <w:tr w:rsidR="00000000" w14:paraId="31B55047" w14:textId="77777777">
        <w:trPr>
          <w:divId w:val="129329150"/>
        </w:trPr>
        <w:tc>
          <w:tcPr>
            <w:tcW w:w="0" w:type="auto"/>
            <w:gridSpan w:val="3"/>
            <w:shd w:val="clear" w:color="auto" w:fill="CCEEFF"/>
            <w:tcMar>
              <w:top w:w="30" w:type="dxa"/>
              <w:left w:w="135" w:type="dxa"/>
              <w:bottom w:w="30" w:type="dxa"/>
              <w:right w:w="20" w:type="dxa"/>
            </w:tcMar>
            <w:vAlign w:val="bottom"/>
            <w:hideMark/>
          </w:tcPr>
          <w:p w14:paraId="5D730572" w14:textId="77777777" w:rsidR="00000000" w:rsidRDefault="000A3118">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14:paraId="20A4D95B"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3343F5"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CC30E4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7B8C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493F60" w14:textId="77777777" w:rsidR="00000000" w:rsidRDefault="000A3118">
            <w:pPr>
              <w:jc w:val="right"/>
              <w:rPr>
                <w:rFonts w:eastAsia="Times New Roman"/>
              </w:rPr>
            </w:pPr>
            <w:r>
              <w:rPr>
                <w:rFonts w:eastAsia="Times New Roman"/>
                <w:color w:val="000000"/>
                <w:sz w:val="16"/>
                <w:szCs w:val="16"/>
              </w:rPr>
              <w:t>11.6 </w:t>
            </w:r>
          </w:p>
        </w:tc>
        <w:tc>
          <w:tcPr>
            <w:tcW w:w="0" w:type="auto"/>
            <w:shd w:val="clear" w:color="auto" w:fill="CCEEFF"/>
            <w:tcMar>
              <w:top w:w="30" w:type="dxa"/>
              <w:left w:w="0" w:type="dxa"/>
              <w:bottom w:w="30" w:type="dxa"/>
              <w:right w:w="20" w:type="dxa"/>
            </w:tcMar>
            <w:vAlign w:val="bottom"/>
            <w:hideMark/>
          </w:tcPr>
          <w:p w14:paraId="7E113AD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B295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3DC35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D7C17F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FD7B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F251ED" w14:textId="77777777" w:rsidR="00000000" w:rsidRDefault="000A3118">
            <w:pPr>
              <w:jc w:val="right"/>
              <w:rPr>
                <w:rFonts w:eastAsia="Times New Roman"/>
              </w:rPr>
            </w:pPr>
            <w:r>
              <w:rPr>
                <w:rFonts w:eastAsia="Times New Roman"/>
                <w:color w:val="000000"/>
                <w:sz w:val="16"/>
                <w:szCs w:val="16"/>
              </w:rPr>
              <w:t>11.6 </w:t>
            </w:r>
          </w:p>
        </w:tc>
        <w:tc>
          <w:tcPr>
            <w:tcW w:w="0" w:type="auto"/>
            <w:shd w:val="clear" w:color="auto" w:fill="CCEEFF"/>
            <w:tcMar>
              <w:top w:w="30" w:type="dxa"/>
              <w:left w:w="0" w:type="dxa"/>
              <w:bottom w:w="30" w:type="dxa"/>
              <w:right w:w="20" w:type="dxa"/>
            </w:tcMar>
            <w:vAlign w:val="bottom"/>
            <w:hideMark/>
          </w:tcPr>
          <w:p w14:paraId="1B3DECE2" w14:textId="77777777" w:rsidR="00000000" w:rsidRDefault="000A3118">
            <w:pPr>
              <w:jc w:val="right"/>
              <w:rPr>
                <w:rFonts w:eastAsia="Times New Roman"/>
              </w:rPr>
            </w:pPr>
          </w:p>
        </w:tc>
      </w:tr>
      <w:tr w:rsidR="00000000" w14:paraId="6D4F7872" w14:textId="77777777">
        <w:trPr>
          <w:divId w:val="129329150"/>
        </w:trPr>
        <w:tc>
          <w:tcPr>
            <w:tcW w:w="0" w:type="auto"/>
            <w:gridSpan w:val="3"/>
            <w:tcBorders>
              <w:top w:val="single" w:sz="8" w:space="0" w:color="000000"/>
              <w:bottom w:val="double" w:sz="6" w:space="0" w:color="000000"/>
            </w:tcBorders>
            <w:shd w:val="clear" w:color="auto" w:fill="FFFFFF"/>
            <w:tcMar>
              <w:top w:w="30" w:type="dxa"/>
              <w:left w:w="225" w:type="dxa"/>
              <w:bottom w:w="30" w:type="dxa"/>
              <w:right w:w="20" w:type="dxa"/>
            </w:tcMar>
            <w:vAlign w:val="bottom"/>
            <w:hideMark/>
          </w:tcPr>
          <w:p w14:paraId="13D573C9" w14:textId="77777777" w:rsidR="00000000" w:rsidRDefault="000A3118">
            <w:pPr>
              <w:rPr>
                <w:rFonts w:eastAsia="Times New Roman"/>
              </w:rPr>
            </w:pPr>
            <w:r>
              <w:rPr>
                <w:rFonts w:eastAsia="Times New Roman"/>
                <w:color w:val="000000"/>
                <w:sz w:val="16"/>
                <w:szCs w:val="16"/>
              </w:rPr>
              <w:t>Total liabilities at fair value</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EC79E23" w14:textId="77777777" w:rsidR="00000000" w:rsidRDefault="000A3118">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0AA6C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AD79CF" w14:textId="77777777" w:rsidR="00000000" w:rsidRDefault="000A3118">
            <w:pPr>
              <w:jc w:val="right"/>
              <w:rPr>
                <w:rFonts w:eastAsia="Times New Roman"/>
              </w:rPr>
            </w:pPr>
            <w:r>
              <w:rPr>
                <w:rFonts w:eastAsia="Times New Roman"/>
                <w:color w:val="000000"/>
                <w:sz w:val="16"/>
                <w:szCs w:val="16"/>
              </w:rPr>
              <w:t>177.6 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26DFA8"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25EE168"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FA478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969301" w14:textId="77777777" w:rsidR="00000000" w:rsidRDefault="000A3118">
            <w:pPr>
              <w:jc w:val="right"/>
              <w:rPr>
                <w:rFonts w:eastAsia="Times New Roman"/>
              </w:rPr>
            </w:pPr>
            <w:r>
              <w:rPr>
                <w:rFonts w:eastAsia="Times New Roman"/>
                <w:color w:val="000000"/>
                <w:sz w:val="16"/>
                <w:szCs w:val="16"/>
              </w:rPr>
              <w:t>80.9 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92778A"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500AB5F"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BB24D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7822BD2" w14:textId="77777777" w:rsidR="00000000" w:rsidRDefault="000A3118">
            <w:pPr>
              <w:jc w:val="right"/>
              <w:rPr>
                <w:rFonts w:eastAsia="Times New Roman"/>
              </w:rPr>
            </w:pPr>
            <w:r>
              <w:rPr>
                <w:rFonts w:eastAsia="Times New Roman"/>
                <w:color w:val="000000"/>
                <w:sz w:val="16"/>
                <w:szCs w:val="16"/>
              </w:rPr>
              <w:t>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D7E298"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01CA9C0"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A8FDF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24F1E8" w14:textId="77777777" w:rsidR="00000000" w:rsidRDefault="000A3118">
            <w:pPr>
              <w:jc w:val="right"/>
              <w:rPr>
                <w:rFonts w:eastAsia="Times New Roman"/>
              </w:rPr>
            </w:pPr>
            <w:r>
              <w:rPr>
                <w:rFonts w:eastAsia="Times New Roman"/>
                <w:color w:val="000000"/>
                <w:sz w:val="16"/>
                <w:szCs w:val="16"/>
              </w:rPr>
              <w:t>266.6 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613C34" w14:textId="77777777" w:rsidR="00000000" w:rsidRDefault="000A3118">
            <w:pPr>
              <w:jc w:val="right"/>
              <w:rPr>
                <w:rFonts w:eastAsia="Times New Roman"/>
              </w:rPr>
            </w:pPr>
          </w:p>
        </w:tc>
      </w:tr>
    </w:tbl>
    <w:p w14:paraId="1CCC9A4A" w14:textId="77777777" w:rsidR="00000000" w:rsidRDefault="000A3118">
      <w:pPr>
        <w:ind w:firstLine="720"/>
        <w:divId w:val="362681338"/>
        <w:rPr>
          <w:rFonts w:eastAsia="Times New Roman"/>
        </w:rPr>
      </w:pPr>
    </w:p>
    <w:p w14:paraId="7047B982" w14:textId="77777777" w:rsidR="00000000" w:rsidRDefault="000A3118">
      <w:pPr>
        <w:jc w:val="center"/>
        <w:divId w:val="1773433685"/>
        <w:rPr>
          <w:rFonts w:eastAsia="Times New Roman"/>
        </w:rPr>
      </w:pPr>
      <w:r>
        <w:rPr>
          <w:rFonts w:eastAsia="Times New Roman"/>
          <w:color w:val="000000"/>
          <w:sz w:val="20"/>
          <w:szCs w:val="20"/>
        </w:rPr>
        <w:t>17</w:t>
      </w:r>
    </w:p>
    <w:p w14:paraId="0AA4AC03" w14:textId="77777777" w:rsidR="00000000" w:rsidRDefault="000A3118">
      <w:pPr>
        <w:rPr>
          <w:rFonts w:eastAsia="Times New Roman"/>
        </w:rPr>
      </w:pPr>
      <w:r>
        <w:rPr>
          <w:rFonts w:eastAsia="Times New Roman"/>
        </w:rPr>
        <w:pict w14:anchorId="59B6459E">
          <v:rect id="_x0000_i1045" style="width:0;height:1.5pt" o:hralign="center" o:hrstd="t" o:hr="t" fillcolor="#a0a0a0" stroked="f"/>
        </w:pict>
      </w:r>
    </w:p>
    <w:p w14:paraId="6A67A543" w14:textId="77777777" w:rsidR="00000000" w:rsidRDefault="000A3118">
      <w:pPr>
        <w:divId w:val="97988982"/>
        <w:rPr>
          <w:rFonts w:eastAsia="Times New Roman"/>
        </w:rPr>
      </w:pPr>
    </w:p>
    <w:p w14:paraId="253BE1B2" w14:textId="77777777" w:rsidR="00000000" w:rsidRDefault="000A3118">
      <w:pPr>
        <w:ind w:firstLine="360"/>
        <w:jc w:val="both"/>
        <w:rPr>
          <w:rFonts w:eastAsia="Times New Roman"/>
        </w:rPr>
      </w:pPr>
      <w:r>
        <w:rPr>
          <w:rFonts w:eastAsia="Times New Roman"/>
          <w:color w:val="000000"/>
          <w:sz w:val="20"/>
          <w:szCs w:val="20"/>
        </w:rPr>
        <w:t>The fair values of our commodity contracts measured using Level 3 inputs were not material at September </w:t>
      </w:r>
      <w:r>
        <w:rPr>
          <w:rFonts w:eastAsia="Times New Roman"/>
          <w:color w:val="000000"/>
          <w:sz w:val="20"/>
          <w:szCs w:val="20"/>
        </w:rPr>
        <w:t>30, 2020 and December 31, 2019, respectively.</w:t>
      </w:r>
    </w:p>
    <w:p w14:paraId="054E21CA" w14:textId="77777777" w:rsidR="00000000" w:rsidRDefault="000A3118">
      <w:pPr>
        <w:jc w:val="both"/>
        <w:rPr>
          <w:rFonts w:eastAsia="Times New Roman"/>
        </w:rPr>
      </w:pPr>
    </w:p>
    <w:p w14:paraId="2172F7BC" w14:textId="77777777" w:rsidR="00000000" w:rsidRDefault="000A3118">
      <w:pPr>
        <w:ind w:firstLine="360"/>
        <w:jc w:val="both"/>
        <w:rPr>
          <w:rFonts w:eastAsia="Times New Roman"/>
        </w:rPr>
      </w:pPr>
      <w:r>
        <w:rPr>
          <w:rFonts w:eastAsia="Times New Roman"/>
          <w:color w:val="000000"/>
          <w:sz w:val="20"/>
          <w:szCs w:val="20"/>
        </w:rPr>
        <w:t>For our derivative contracts, we may enter into master netting, collateral and offset agreements with counterparties. These agreements provide us the ability to offset a counterparty’s rights and obligations, request additional collateral when necessary, o</w:t>
      </w:r>
      <w:r>
        <w:rPr>
          <w:rFonts w:eastAsia="Times New Roman"/>
          <w:color w:val="000000"/>
          <w:sz w:val="20"/>
          <w:szCs w:val="20"/>
        </w:rPr>
        <w:t xml:space="preserve">r liquidate the collateral in the event of counterparty default. We net the fair value of cash collateral paid or received against fair value amounts recognized for net derivative positions executed with the same counterparty under the same master netting </w:t>
      </w:r>
      <w:r>
        <w:rPr>
          <w:rFonts w:eastAsia="Times New Roman"/>
          <w:color w:val="000000"/>
          <w:sz w:val="20"/>
          <w:szCs w:val="20"/>
        </w:rPr>
        <w:t>or offset agreement.</w:t>
      </w:r>
    </w:p>
    <w:p w14:paraId="5296A75C" w14:textId="77777777" w:rsidR="00000000" w:rsidRDefault="000A3118">
      <w:pPr>
        <w:ind w:firstLine="360"/>
        <w:jc w:val="both"/>
        <w:rPr>
          <w:rFonts w:eastAsia="Times New Roman"/>
        </w:rPr>
      </w:pPr>
    </w:p>
    <w:p w14:paraId="789F59DF" w14:textId="77777777" w:rsidR="00000000" w:rsidRDefault="000A3118">
      <w:pPr>
        <w:ind w:firstLine="360"/>
        <w:jc w:val="both"/>
        <w:rPr>
          <w:rFonts w:eastAsia="Times New Roman"/>
        </w:rPr>
      </w:pPr>
      <w:r>
        <w:rPr>
          <w:rFonts w:eastAsia="Times New Roman"/>
          <w:color w:val="000000"/>
          <w:sz w:val="20"/>
          <w:szCs w:val="20"/>
        </w:rPr>
        <w:t xml:space="preserve">The following tables summarize those derivative balances subject to the right of offset as presented on our Consolidated Balance Sheets as of September 30, 2020 and </w:t>
      </w:r>
      <w:r>
        <w:rPr>
          <w:rFonts w:eastAsia="Times New Roman"/>
          <w:color w:val="000000"/>
          <w:sz w:val="20"/>
          <w:szCs w:val="20"/>
          <w:shd w:val="clear" w:color="auto" w:fill="FFFFFF"/>
        </w:rPr>
        <w:t>December 31, 2019</w:t>
      </w:r>
      <w:r>
        <w:rPr>
          <w:rFonts w:eastAsia="Times New Roman"/>
          <w:color w:val="000000"/>
          <w:sz w:val="20"/>
          <w:szCs w:val="20"/>
        </w:rPr>
        <w:t>. We have elected to offset the recognized fair val</w:t>
      </w:r>
      <w:r>
        <w:rPr>
          <w:rFonts w:eastAsia="Times New Roman"/>
          <w:color w:val="000000"/>
          <w:sz w:val="20"/>
          <w:szCs w:val="20"/>
        </w:rPr>
        <w:t>ue amounts for multiple derivative instruments executed with the same counterparty in our financial statements when a legal right of offset exists.</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062"/>
        <w:gridCol w:w="36"/>
        <w:gridCol w:w="36"/>
        <w:gridCol w:w="36"/>
        <w:gridCol w:w="36"/>
        <w:gridCol w:w="102"/>
        <w:gridCol w:w="796"/>
        <w:gridCol w:w="37"/>
        <w:gridCol w:w="36"/>
        <w:gridCol w:w="36"/>
        <w:gridCol w:w="36"/>
        <w:gridCol w:w="101"/>
        <w:gridCol w:w="796"/>
        <w:gridCol w:w="36"/>
        <w:gridCol w:w="36"/>
        <w:gridCol w:w="36"/>
        <w:gridCol w:w="36"/>
        <w:gridCol w:w="101"/>
        <w:gridCol w:w="735"/>
        <w:gridCol w:w="36"/>
        <w:gridCol w:w="36"/>
        <w:gridCol w:w="36"/>
        <w:gridCol w:w="36"/>
        <w:gridCol w:w="102"/>
        <w:gridCol w:w="785"/>
        <w:gridCol w:w="36"/>
        <w:gridCol w:w="36"/>
        <w:gridCol w:w="36"/>
        <w:gridCol w:w="36"/>
        <w:gridCol w:w="101"/>
        <w:gridCol w:w="797"/>
        <w:gridCol w:w="36"/>
        <w:gridCol w:w="36"/>
        <w:gridCol w:w="36"/>
        <w:gridCol w:w="36"/>
        <w:gridCol w:w="101"/>
        <w:gridCol w:w="751"/>
        <w:gridCol w:w="36"/>
      </w:tblGrid>
      <w:tr w:rsidR="00000000" w14:paraId="3B6CD764" w14:textId="77777777">
        <w:trPr>
          <w:divId w:val="1925800564"/>
          <w:jc w:val="center"/>
        </w:trPr>
        <w:tc>
          <w:tcPr>
            <w:tcW w:w="50" w:type="pct"/>
            <w:vAlign w:val="center"/>
            <w:hideMark/>
          </w:tcPr>
          <w:p w14:paraId="1447BDF8" w14:textId="77777777" w:rsidR="00000000" w:rsidRDefault="000A3118">
            <w:pPr>
              <w:ind w:firstLine="360"/>
              <w:jc w:val="both"/>
              <w:rPr>
                <w:rFonts w:eastAsia="Times New Roman"/>
              </w:rPr>
            </w:pPr>
          </w:p>
        </w:tc>
        <w:tc>
          <w:tcPr>
            <w:tcW w:w="1273" w:type="pct"/>
            <w:vAlign w:val="center"/>
            <w:hideMark/>
          </w:tcPr>
          <w:p w14:paraId="1F4F939C" w14:textId="77777777" w:rsidR="00000000" w:rsidRDefault="000A3118">
            <w:pPr>
              <w:rPr>
                <w:rFonts w:eastAsia="Times New Roman"/>
                <w:sz w:val="20"/>
                <w:szCs w:val="20"/>
              </w:rPr>
            </w:pPr>
          </w:p>
        </w:tc>
        <w:tc>
          <w:tcPr>
            <w:tcW w:w="5" w:type="pct"/>
            <w:vAlign w:val="center"/>
            <w:hideMark/>
          </w:tcPr>
          <w:p w14:paraId="4ADE8A35" w14:textId="77777777" w:rsidR="00000000" w:rsidRDefault="000A3118">
            <w:pPr>
              <w:rPr>
                <w:rFonts w:eastAsia="Times New Roman"/>
                <w:sz w:val="20"/>
                <w:szCs w:val="20"/>
              </w:rPr>
            </w:pPr>
          </w:p>
        </w:tc>
        <w:tc>
          <w:tcPr>
            <w:tcW w:w="5" w:type="pct"/>
            <w:vAlign w:val="center"/>
            <w:hideMark/>
          </w:tcPr>
          <w:p w14:paraId="5668F87B" w14:textId="77777777" w:rsidR="00000000" w:rsidRDefault="000A3118">
            <w:pPr>
              <w:rPr>
                <w:rFonts w:eastAsia="Times New Roman"/>
                <w:sz w:val="20"/>
                <w:szCs w:val="20"/>
              </w:rPr>
            </w:pPr>
          </w:p>
        </w:tc>
        <w:tc>
          <w:tcPr>
            <w:tcW w:w="26" w:type="pct"/>
            <w:vAlign w:val="center"/>
            <w:hideMark/>
          </w:tcPr>
          <w:p w14:paraId="14116FBC" w14:textId="77777777" w:rsidR="00000000" w:rsidRDefault="000A3118">
            <w:pPr>
              <w:rPr>
                <w:rFonts w:eastAsia="Times New Roman"/>
                <w:sz w:val="20"/>
                <w:szCs w:val="20"/>
              </w:rPr>
            </w:pPr>
          </w:p>
        </w:tc>
        <w:tc>
          <w:tcPr>
            <w:tcW w:w="5" w:type="pct"/>
            <w:vAlign w:val="center"/>
            <w:hideMark/>
          </w:tcPr>
          <w:p w14:paraId="7BF84C18" w14:textId="77777777" w:rsidR="00000000" w:rsidRDefault="000A3118">
            <w:pPr>
              <w:rPr>
                <w:rFonts w:eastAsia="Times New Roman"/>
                <w:sz w:val="20"/>
                <w:szCs w:val="20"/>
              </w:rPr>
            </w:pPr>
          </w:p>
        </w:tc>
        <w:tc>
          <w:tcPr>
            <w:tcW w:w="50" w:type="pct"/>
            <w:vAlign w:val="center"/>
            <w:hideMark/>
          </w:tcPr>
          <w:p w14:paraId="7F8C3BE3" w14:textId="77777777" w:rsidR="00000000" w:rsidRDefault="000A3118">
            <w:pPr>
              <w:rPr>
                <w:rFonts w:eastAsia="Times New Roman"/>
                <w:sz w:val="20"/>
                <w:szCs w:val="20"/>
              </w:rPr>
            </w:pPr>
          </w:p>
        </w:tc>
        <w:tc>
          <w:tcPr>
            <w:tcW w:w="532" w:type="pct"/>
            <w:vAlign w:val="center"/>
            <w:hideMark/>
          </w:tcPr>
          <w:p w14:paraId="41E26761" w14:textId="77777777" w:rsidR="00000000" w:rsidRDefault="000A3118">
            <w:pPr>
              <w:rPr>
                <w:rFonts w:eastAsia="Times New Roman"/>
                <w:sz w:val="20"/>
                <w:szCs w:val="20"/>
              </w:rPr>
            </w:pPr>
          </w:p>
        </w:tc>
        <w:tc>
          <w:tcPr>
            <w:tcW w:w="5" w:type="pct"/>
            <w:vAlign w:val="center"/>
            <w:hideMark/>
          </w:tcPr>
          <w:p w14:paraId="25A4CE14" w14:textId="77777777" w:rsidR="00000000" w:rsidRDefault="000A3118">
            <w:pPr>
              <w:rPr>
                <w:rFonts w:eastAsia="Times New Roman"/>
                <w:sz w:val="20"/>
                <w:szCs w:val="20"/>
              </w:rPr>
            </w:pPr>
          </w:p>
        </w:tc>
        <w:tc>
          <w:tcPr>
            <w:tcW w:w="5" w:type="pct"/>
            <w:vAlign w:val="center"/>
            <w:hideMark/>
          </w:tcPr>
          <w:p w14:paraId="3E82A6F0" w14:textId="77777777" w:rsidR="00000000" w:rsidRDefault="000A3118">
            <w:pPr>
              <w:rPr>
                <w:rFonts w:eastAsia="Times New Roman"/>
                <w:sz w:val="20"/>
                <w:szCs w:val="20"/>
              </w:rPr>
            </w:pPr>
          </w:p>
        </w:tc>
        <w:tc>
          <w:tcPr>
            <w:tcW w:w="26" w:type="pct"/>
            <w:vAlign w:val="center"/>
            <w:hideMark/>
          </w:tcPr>
          <w:p w14:paraId="354B1E94" w14:textId="77777777" w:rsidR="00000000" w:rsidRDefault="000A3118">
            <w:pPr>
              <w:rPr>
                <w:rFonts w:eastAsia="Times New Roman"/>
                <w:sz w:val="20"/>
                <w:szCs w:val="20"/>
              </w:rPr>
            </w:pPr>
          </w:p>
        </w:tc>
        <w:tc>
          <w:tcPr>
            <w:tcW w:w="5" w:type="pct"/>
            <w:vAlign w:val="center"/>
            <w:hideMark/>
          </w:tcPr>
          <w:p w14:paraId="1DE0E1FE" w14:textId="77777777" w:rsidR="00000000" w:rsidRDefault="000A3118">
            <w:pPr>
              <w:rPr>
                <w:rFonts w:eastAsia="Times New Roman"/>
                <w:sz w:val="20"/>
                <w:szCs w:val="20"/>
              </w:rPr>
            </w:pPr>
          </w:p>
        </w:tc>
        <w:tc>
          <w:tcPr>
            <w:tcW w:w="50" w:type="pct"/>
            <w:vAlign w:val="center"/>
            <w:hideMark/>
          </w:tcPr>
          <w:p w14:paraId="574A9906" w14:textId="77777777" w:rsidR="00000000" w:rsidRDefault="000A3118">
            <w:pPr>
              <w:rPr>
                <w:rFonts w:eastAsia="Times New Roman"/>
                <w:sz w:val="20"/>
                <w:szCs w:val="20"/>
              </w:rPr>
            </w:pPr>
          </w:p>
        </w:tc>
        <w:tc>
          <w:tcPr>
            <w:tcW w:w="532" w:type="pct"/>
            <w:vAlign w:val="center"/>
            <w:hideMark/>
          </w:tcPr>
          <w:p w14:paraId="63DD6D85" w14:textId="77777777" w:rsidR="00000000" w:rsidRDefault="000A3118">
            <w:pPr>
              <w:rPr>
                <w:rFonts w:eastAsia="Times New Roman"/>
                <w:sz w:val="20"/>
                <w:szCs w:val="20"/>
              </w:rPr>
            </w:pPr>
          </w:p>
        </w:tc>
        <w:tc>
          <w:tcPr>
            <w:tcW w:w="5" w:type="pct"/>
            <w:vAlign w:val="center"/>
            <w:hideMark/>
          </w:tcPr>
          <w:p w14:paraId="40BF6833" w14:textId="77777777" w:rsidR="00000000" w:rsidRDefault="000A3118">
            <w:pPr>
              <w:rPr>
                <w:rFonts w:eastAsia="Times New Roman"/>
                <w:sz w:val="20"/>
                <w:szCs w:val="20"/>
              </w:rPr>
            </w:pPr>
          </w:p>
        </w:tc>
        <w:tc>
          <w:tcPr>
            <w:tcW w:w="5" w:type="pct"/>
            <w:vAlign w:val="center"/>
            <w:hideMark/>
          </w:tcPr>
          <w:p w14:paraId="0A0D410D" w14:textId="77777777" w:rsidR="00000000" w:rsidRDefault="000A3118">
            <w:pPr>
              <w:rPr>
                <w:rFonts w:eastAsia="Times New Roman"/>
                <w:sz w:val="20"/>
                <w:szCs w:val="20"/>
              </w:rPr>
            </w:pPr>
          </w:p>
        </w:tc>
        <w:tc>
          <w:tcPr>
            <w:tcW w:w="26" w:type="pct"/>
            <w:vAlign w:val="center"/>
            <w:hideMark/>
          </w:tcPr>
          <w:p w14:paraId="39853F01" w14:textId="77777777" w:rsidR="00000000" w:rsidRDefault="000A3118">
            <w:pPr>
              <w:rPr>
                <w:rFonts w:eastAsia="Times New Roman"/>
                <w:sz w:val="20"/>
                <w:szCs w:val="20"/>
              </w:rPr>
            </w:pPr>
          </w:p>
        </w:tc>
        <w:tc>
          <w:tcPr>
            <w:tcW w:w="5" w:type="pct"/>
            <w:vAlign w:val="center"/>
            <w:hideMark/>
          </w:tcPr>
          <w:p w14:paraId="47CED471" w14:textId="77777777" w:rsidR="00000000" w:rsidRDefault="000A3118">
            <w:pPr>
              <w:rPr>
                <w:rFonts w:eastAsia="Times New Roman"/>
                <w:sz w:val="20"/>
                <w:szCs w:val="20"/>
              </w:rPr>
            </w:pPr>
          </w:p>
        </w:tc>
        <w:tc>
          <w:tcPr>
            <w:tcW w:w="50" w:type="pct"/>
            <w:vAlign w:val="center"/>
            <w:hideMark/>
          </w:tcPr>
          <w:p w14:paraId="64B8CD0A" w14:textId="77777777" w:rsidR="00000000" w:rsidRDefault="000A3118">
            <w:pPr>
              <w:rPr>
                <w:rFonts w:eastAsia="Times New Roman"/>
                <w:sz w:val="20"/>
                <w:szCs w:val="20"/>
              </w:rPr>
            </w:pPr>
          </w:p>
        </w:tc>
        <w:tc>
          <w:tcPr>
            <w:tcW w:w="495" w:type="pct"/>
            <w:vAlign w:val="center"/>
            <w:hideMark/>
          </w:tcPr>
          <w:p w14:paraId="209ED83E" w14:textId="77777777" w:rsidR="00000000" w:rsidRDefault="000A3118">
            <w:pPr>
              <w:rPr>
                <w:rFonts w:eastAsia="Times New Roman"/>
                <w:sz w:val="20"/>
                <w:szCs w:val="20"/>
              </w:rPr>
            </w:pPr>
          </w:p>
        </w:tc>
        <w:tc>
          <w:tcPr>
            <w:tcW w:w="5" w:type="pct"/>
            <w:vAlign w:val="center"/>
            <w:hideMark/>
          </w:tcPr>
          <w:p w14:paraId="08DA93AD" w14:textId="77777777" w:rsidR="00000000" w:rsidRDefault="000A3118">
            <w:pPr>
              <w:rPr>
                <w:rFonts w:eastAsia="Times New Roman"/>
                <w:sz w:val="20"/>
                <w:szCs w:val="20"/>
              </w:rPr>
            </w:pPr>
          </w:p>
        </w:tc>
        <w:tc>
          <w:tcPr>
            <w:tcW w:w="5" w:type="pct"/>
            <w:vAlign w:val="center"/>
            <w:hideMark/>
          </w:tcPr>
          <w:p w14:paraId="445FFC75" w14:textId="77777777" w:rsidR="00000000" w:rsidRDefault="000A3118">
            <w:pPr>
              <w:rPr>
                <w:rFonts w:eastAsia="Times New Roman"/>
                <w:sz w:val="20"/>
                <w:szCs w:val="20"/>
              </w:rPr>
            </w:pPr>
          </w:p>
        </w:tc>
        <w:tc>
          <w:tcPr>
            <w:tcW w:w="26" w:type="pct"/>
            <w:vAlign w:val="center"/>
            <w:hideMark/>
          </w:tcPr>
          <w:p w14:paraId="3164FF94" w14:textId="77777777" w:rsidR="00000000" w:rsidRDefault="000A3118">
            <w:pPr>
              <w:rPr>
                <w:rFonts w:eastAsia="Times New Roman"/>
                <w:sz w:val="20"/>
                <w:szCs w:val="20"/>
              </w:rPr>
            </w:pPr>
          </w:p>
        </w:tc>
        <w:tc>
          <w:tcPr>
            <w:tcW w:w="5" w:type="pct"/>
            <w:vAlign w:val="center"/>
            <w:hideMark/>
          </w:tcPr>
          <w:p w14:paraId="0AAD99E6" w14:textId="77777777" w:rsidR="00000000" w:rsidRDefault="000A3118">
            <w:pPr>
              <w:rPr>
                <w:rFonts w:eastAsia="Times New Roman"/>
                <w:sz w:val="20"/>
                <w:szCs w:val="20"/>
              </w:rPr>
            </w:pPr>
          </w:p>
        </w:tc>
        <w:tc>
          <w:tcPr>
            <w:tcW w:w="50" w:type="pct"/>
            <w:vAlign w:val="center"/>
            <w:hideMark/>
          </w:tcPr>
          <w:p w14:paraId="40F5CAD2" w14:textId="77777777" w:rsidR="00000000" w:rsidRDefault="000A3118">
            <w:pPr>
              <w:rPr>
                <w:rFonts w:eastAsia="Times New Roman"/>
                <w:sz w:val="20"/>
                <w:szCs w:val="20"/>
              </w:rPr>
            </w:pPr>
          </w:p>
        </w:tc>
        <w:tc>
          <w:tcPr>
            <w:tcW w:w="525" w:type="pct"/>
            <w:vAlign w:val="center"/>
            <w:hideMark/>
          </w:tcPr>
          <w:p w14:paraId="3072B1F5" w14:textId="77777777" w:rsidR="00000000" w:rsidRDefault="000A3118">
            <w:pPr>
              <w:rPr>
                <w:rFonts w:eastAsia="Times New Roman"/>
                <w:sz w:val="20"/>
                <w:szCs w:val="20"/>
              </w:rPr>
            </w:pPr>
          </w:p>
        </w:tc>
        <w:tc>
          <w:tcPr>
            <w:tcW w:w="5" w:type="pct"/>
            <w:vAlign w:val="center"/>
            <w:hideMark/>
          </w:tcPr>
          <w:p w14:paraId="3B21CB69" w14:textId="77777777" w:rsidR="00000000" w:rsidRDefault="000A3118">
            <w:pPr>
              <w:rPr>
                <w:rFonts w:eastAsia="Times New Roman"/>
                <w:sz w:val="20"/>
                <w:szCs w:val="20"/>
              </w:rPr>
            </w:pPr>
          </w:p>
        </w:tc>
        <w:tc>
          <w:tcPr>
            <w:tcW w:w="5" w:type="pct"/>
            <w:vAlign w:val="center"/>
            <w:hideMark/>
          </w:tcPr>
          <w:p w14:paraId="1A8558F5" w14:textId="77777777" w:rsidR="00000000" w:rsidRDefault="000A3118">
            <w:pPr>
              <w:rPr>
                <w:rFonts w:eastAsia="Times New Roman"/>
                <w:sz w:val="20"/>
                <w:szCs w:val="20"/>
              </w:rPr>
            </w:pPr>
          </w:p>
        </w:tc>
        <w:tc>
          <w:tcPr>
            <w:tcW w:w="26" w:type="pct"/>
            <w:vAlign w:val="center"/>
            <w:hideMark/>
          </w:tcPr>
          <w:p w14:paraId="08B2725E" w14:textId="77777777" w:rsidR="00000000" w:rsidRDefault="000A3118">
            <w:pPr>
              <w:rPr>
                <w:rFonts w:eastAsia="Times New Roman"/>
                <w:sz w:val="20"/>
                <w:szCs w:val="20"/>
              </w:rPr>
            </w:pPr>
          </w:p>
        </w:tc>
        <w:tc>
          <w:tcPr>
            <w:tcW w:w="5" w:type="pct"/>
            <w:vAlign w:val="center"/>
            <w:hideMark/>
          </w:tcPr>
          <w:p w14:paraId="40DA3EF0" w14:textId="77777777" w:rsidR="00000000" w:rsidRDefault="000A3118">
            <w:pPr>
              <w:rPr>
                <w:rFonts w:eastAsia="Times New Roman"/>
                <w:sz w:val="20"/>
                <w:szCs w:val="20"/>
              </w:rPr>
            </w:pPr>
          </w:p>
        </w:tc>
        <w:tc>
          <w:tcPr>
            <w:tcW w:w="50" w:type="pct"/>
            <w:vAlign w:val="center"/>
            <w:hideMark/>
          </w:tcPr>
          <w:p w14:paraId="0FAD5F46" w14:textId="77777777" w:rsidR="00000000" w:rsidRDefault="000A3118">
            <w:pPr>
              <w:rPr>
                <w:rFonts w:eastAsia="Times New Roman"/>
                <w:sz w:val="20"/>
                <w:szCs w:val="20"/>
              </w:rPr>
            </w:pPr>
          </w:p>
        </w:tc>
        <w:tc>
          <w:tcPr>
            <w:tcW w:w="532" w:type="pct"/>
            <w:vAlign w:val="center"/>
            <w:hideMark/>
          </w:tcPr>
          <w:p w14:paraId="092CAAFE" w14:textId="77777777" w:rsidR="00000000" w:rsidRDefault="000A3118">
            <w:pPr>
              <w:rPr>
                <w:rFonts w:eastAsia="Times New Roman"/>
                <w:sz w:val="20"/>
                <w:szCs w:val="20"/>
              </w:rPr>
            </w:pPr>
          </w:p>
        </w:tc>
        <w:tc>
          <w:tcPr>
            <w:tcW w:w="5" w:type="pct"/>
            <w:vAlign w:val="center"/>
            <w:hideMark/>
          </w:tcPr>
          <w:p w14:paraId="11A88C59" w14:textId="77777777" w:rsidR="00000000" w:rsidRDefault="000A3118">
            <w:pPr>
              <w:rPr>
                <w:rFonts w:eastAsia="Times New Roman"/>
                <w:sz w:val="20"/>
                <w:szCs w:val="20"/>
              </w:rPr>
            </w:pPr>
          </w:p>
        </w:tc>
        <w:tc>
          <w:tcPr>
            <w:tcW w:w="5" w:type="pct"/>
            <w:vAlign w:val="center"/>
            <w:hideMark/>
          </w:tcPr>
          <w:p w14:paraId="0A1CDD0B" w14:textId="77777777" w:rsidR="00000000" w:rsidRDefault="000A3118">
            <w:pPr>
              <w:rPr>
                <w:rFonts w:eastAsia="Times New Roman"/>
                <w:sz w:val="20"/>
                <w:szCs w:val="20"/>
              </w:rPr>
            </w:pPr>
          </w:p>
        </w:tc>
        <w:tc>
          <w:tcPr>
            <w:tcW w:w="26" w:type="pct"/>
            <w:vAlign w:val="center"/>
            <w:hideMark/>
          </w:tcPr>
          <w:p w14:paraId="1058B701" w14:textId="77777777" w:rsidR="00000000" w:rsidRDefault="000A3118">
            <w:pPr>
              <w:rPr>
                <w:rFonts w:eastAsia="Times New Roman"/>
                <w:sz w:val="20"/>
                <w:szCs w:val="20"/>
              </w:rPr>
            </w:pPr>
          </w:p>
        </w:tc>
        <w:tc>
          <w:tcPr>
            <w:tcW w:w="5" w:type="pct"/>
            <w:vAlign w:val="center"/>
            <w:hideMark/>
          </w:tcPr>
          <w:p w14:paraId="36716A32" w14:textId="77777777" w:rsidR="00000000" w:rsidRDefault="000A3118">
            <w:pPr>
              <w:rPr>
                <w:rFonts w:eastAsia="Times New Roman"/>
                <w:sz w:val="20"/>
                <w:szCs w:val="20"/>
              </w:rPr>
            </w:pPr>
          </w:p>
        </w:tc>
        <w:tc>
          <w:tcPr>
            <w:tcW w:w="50" w:type="pct"/>
            <w:vAlign w:val="center"/>
            <w:hideMark/>
          </w:tcPr>
          <w:p w14:paraId="3803C8EC" w14:textId="77777777" w:rsidR="00000000" w:rsidRDefault="000A3118">
            <w:pPr>
              <w:rPr>
                <w:rFonts w:eastAsia="Times New Roman"/>
                <w:sz w:val="20"/>
                <w:szCs w:val="20"/>
              </w:rPr>
            </w:pPr>
          </w:p>
        </w:tc>
        <w:tc>
          <w:tcPr>
            <w:tcW w:w="503" w:type="pct"/>
            <w:vAlign w:val="center"/>
            <w:hideMark/>
          </w:tcPr>
          <w:p w14:paraId="043FC787" w14:textId="77777777" w:rsidR="00000000" w:rsidRDefault="000A3118">
            <w:pPr>
              <w:rPr>
                <w:rFonts w:eastAsia="Times New Roman"/>
                <w:sz w:val="20"/>
                <w:szCs w:val="20"/>
              </w:rPr>
            </w:pPr>
          </w:p>
        </w:tc>
        <w:tc>
          <w:tcPr>
            <w:tcW w:w="5" w:type="pct"/>
            <w:vAlign w:val="center"/>
            <w:hideMark/>
          </w:tcPr>
          <w:p w14:paraId="1DD62597" w14:textId="77777777" w:rsidR="00000000" w:rsidRDefault="000A3118">
            <w:pPr>
              <w:rPr>
                <w:rFonts w:eastAsia="Times New Roman"/>
                <w:sz w:val="20"/>
                <w:szCs w:val="20"/>
              </w:rPr>
            </w:pPr>
          </w:p>
        </w:tc>
      </w:tr>
      <w:tr w:rsidR="00000000" w14:paraId="355DFF21" w14:textId="77777777">
        <w:trPr>
          <w:divId w:val="1925800564"/>
          <w:jc w:val="center"/>
        </w:trPr>
        <w:tc>
          <w:tcPr>
            <w:tcW w:w="0" w:type="auto"/>
            <w:gridSpan w:val="3"/>
            <w:tcMar>
              <w:top w:w="0" w:type="dxa"/>
              <w:left w:w="20" w:type="dxa"/>
              <w:bottom w:w="0" w:type="dxa"/>
              <w:right w:w="20" w:type="dxa"/>
            </w:tcMar>
            <w:vAlign w:val="center"/>
            <w:hideMark/>
          </w:tcPr>
          <w:p w14:paraId="598FE062" w14:textId="77777777" w:rsidR="00000000" w:rsidRDefault="000A3118">
            <w:pPr>
              <w:rPr>
                <w:rFonts w:eastAsia="Times New Roman"/>
                <w:sz w:val="20"/>
                <w:szCs w:val="20"/>
              </w:rPr>
            </w:pPr>
          </w:p>
        </w:tc>
        <w:tc>
          <w:tcPr>
            <w:tcW w:w="0" w:type="auto"/>
            <w:gridSpan w:val="36"/>
            <w:tcMar>
              <w:top w:w="30" w:type="dxa"/>
              <w:left w:w="20" w:type="dxa"/>
              <w:bottom w:w="30" w:type="dxa"/>
              <w:right w:w="20" w:type="dxa"/>
            </w:tcMar>
            <w:hideMark/>
          </w:tcPr>
          <w:p w14:paraId="7F9FED42" w14:textId="77777777" w:rsidR="00000000" w:rsidRDefault="000A3118">
            <w:pPr>
              <w:jc w:val="center"/>
              <w:rPr>
                <w:rFonts w:eastAsia="Times New Roman"/>
              </w:rPr>
            </w:pPr>
            <w:r>
              <w:rPr>
                <w:rFonts w:eastAsia="Times New Roman"/>
                <w:b/>
                <w:bCs/>
                <w:color w:val="000000"/>
                <w:sz w:val="16"/>
                <w:szCs w:val="16"/>
              </w:rPr>
              <w:t>Fair Value as of September 30, 2020</w:t>
            </w:r>
          </w:p>
        </w:tc>
      </w:tr>
      <w:tr w:rsidR="00000000" w14:paraId="60DA3440" w14:textId="77777777">
        <w:trPr>
          <w:divId w:val="1925800564"/>
          <w:jc w:val="center"/>
        </w:trPr>
        <w:tc>
          <w:tcPr>
            <w:tcW w:w="0" w:type="auto"/>
            <w:gridSpan w:val="3"/>
            <w:tcMar>
              <w:top w:w="0" w:type="dxa"/>
              <w:left w:w="20" w:type="dxa"/>
              <w:bottom w:w="0" w:type="dxa"/>
              <w:right w:w="20" w:type="dxa"/>
            </w:tcMar>
            <w:vAlign w:val="center"/>
            <w:hideMark/>
          </w:tcPr>
          <w:p w14:paraId="72115C18" w14:textId="77777777" w:rsidR="00000000" w:rsidRDefault="000A311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F06ED05"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BFACA9"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4FB30D"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94C386"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1DE8A9"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B737456"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42D206"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7FEE4C"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BE5A357"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43B81041" w14:textId="77777777" w:rsidR="00000000" w:rsidRDefault="000A3118">
            <w:pPr>
              <w:jc w:val="center"/>
              <w:rPr>
                <w:rFonts w:eastAsia="Times New Roman"/>
              </w:rPr>
            </w:pPr>
            <w:r>
              <w:rPr>
                <w:rFonts w:eastAsia="Times New Roman"/>
                <w:b/>
                <w:bCs/>
                <w:color w:val="000000"/>
                <w:sz w:val="16"/>
                <w:szCs w:val="16"/>
              </w:rPr>
              <w:t>Gross Amounts</w:t>
            </w:r>
          </w:p>
        </w:tc>
        <w:tc>
          <w:tcPr>
            <w:tcW w:w="0" w:type="auto"/>
            <w:gridSpan w:val="3"/>
            <w:tcBorders>
              <w:top w:val="single" w:sz="8" w:space="0" w:color="000000"/>
            </w:tcBorders>
            <w:tcMar>
              <w:top w:w="0" w:type="dxa"/>
              <w:left w:w="20" w:type="dxa"/>
              <w:bottom w:w="0" w:type="dxa"/>
              <w:right w:w="20" w:type="dxa"/>
            </w:tcMar>
            <w:vAlign w:val="center"/>
            <w:hideMark/>
          </w:tcPr>
          <w:p w14:paraId="07546AAE" w14:textId="77777777" w:rsidR="00000000" w:rsidRDefault="000A311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C8D3940" w14:textId="77777777" w:rsidR="00000000" w:rsidRDefault="000A3118">
            <w:pPr>
              <w:rPr>
                <w:rFonts w:eastAsia="Times New Roman"/>
                <w:sz w:val="20"/>
                <w:szCs w:val="20"/>
              </w:rPr>
            </w:pPr>
          </w:p>
        </w:tc>
      </w:tr>
      <w:tr w:rsidR="00000000" w14:paraId="33D0ED03" w14:textId="77777777">
        <w:trPr>
          <w:divId w:val="1925800564"/>
          <w:jc w:val="center"/>
        </w:trPr>
        <w:tc>
          <w:tcPr>
            <w:tcW w:w="0" w:type="auto"/>
            <w:gridSpan w:val="3"/>
            <w:tcMar>
              <w:top w:w="0" w:type="dxa"/>
              <w:left w:w="20" w:type="dxa"/>
              <w:bottom w:w="0" w:type="dxa"/>
              <w:right w:w="20" w:type="dxa"/>
            </w:tcMar>
            <w:vAlign w:val="center"/>
            <w:hideMark/>
          </w:tcPr>
          <w:p w14:paraId="2E135996"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37609D45"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hideMark/>
          </w:tcPr>
          <w:p w14:paraId="107E2860" w14:textId="77777777" w:rsidR="00000000" w:rsidRDefault="000A3118">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14:paraId="52DFA937"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696B819D" w14:textId="77777777" w:rsidR="00000000" w:rsidRDefault="000A3118">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14:paraId="5C584DAF"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42A910C2" w14:textId="77777777" w:rsidR="00000000" w:rsidRDefault="000A3118">
            <w:pPr>
              <w:jc w:val="center"/>
              <w:rPr>
                <w:rFonts w:eastAsia="Times New Roman"/>
              </w:rPr>
            </w:pPr>
            <w:r>
              <w:rPr>
                <w:rFonts w:eastAsia="Times New Roman"/>
                <w:b/>
                <w:bCs/>
                <w:color w:val="000000"/>
                <w:sz w:val="16"/>
                <w:szCs w:val="16"/>
              </w:rPr>
              <w:t>Net Amounts</w:t>
            </w:r>
          </w:p>
        </w:tc>
        <w:tc>
          <w:tcPr>
            <w:tcW w:w="0" w:type="auto"/>
            <w:gridSpan w:val="3"/>
            <w:tcMar>
              <w:top w:w="0" w:type="dxa"/>
              <w:left w:w="20" w:type="dxa"/>
              <w:bottom w:w="0" w:type="dxa"/>
              <w:right w:w="20" w:type="dxa"/>
            </w:tcMar>
            <w:vAlign w:val="center"/>
            <w:hideMark/>
          </w:tcPr>
          <w:p w14:paraId="6AF4C8AD"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4BC38BC2" w14:textId="77777777" w:rsidR="00000000" w:rsidRDefault="000A3118">
            <w:pPr>
              <w:jc w:val="center"/>
              <w:rPr>
                <w:rFonts w:eastAsia="Times New Roman"/>
              </w:rPr>
            </w:pPr>
            <w:r>
              <w:rPr>
                <w:rFonts w:eastAsia="Times New Roman"/>
                <w:b/>
                <w:bCs/>
                <w:color w:val="000000"/>
                <w:sz w:val="16"/>
                <w:szCs w:val="16"/>
              </w:rPr>
              <w:t>Cash</w:t>
            </w:r>
          </w:p>
        </w:tc>
        <w:tc>
          <w:tcPr>
            <w:tcW w:w="0" w:type="auto"/>
            <w:gridSpan w:val="3"/>
            <w:tcMar>
              <w:top w:w="0" w:type="dxa"/>
              <w:left w:w="20" w:type="dxa"/>
              <w:bottom w:w="0" w:type="dxa"/>
              <w:right w:w="20" w:type="dxa"/>
            </w:tcMar>
            <w:vAlign w:val="center"/>
            <w:hideMark/>
          </w:tcPr>
          <w:p w14:paraId="27D57582"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4309C282" w14:textId="77777777" w:rsidR="00000000" w:rsidRDefault="000A3118">
            <w:pPr>
              <w:jc w:val="center"/>
              <w:rPr>
                <w:rFonts w:eastAsia="Times New Roman"/>
              </w:rPr>
            </w:pPr>
            <w:r>
              <w:rPr>
                <w:rFonts w:eastAsia="Times New Roman"/>
                <w:b/>
                <w:bCs/>
                <w:color w:val="000000"/>
                <w:sz w:val="16"/>
                <w:szCs w:val="16"/>
              </w:rPr>
              <w:t> without</w:t>
            </w:r>
          </w:p>
        </w:tc>
        <w:tc>
          <w:tcPr>
            <w:tcW w:w="0" w:type="auto"/>
            <w:gridSpan w:val="3"/>
            <w:tcMar>
              <w:top w:w="0" w:type="dxa"/>
              <w:left w:w="20" w:type="dxa"/>
              <w:bottom w:w="0" w:type="dxa"/>
              <w:right w:w="20" w:type="dxa"/>
            </w:tcMar>
            <w:vAlign w:val="center"/>
            <w:hideMark/>
          </w:tcPr>
          <w:p w14:paraId="6877DD99"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597D37C2" w14:textId="77777777" w:rsidR="00000000" w:rsidRDefault="000A3118">
            <w:pPr>
              <w:rPr>
                <w:rFonts w:eastAsia="Times New Roman"/>
                <w:sz w:val="20"/>
                <w:szCs w:val="20"/>
              </w:rPr>
            </w:pPr>
          </w:p>
        </w:tc>
      </w:tr>
      <w:tr w:rsidR="00000000" w14:paraId="71CA418E" w14:textId="77777777">
        <w:trPr>
          <w:divId w:val="1925800564"/>
          <w:jc w:val="center"/>
        </w:trPr>
        <w:tc>
          <w:tcPr>
            <w:tcW w:w="0" w:type="auto"/>
            <w:gridSpan w:val="3"/>
            <w:tcMar>
              <w:top w:w="0" w:type="dxa"/>
              <w:left w:w="20" w:type="dxa"/>
              <w:bottom w:w="0" w:type="dxa"/>
              <w:right w:w="20" w:type="dxa"/>
            </w:tcMar>
            <w:vAlign w:val="center"/>
            <w:hideMark/>
          </w:tcPr>
          <w:p w14:paraId="71215644"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26F7682A"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hideMark/>
          </w:tcPr>
          <w:p w14:paraId="7C63D7AA" w14:textId="77777777" w:rsidR="00000000" w:rsidRDefault="000A3118">
            <w:pPr>
              <w:jc w:val="center"/>
              <w:rPr>
                <w:rFonts w:eastAsia="Times New Roman"/>
              </w:rPr>
            </w:pPr>
            <w:r>
              <w:rPr>
                <w:rFonts w:eastAsia="Times New Roman"/>
                <w:b/>
                <w:bCs/>
                <w:color w:val="000000"/>
                <w:sz w:val="16"/>
                <w:szCs w:val="16"/>
              </w:rPr>
              <w:t>Recognized</w:t>
            </w:r>
          </w:p>
        </w:tc>
        <w:tc>
          <w:tcPr>
            <w:tcW w:w="0" w:type="auto"/>
            <w:gridSpan w:val="3"/>
            <w:tcMar>
              <w:top w:w="0" w:type="dxa"/>
              <w:left w:w="20" w:type="dxa"/>
              <w:bottom w:w="0" w:type="dxa"/>
              <w:right w:w="20" w:type="dxa"/>
            </w:tcMar>
            <w:vAlign w:val="center"/>
            <w:hideMark/>
          </w:tcPr>
          <w:p w14:paraId="1D558EBE"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7651DDC5" w14:textId="77777777" w:rsidR="00000000" w:rsidRDefault="000A3118">
            <w:pPr>
              <w:jc w:val="center"/>
              <w:rPr>
                <w:rFonts w:eastAsia="Times New Roman"/>
              </w:rPr>
            </w:pPr>
            <w:r>
              <w:rPr>
                <w:rFonts w:eastAsia="Times New Roman"/>
                <w:b/>
                <w:bCs/>
                <w:color w:val="000000"/>
                <w:sz w:val="16"/>
                <w:szCs w:val="16"/>
              </w:rPr>
              <w:t>Offset</w:t>
            </w:r>
          </w:p>
        </w:tc>
        <w:tc>
          <w:tcPr>
            <w:tcW w:w="0" w:type="auto"/>
            <w:gridSpan w:val="3"/>
            <w:tcMar>
              <w:top w:w="0" w:type="dxa"/>
              <w:left w:w="20" w:type="dxa"/>
              <w:bottom w:w="0" w:type="dxa"/>
              <w:right w:w="20" w:type="dxa"/>
            </w:tcMar>
            <w:vAlign w:val="center"/>
            <w:hideMark/>
          </w:tcPr>
          <w:p w14:paraId="3DB5CB19"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023D53BB" w14:textId="77777777" w:rsidR="00000000" w:rsidRDefault="000A3118">
            <w:pPr>
              <w:jc w:val="center"/>
              <w:rPr>
                <w:rFonts w:eastAsia="Times New Roman"/>
              </w:rPr>
            </w:pPr>
            <w:r>
              <w:rPr>
                <w:rFonts w:eastAsia="Times New Roman"/>
                <w:b/>
                <w:bCs/>
                <w:color w:val="000000"/>
                <w:sz w:val="16"/>
                <w:szCs w:val="16"/>
              </w:rPr>
              <w:t>Presented</w:t>
            </w:r>
          </w:p>
        </w:tc>
        <w:tc>
          <w:tcPr>
            <w:tcW w:w="0" w:type="auto"/>
            <w:gridSpan w:val="3"/>
            <w:tcMar>
              <w:top w:w="0" w:type="dxa"/>
              <w:left w:w="20" w:type="dxa"/>
              <w:bottom w:w="0" w:type="dxa"/>
              <w:right w:w="20" w:type="dxa"/>
            </w:tcMar>
            <w:vAlign w:val="center"/>
            <w:hideMark/>
          </w:tcPr>
          <w:p w14:paraId="05C1D1A7"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7794A74B" w14:textId="77777777" w:rsidR="00000000" w:rsidRDefault="000A3118">
            <w:pPr>
              <w:jc w:val="center"/>
              <w:rPr>
                <w:rFonts w:eastAsia="Times New Roman"/>
              </w:rPr>
            </w:pPr>
            <w:r>
              <w:rPr>
                <w:rFonts w:eastAsia="Times New Roman"/>
                <w:b/>
                <w:bCs/>
                <w:color w:val="000000"/>
                <w:sz w:val="16"/>
                <w:szCs w:val="16"/>
              </w:rPr>
              <w:t>Collateral</w:t>
            </w:r>
          </w:p>
        </w:tc>
        <w:tc>
          <w:tcPr>
            <w:tcW w:w="0" w:type="auto"/>
            <w:gridSpan w:val="3"/>
            <w:tcMar>
              <w:top w:w="0" w:type="dxa"/>
              <w:left w:w="20" w:type="dxa"/>
              <w:bottom w:w="0" w:type="dxa"/>
              <w:right w:w="20" w:type="dxa"/>
            </w:tcMar>
            <w:vAlign w:val="center"/>
            <w:hideMark/>
          </w:tcPr>
          <w:p w14:paraId="1CE2DEDA"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468C0A11" w14:textId="77777777" w:rsidR="00000000" w:rsidRDefault="000A3118">
            <w:pPr>
              <w:jc w:val="center"/>
              <w:rPr>
                <w:rFonts w:eastAsia="Times New Roman"/>
              </w:rPr>
            </w:pPr>
            <w:r>
              <w:rPr>
                <w:rFonts w:eastAsia="Times New Roman"/>
                <w:b/>
                <w:bCs/>
                <w:color w:val="000000"/>
                <w:sz w:val="16"/>
                <w:szCs w:val="16"/>
              </w:rPr>
              <w:t>Right of Offset</w:t>
            </w:r>
          </w:p>
        </w:tc>
        <w:tc>
          <w:tcPr>
            <w:tcW w:w="0" w:type="auto"/>
            <w:gridSpan w:val="3"/>
            <w:tcMar>
              <w:top w:w="0" w:type="dxa"/>
              <w:left w:w="20" w:type="dxa"/>
              <w:bottom w:w="0" w:type="dxa"/>
              <w:right w:w="20" w:type="dxa"/>
            </w:tcMar>
            <w:vAlign w:val="center"/>
            <w:hideMark/>
          </w:tcPr>
          <w:p w14:paraId="056B02D9"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7558FC0C" w14:textId="77777777" w:rsidR="00000000" w:rsidRDefault="000A3118">
            <w:pPr>
              <w:jc w:val="center"/>
              <w:rPr>
                <w:rFonts w:eastAsia="Times New Roman"/>
              </w:rPr>
            </w:pPr>
            <w:r>
              <w:rPr>
                <w:rFonts w:eastAsia="Times New Roman"/>
                <w:b/>
                <w:bCs/>
                <w:color w:val="000000"/>
                <w:sz w:val="16"/>
                <w:szCs w:val="16"/>
              </w:rPr>
              <w:t>Net Amounts</w:t>
            </w:r>
          </w:p>
        </w:tc>
      </w:tr>
      <w:tr w:rsidR="00000000" w14:paraId="48AF4113" w14:textId="77777777">
        <w:trPr>
          <w:divId w:val="1925800564"/>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7741E5AF" w14:textId="77777777" w:rsidR="00000000" w:rsidRDefault="000A3118">
            <w:pPr>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156994"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80281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8F8FBD"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8A3049"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6B2633"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A56FE2"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C20686"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80F8D9"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D7A98D"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903E7F"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BA516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D27A6A" w14:textId="77777777" w:rsidR="00000000" w:rsidRDefault="000A3118">
            <w:pPr>
              <w:rPr>
                <w:rFonts w:eastAsia="Times New Roman"/>
                <w:sz w:val="20"/>
                <w:szCs w:val="20"/>
              </w:rPr>
            </w:pPr>
          </w:p>
        </w:tc>
      </w:tr>
      <w:tr w:rsidR="00000000" w14:paraId="0F47454F" w14:textId="77777777">
        <w:trPr>
          <w:divId w:val="1925800564"/>
          <w:jc w:val="center"/>
        </w:trPr>
        <w:tc>
          <w:tcPr>
            <w:tcW w:w="0" w:type="auto"/>
            <w:gridSpan w:val="3"/>
            <w:shd w:val="clear" w:color="auto" w:fill="FFFFFF"/>
            <w:tcMar>
              <w:top w:w="30" w:type="dxa"/>
              <w:left w:w="20" w:type="dxa"/>
              <w:bottom w:w="30" w:type="dxa"/>
              <w:right w:w="20" w:type="dxa"/>
            </w:tcMar>
            <w:hideMark/>
          </w:tcPr>
          <w:p w14:paraId="06604674" w14:textId="77777777" w:rsidR="00000000" w:rsidRDefault="000A3118">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14:paraId="367B8DBC"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3CF9249D"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CFE612B" w14:textId="77777777" w:rsidR="00000000" w:rsidRDefault="000A3118">
            <w:pPr>
              <w:jc w:val="right"/>
              <w:rPr>
                <w:rFonts w:eastAsia="Times New Roman"/>
              </w:rPr>
            </w:pPr>
            <w:r>
              <w:rPr>
                <w:rFonts w:eastAsia="Times New Roman"/>
                <w:color w:val="000000"/>
                <w:sz w:val="16"/>
                <w:szCs w:val="16"/>
              </w:rPr>
              <w:t>443.8 </w:t>
            </w:r>
          </w:p>
        </w:tc>
        <w:tc>
          <w:tcPr>
            <w:tcW w:w="0" w:type="auto"/>
            <w:shd w:val="clear" w:color="auto" w:fill="FFFFFF"/>
            <w:tcMar>
              <w:top w:w="30" w:type="dxa"/>
              <w:left w:w="0" w:type="dxa"/>
              <w:bottom w:w="30" w:type="dxa"/>
              <w:right w:w="20" w:type="dxa"/>
            </w:tcMar>
            <w:vAlign w:val="bottom"/>
            <w:hideMark/>
          </w:tcPr>
          <w:p w14:paraId="05E2891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B0E781"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AE1EA6"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9DA9788" w14:textId="77777777" w:rsidR="00000000" w:rsidRDefault="000A3118">
            <w:pPr>
              <w:jc w:val="right"/>
              <w:rPr>
                <w:rFonts w:eastAsia="Times New Roman"/>
              </w:rPr>
            </w:pPr>
            <w:r>
              <w:rPr>
                <w:rFonts w:eastAsia="Times New Roman"/>
                <w:color w:val="000000"/>
                <w:sz w:val="16"/>
                <w:szCs w:val="16"/>
              </w:rPr>
              <w:t>324.3 </w:t>
            </w:r>
          </w:p>
        </w:tc>
        <w:tc>
          <w:tcPr>
            <w:tcW w:w="0" w:type="auto"/>
            <w:shd w:val="clear" w:color="auto" w:fill="FFFFFF"/>
            <w:tcMar>
              <w:top w:w="30" w:type="dxa"/>
              <w:left w:w="0" w:type="dxa"/>
              <w:bottom w:w="30" w:type="dxa"/>
              <w:right w:w="20" w:type="dxa"/>
            </w:tcMar>
            <w:vAlign w:val="bottom"/>
            <w:hideMark/>
          </w:tcPr>
          <w:p w14:paraId="21F3EBF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10980"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C63D02"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71F3079" w14:textId="77777777" w:rsidR="00000000" w:rsidRDefault="000A3118">
            <w:pPr>
              <w:jc w:val="right"/>
              <w:rPr>
                <w:rFonts w:eastAsia="Times New Roman"/>
              </w:rPr>
            </w:pPr>
            <w:r>
              <w:rPr>
                <w:rFonts w:eastAsia="Times New Roman"/>
                <w:color w:val="000000"/>
                <w:sz w:val="16"/>
                <w:szCs w:val="16"/>
              </w:rPr>
              <w:t>119.5 </w:t>
            </w:r>
          </w:p>
        </w:tc>
        <w:tc>
          <w:tcPr>
            <w:tcW w:w="0" w:type="auto"/>
            <w:shd w:val="clear" w:color="auto" w:fill="FFFFFF"/>
            <w:tcMar>
              <w:top w:w="30" w:type="dxa"/>
              <w:left w:w="0" w:type="dxa"/>
              <w:bottom w:w="30" w:type="dxa"/>
              <w:right w:w="20" w:type="dxa"/>
            </w:tcMar>
            <w:vAlign w:val="bottom"/>
            <w:hideMark/>
          </w:tcPr>
          <w:p w14:paraId="4293550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16A19"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C00D48"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DCA78F1" w14:textId="77777777" w:rsidR="00000000" w:rsidRDefault="000A3118">
            <w:pPr>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14:paraId="6B8EA41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91D4E"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26205C"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DB4604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DDA0F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4E72B"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D52260"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E94C132" w14:textId="77777777" w:rsidR="00000000" w:rsidRDefault="000A3118">
            <w:pPr>
              <w:jc w:val="right"/>
              <w:rPr>
                <w:rFonts w:eastAsia="Times New Roman"/>
              </w:rPr>
            </w:pPr>
            <w:r>
              <w:rPr>
                <w:rFonts w:eastAsia="Times New Roman"/>
                <w:color w:val="000000"/>
                <w:sz w:val="16"/>
                <w:szCs w:val="16"/>
              </w:rPr>
              <w:t>117.8 </w:t>
            </w:r>
          </w:p>
        </w:tc>
        <w:tc>
          <w:tcPr>
            <w:tcW w:w="0" w:type="auto"/>
            <w:shd w:val="clear" w:color="auto" w:fill="FFFFFF"/>
            <w:tcMar>
              <w:top w:w="30" w:type="dxa"/>
              <w:left w:w="0" w:type="dxa"/>
              <w:bottom w:w="30" w:type="dxa"/>
              <w:right w:w="20" w:type="dxa"/>
            </w:tcMar>
            <w:vAlign w:val="bottom"/>
            <w:hideMark/>
          </w:tcPr>
          <w:p w14:paraId="0BC492FA" w14:textId="77777777" w:rsidR="00000000" w:rsidRDefault="000A3118">
            <w:pPr>
              <w:jc w:val="right"/>
              <w:rPr>
                <w:rFonts w:eastAsia="Times New Roman"/>
              </w:rPr>
            </w:pPr>
          </w:p>
        </w:tc>
      </w:tr>
      <w:tr w:rsidR="00000000" w14:paraId="1F9792C3" w14:textId="77777777">
        <w:trPr>
          <w:divId w:val="1925800564"/>
          <w:jc w:val="center"/>
        </w:trPr>
        <w:tc>
          <w:tcPr>
            <w:tcW w:w="0" w:type="auto"/>
            <w:gridSpan w:val="3"/>
            <w:shd w:val="clear" w:color="auto" w:fill="CCEEFF"/>
            <w:tcMar>
              <w:top w:w="30" w:type="dxa"/>
              <w:left w:w="20" w:type="dxa"/>
              <w:bottom w:w="30" w:type="dxa"/>
              <w:right w:w="20" w:type="dxa"/>
            </w:tcMar>
            <w:hideMark/>
          </w:tcPr>
          <w:p w14:paraId="3C3A9BED" w14:textId="77777777" w:rsidR="00000000" w:rsidRDefault="000A3118">
            <w:pPr>
              <w:rPr>
                <w:rFonts w:eastAsia="Times New Roman"/>
              </w:rPr>
            </w:pPr>
            <w:r>
              <w:rPr>
                <w:rFonts w:eastAsia="Times New Roman"/>
                <w:color w:val="000000"/>
                <w:sz w:val="16"/>
                <w:szCs w:val="16"/>
              </w:rPr>
              <w:t>Interest rate contract</w:t>
            </w:r>
          </w:p>
        </w:tc>
        <w:tc>
          <w:tcPr>
            <w:tcW w:w="0" w:type="auto"/>
            <w:gridSpan w:val="3"/>
            <w:shd w:val="clear" w:color="auto" w:fill="CCEEFF"/>
            <w:tcMar>
              <w:top w:w="0" w:type="dxa"/>
              <w:left w:w="20" w:type="dxa"/>
              <w:bottom w:w="0" w:type="dxa"/>
              <w:right w:w="20" w:type="dxa"/>
            </w:tcMar>
            <w:vAlign w:val="center"/>
            <w:hideMark/>
          </w:tcPr>
          <w:p w14:paraId="2F7C9DBA"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BBBF1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F9F8D8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4832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2746C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4D4210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4F63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669DF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1C785A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ECE2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17856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F64EAE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5564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1B7C8B"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A85B46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7312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D4AB0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CB24F43" w14:textId="77777777" w:rsidR="00000000" w:rsidRDefault="000A3118">
            <w:pPr>
              <w:jc w:val="right"/>
              <w:rPr>
                <w:rFonts w:eastAsia="Times New Roman"/>
              </w:rPr>
            </w:pPr>
          </w:p>
        </w:tc>
      </w:tr>
      <w:tr w:rsidR="00000000" w14:paraId="6586FD6C" w14:textId="77777777">
        <w:trPr>
          <w:divId w:val="1925800564"/>
          <w:jc w:val="center"/>
        </w:trPr>
        <w:tc>
          <w:tcPr>
            <w:tcW w:w="0" w:type="auto"/>
            <w:gridSpan w:val="3"/>
            <w:shd w:val="clear" w:color="auto" w:fill="FFFFFF"/>
            <w:tcMar>
              <w:top w:w="30" w:type="dxa"/>
              <w:left w:w="20" w:type="dxa"/>
              <w:bottom w:w="30" w:type="dxa"/>
              <w:right w:w="20" w:type="dxa"/>
            </w:tcMar>
            <w:hideMark/>
          </w:tcPr>
          <w:p w14:paraId="14E5F904" w14:textId="77777777" w:rsidR="00000000" w:rsidRDefault="000A3118">
            <w:pPr>
              <w:rPr>
                <w:rFonts w:eastAsia="Times New Roman"/>
              </w:rPr>
            </w:pPr>
            <w:r>
              <w:rPr>
                <w:rFonts w:eastAsia="Times New Roman"/>
                <w:color w:val="000000"/>
                <w:sz w:val="16"/>
                <w:szCs w:val="16"/>
              </w:rPr>
              <w:t>Foreign currency contracts</w:t>
            </w:r>
          </w:p>
        </w:tc>
        <w:tc>
          <w:tcPr>
            <w:tcW w:w="0" w:type="auto"/>
            <w:gridSpan w:val="3"/>
            <w:shd w:val="clear" w:color="auto" w:fill="FFFFFF"/>
            <w:tcMar>
              <w:top w:w="0" w:type="dxa"/>
              <w:left w:w="20" w:type="dxa"/>
              <w:bottom w:w="0" w:type="dxa"/>
              <w:right w:w="20" w:type="dxa"/>
            </w:tcMar>
            <w:vAlign w:val="center"/>
            <w:hideMark/>
          </w:tcPr>
          <w:p w14:paraId="558ECE7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92A389" w14:textId="77777777" w:rsidR="00000000" w:rsidRDefault="000A3118">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14:paraId="2E989A7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B471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93E2A0" w14:textId="77777777" w:rsidR="00000000" w:rsidRDefault="000A3118">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14:paraId="6169EBB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4B24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8561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2CB735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4B96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1A8F3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5F5448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2486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AF959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09BDD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46C4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7A6F60"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50FADB0" w14:textId="77777777" w:rsidR="00000000" w:rsidRDefault="000A3118">
            <w:pPr>
              <w:jc w:val="right"/>
              <w:rPr>
                <w:rFonts w:eastAsia="Times New Roman"/>
              </w:rPr>
            </w:pPr>
          </w:p>
        </w:tc>
      </w:tr>
      <w:tr w:rsidR="00000000" w14:paraId="5C02C26B" w14:textId="77777777">
        <w:trPr>
          <w:divId w:val="1925800564"/>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06B4F2D4" w14:textId="77777777" w:rsidR="00000000" w:rsidRDefault="000A3118">
            <w:pPr>
              <w:rPr>
                <w:rFonts w:eastAsia="Times New Roman"/>
              </w:rPr>
            </w:pPr>
            <w:r>
              <w:rPr>
                <w:rFonts w:eastAsia="Times New Roman"/>
                <w:color w:val="000000"/>
                <w:sz w:val="16"/>
                <w:szCs w:val="16"/>
              </w:rPr>
              <w:t>Total assets at fair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D45347"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8BC7B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78EFFF" w14:textId="77777777" w:rsidR="00000000" w:rsidRDefault="000A3118">
            <w:pPr>
              <w:jc w:val="right"/>
              <w:rPr>
                <w:rFonts w:eastAsia="Times New Roman"/>
              </w:rPr>
            </w:pPr>
            <w:r>
              <w:rPr>
                <w:rFonts w:eastAsia="Times New Roman"/>
                <w:color w:val="000000"/>
                <w:sz w:val="16"/>
                <w:szCs w:val="16"/>
              </w:rPr>
              <w:t>445.5 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9BFF0D"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946167"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69716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31479A" w14:textId="77777777" w:rsidR="00000000" w:rsidRDefault="000A3118">
            <w:pPr>
              <w:jc w:val="right"/>
              <w:rPr>
                <w:rFonts w:eastAsia="Times New Roman"/>
              </w:rPr>
            </w:pPr>
            <w:r>
              <w:rPr>
                <w:rFonts w:eastAsia="Times New Roman"/>
                <w:color w:val="000000"/>
                <w:sz w:val="16"/>
                <w:szCs w:val="16"/>
              </w:rPr>
              <w:t>325.9 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94B317"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A75286"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15980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75101E" w14:textId="77777777" w:rsidR="00000000" w:rsidRDefault="000A3118">
            <w:pPr>
              <w:jc w:val="right"/>
              <w:rPr>
                <w:rFonts w:eastAsia="Times New Roman"/>
              </w:rPr>
            </w:pPr>
            <w:r>
              <w:rPr>
                <w:rFonts w:eastAsia="Times New Roman"/>
                <w:color w:val="000000"/>
                <w:sz w:val="16"/>
                <w:szCs w:val="16"/>
              </w:rPr>
              <w:t>119.5 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F819C1"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00C63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C0582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0206BE" w14:textId="77777777" w:rsidR="00000000" w:rsidRDefault="000A3118">
            <w:pPr>
              <w:jc w:val="right"/>
              <w:rPr>
                <w:rFonts w:eastAsia="Times New Roman"/>
              </w:rPr>
            </w:pPr>
            <w:r>
              <w:rPr>
                <w:rFonts w:eastAsia="Times New Roman"/>
                <w:color w:val="000000"/>
                <w:sz w:val="16"/>
                <w:szCs w:val="16"/>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C95A33"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9632B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2381A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32875D"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7FD97E"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C7A765"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6D816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09BFE7" w14:textId="77777777" w:rsidR="00000000" w:rsidRDefault="000A3118">
            <w:pPr>
              <w:jc w:val="right"/>
              <w:rPr>
                <w:rFonts w:eastAsia="Times New Roman"/>
              </w:rPr>
            </w:pPr>
            <w:r>
              <w:rPr>
                <w:rFonts w:eastAsia="Times New Roman"/>
                <w:color w:val="000000"/>
                <w:sz w:val="16"/>
                <w:szCs w:val="16"/>
              </w:rPr>
              <w:t>117.8 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140B50" w14:textId="77777777" w:rsidR="00000000" w:rsidRDefault="000A3118">
            <w:pPr>
              <w:jc w:val="right"/>
              <w:rPr>
                <w:rFonts w:eastAsia="Times New Roman"/>
              </w:rPr>
            </w:pPr>
          </w:p>
        </w:tc>
      </w:tr>
      <w:tr w:rsidR="00000000" w14:paraId="7FE1C240" w14:textId="77777777">
        <w:trPr>
          <w:divId w:val="1925800564"/>
          <w:trHeight w:val="240"/>
          <w:jc w:val="center"/>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0E97236"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CF7EAC"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13B6C7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FBD0537"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17E1614"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D21C3ED"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66199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F07C0F"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D4533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896A46"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BF0507"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330B249"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348511" w14:textId="77777777" w:rsidR="00000000" w:rsidRDefault="000A3118">
            <w:pPr>
              <w:rPr>
                <w:rFonts w:eastAsia="Times New Roman"/>
                <w:sz w:val="20"/>
                <w:szCs w:val="20"/>
              </w:rPr>
            </w:pPr>
          </w:p>
        </w:tc>
      </w:tr>
      <w:tr w:rsidR="00000000" w14:paraId="394F6F85" w14:textId="77777777">
        <w:trPr>
          <w:divId w:val="1925800564"/>
          <w:jc w:val="center"/>
        </w:trPr>
        <w:tc>
          <w:tcPr>
            <w:tcW w:w="0" w:type="auto"/>
            <w:gridSpan w:val="3"/>
            <w:shd w:val="clear" w:color="auto" w:fill="CCEEFF"/>
            <w:tcMar>
              <w:top w:w="30" w:type="dxa"/>
              <w:left w:w="20" w:type="dxa"/>
              <w:bottom w:w="30" w:type="dxa"/>
              <w:right w:w="20" w:type="dxa"/>
            </w:tcMar>
            <w:hideMark/>
          </w:tcPr>
          <w:p w14:paraId="12E612BB" w14:textId="77777777" w:rsidR="00000000" w:rsidRDefault="000A3118">
            <w:pPr>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14:paraId="1F693E9E" w14:textId="77777777" w:rsidR="00000000" w:rsidRDefault="000A3118">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3ED18"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FB864F"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5C87AC"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CDBECD"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1DBF34"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3CE3C4"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FAA0AF"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F3222D"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7318EC"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900A3F" w14:textId="77777777" w:rsidR="00000000" w:rsidRDefault="000A311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E5FE09" w14:textId="77777777" w:rsidR="00000000" w:rsidRDefault="000A3118">
            <w:pPr>
              <w:rPr>
                <w:rFonts w:eastAsia="Times New Roman"/>
                <w:sz w:val="20"/>
                <w:szCs w:val="20"/>
              </w:rPr>
            </w:pPr>
          </w:p>
        </w:tc>
      </w:tr>
      <w:tr w:rsidR="00000000" w14:paraId="7DBBBB63" w14:textId="77777777">
        <w:trPr>
          <w:divId w:val="1925800564"/>
          <w:jc w:val="center"/>
        </w:trPr>
        <w:tc>
          <w:tcPr>
            <w:tcW w:w="0" w:type="auto"/>
            <w:gridSpan w:val="3"/>
            <w:shd w:val="clear" w:color="auto" w:fill="FFFFFF"/>
            <w:tcMar>
              <w:top w:w="30" w:type="dxa"/>
              <w:left w:w="20" w:type="dxa"/>
              <w:bottom w:w="30" w:type="dxa"/>
              <w:right w:w="20" w:type="dxa"/>
            </w:tcMar>
            <w:hideMark/>
          </w:tcPr>
          <w:p w14:paraId="37760966" w14:textId="77777777" w:rsidR="00000000" w:rsidRDefault="000A3118">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14:paraId="46535DDA"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07445F32"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504C353" w14:textId="77777777" w:rsidR="00000000" w:rsidRDefault="000A3118">
            <w:pPr>
              <w:jc w:val="right"/>
              <w:rPr>
                <w:rFonts w:eastAsia="Times New Roman"/>
              </w:rPr>
            </w:pPr>
            <w:r>
              <w:rPr>
                <w:rFonts w:eastAsia="Times New Roman"/>
                <w:color w:val="000000"/>
                <w:sz w:val="16"/>
                <w:szCs w:val="16"/>
              </w:rPr>
              <w:t>385.5 </w:t>
            </w:r>
          </w:p>
        </w:tc>
        <w:tc>
          <w:tcPr>
            <w:tcW w:w="0" w:type="auto"/>
            <w:shd w:val="clear" w:color="auto" w:fill="FFFFFF"/>
            <w:tcMar>
              <w:top w:w="30" w:type="dxa"/>
              <w:left w:w="0" w:type="dxa"/>
              <w:bottom w:w="30" w:type="dxa"/>
              <w:right w:w="20" w:type="dxa"/>
            </w:tcMar>
            <w:vAlign w:val="bottom"/>
            <w:hideMark/>
          </w:tcPr>
          <w:p w14:paraId="02C62FE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88837"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FE4A8D"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77EBFE7" w14:textId="77777777" w:rsidR="00000000" w:rsidRDefault="000A3118">
            <w:pPr>
              <w:jc w:val="right"/>
              <w:rPr>
                <w:rFonts w:eastAsia="Times New Roman"/>
              </w:rPr>
            </w:pPr>
            <w:r>
              <w:rPr>
                <w:rFonts w:eastAsia="Times New Roman"/>
                <w:color w:val="000000"/>
                <w:sz w:val="16"/>
                <w:szCs w:val="16"/>
              </w:rPr>
              <w:t>324.3 </w:t>
            </w:r>
          </w:p>
        </w:tc>
        <w:tc>
          <w:tcPr>
            <w:tcW w:w="0" w:type="auto"/>
            <w:shd w:val="clear" w:color="auto" w:fill="FFFFFF"/>
            <w:tcMar>
              <w:top w:w="30" w:type="dxa"/>
              <w:left w:w="0" w:type="dxa"/>
              <w:bottom w:w="30" w:type="dxa"/>
              <w:right w:w="20" w:type="dxa"/>
            </w:tcMar>
            <w:vAlign w:val="bottom"/>
            <w:hideMark/>
          </w:tcPr>
          <w:p w14:paraId="3494F6D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D95AD"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F40150"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9E33061" w14:textId="77777777" w:rsidR="00000000" w:rsidRDefault="000A3118">
            <w:pPr>
              <w:jc w:val="right"/>
              <w:rPr>
                <w:rFonts w:eastAsia="Times New Roman"/>
              </w:rPr>
            </w:pPr>
            <w:r>
              <w:rPr>
                <w:rFonts w:eastAsia="Times New Roman"/>
                <w:color w:val="000000"/>
                <w:sz w:val="16"/>
                <w:szCs w:val="16"/>
              </w:rPr>
              <w:t>61.3 </w:t>
            </w:r>
          </w:p>
        </w:tc>
        <w:tc>
          <w:tcPr>
            <w:tcW w:w="0" w:type="auto"/>
            <w:shd w:val="clear" w:color="auto" w:fill="FFFFFF"/>
            <w:tcMar>
              <w:top w:w="30" w:type="dxa"/>
              <w:left w:w="0" w:type="dxa"/>
              <w:bottom w:w="30" w:type="dxa"/>
              <w:right w:w="20" w:type="dxa"/>
            </w:tcMar>
            <w:vAlign w:val="bottom"/>
            <w:hideMark/>
          </w:tcPr>
          <w:p w14:paraId="4BC3DCA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56763"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8BFD94"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D8C14F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20C5D4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2828C"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36F8F8"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4FA203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AB24A2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D2824C"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DD5AD4"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8F239D9" w14:textId="77777777" w:rsidR="00000000" w:rsidRDefault="000A3118">
            <w:pPr>
              <w:jc w:val="right"/>
              <w:rPr>
                <w:rFonts w:eastAsia="Times New Roman"/>
              </w:rPr>
            </w:pPr>
            <w:r>
              <w:rPr>
                <w:rFonts w:eastAsia="Times New Roman"/>
                <w:color w:val="000000"/>
                <w:sz w:val="16"/>
                <w:szCs w:val="16"/>
              </w:rPr>
              <w:t>61.3 </w:t>
            </w:r>
          </w:p>
        </w:tc>
        <w:tc>
          <w:tcPr>
            <w:tcW w:w="0" w:type="auto"/>
            <w:shd w:val="clear" w:color="auto" w:fill="FFFFFF"/>
            <w:tcMar>
              <w:top w:w="30" w:type="dxa"/>
              <w:left w:w="0" w:type="dxa"/>
              <w:bottom w:w="30" w:type="dxa"/>
              <w:right w:w="20" w:type="dxa"/>
            </w:tcMar>
            <w:vAlign w:val="bottom"/>
            <w:hideMark/>
          </w:tcPr>
          <w:p w14:paraId="2FA23AEF" w14:textId="77777777" w:rsidR="00000000" w:rsidRDefault="000A3118">
            <w:pPr>
              <w:jc w:val="right"/>
              <w:rPr>
                <w:rFonts w:eastAsia="Times New Roman"/>
              </w:rPr>
            </w:pPr>
          </w:p>
        </w:tc>
      </w:tr>
      <w:tr w:rsidR="00000000" w14:paraId="1FF44FE8" w14:textId="77777777">
        <w:trPr>
          <w:divId w:val="1925800564"/>
          <w:jc w:val="center"/>
        </w:trPr>
        <w:tc>
          <w:tcPr>
            <w:tcW w:w="0" w:type="auto"/>
            <w:gridSpan w:val="3"/>
            <w:shd w:val="clear" w:color="auto" w:fill="CCEEFF"/>
            <w:tcMar>
              <w:top w:w="30" w:type="dxa"/>
              <w:left w:w="20" w:type="dxa"/>
              <w:bottom w:w="30" w:type="dxa"/>
              <w:right w:w="20" w:type="dxa"/>
            </w:tcMar>
            <w:hideMark/>
          </w:tcPr>
          <w:p w14:paraId="2610B9A1" w14:textId="77777777" w:rsidR="00000000" w:rsidRDefault="000A3118">
            <w:pPr>
              <w:rPr>
                <w:rFonts w:eastAsia="Times New Roman"/>
              </w:rPr>
            </w:pPr>
            <w:r>
              <w:rPr>
                <w:rFonts w:eastAsia="Times New Roman"/>
                <w:color w:val="000000"/>
                <w:sz w:val="16"/>
                <w:szCs w:val="16"/>
              </w:rPr>
              <w:t>Interest rate contract</w:t>
            </w:r>
          </w:p>
        </w:tc>
        <w:tc>
          <w:tcPr>
            <w:tcW w:w="0" w:type="auto"/>
            <w:gridSpan w:val="3"/>
            <w:shd w:val="clear" w:color="auto" w:fill="CCEEFF"/>
            <w:tcMar>
              <w:top w:w="0" w:type="dxa"/>
              <w:left w:w="20" w:type="dxa"/>
              <w:bottom w:w="0" w:type="dxa"/>
              <w:right w:w="20" w:type="dxa"/>
            </w:tcMar>
            <w:vAlign w:val="center"/>
            <w:hideMark/>
          </w:tcPr>
          <w:p w14:paraId="6AAE2848"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4C4758" w14:textId="77777777" w:rsidR="00000000" w:rsidRDefault="000A3118">
            <w:pPr>
              <w:jc w:val="right"/>
              <w:rPr>
                <w:rFonts w:eastAsia="Times New Roman"/>
              </w:rPr>
            </w:pPr>
            <w:r>
              <w:rPr>
                <w:rFonts w:eastAsia="Times New Roman"/>
                <w:color w:val="000000"/>
                <w:sz w:val="16"/>
                <w:szCs w:val="16"/>
              </w:rPr>
              <w:t>4.7 </w:t>
            </w:r>
          </w:p>
        </w:tc>
        <w:tc>
          <w:tcPr>
            <w:tcW w:w="0" w:type="auto"/>
            <w:shd w:val="clear" w:color="auto" w:fill="CCEEFF"/>
            <w:tcMar>
              <w:top w:w="30" w:type="dxa"/>
              <w:left w:w="0" w:type="dxa"/>
              <w:bottom w:w="30" w:type="dxa"/>
              <w:right w:w="20" w:type="dxa"/>
            </w:tcMar>
            <w:vAlign w:val="bottom"/>
            <w:hideMark/>
          </w:tcPr>
          <w:p w14:paraId="2759D81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C4552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04A997"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4EAE49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4F58E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137C99" w14:textId="77777777" w:rsidR="00000000" w:rsidRDefault="000A3118">
            <w:pPr>
              <w:jc w:val="right"/>
              <w:rPr>
                <w:rFonts w:eastAsia="Times New Roman"/>
              </w:rPr>
            </w:pPr>
            <w:r>
              <w:rPr>
                <w:rFonts w:eastAsia="Times New Roman"/>
                <w:color w:val="000000"/>
                <w:sz w:val="16"/>
                <w:szCs w:val="16"/>
              </w:rPr>
              <w:t>4.7 </w:t>
            </w:r>
          </w:p>
        </w:tc>
        <w:tc>
          <w:tcPr>
            <w:tcW w:w="0" w:type="auto"/>
            <w:shd w:val="clear" w:color="auto" w:fill="CCEEFF"/>
            <w:tcMar>
              <w:top w:w="30" w:type="dxa"/>
              <w:left w:w="0" w:type="dxa"/>
              <w:bottom w:w="30" w:type="dxa"/>
              <w:right w:w="20" w:type="dxa"/>
            </w:tcMar>
            <w:vAlign w:val="bottom"/>
            <w:hideMark/>
          </w:tcPr>
          <w:p w14:paraId="2B9FE73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585C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997BC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62F723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E774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72FF4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EB8969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52CF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4AD5F8" w14:textId="77777777" w:rsidR="00000000" w:rsidRDefault="000A3118">
            <w:pPr>
              <w:jc w:val="right"/>
              <w:rPr>
                <w:rFonts w:eastAsia="Times New Roman"/>
              </w:rPr>
            </w:pPr>
            <w:r>
              <w:rPr>
                <w:rFonts w:eastAsia="Times New Roman"/>
                <w:color w:val="000000"/>
                <w:sz w:val="16"/>
                <w:szCs w:val="16"/>
              </w:rPr>
              <w:t>4.7 </w:t>
            </w:r>
          </w:p>
        </w:tc>
        <w:tc>
          <w:tcPr>
            <w:tcW w:w="0" w:type="auto"/>
            <w:shd w:val="clear" w:color="auto" w:fill="CCEEFF"/>
            <w:tcMar>
              <w:top w:w="30" w:type="dxa"/>
              <w:left w:w="0" w:type="dxa"/>
              <w:bottom w:w="30" w:type="dxa"/>
              <w:right w:w="20" w:type="dxa"/>
            </w:tcMar>
            <w:vAlign w:val="bottom"/>
            <w:hideMark/>
          </w:tcPr>
          <w:p w14:paraId="0DFF8DEC" w14:textId="77777777" w:rsidR="00000000" w:rsidRDefault="000A3118">
            <w:pPr>
              <w:jc w:val="right"/>
              <w:rPr>
                <w:rFonts w:eastAsia="Times New Roman"/>
              </w:rPr>
            </w:pPr>
          </w:p>
        </w:tc>
      </w:tr>
      <w:tr w:rsidR="00000000" w14:paraId="77D7CB4C" w14:textId="77777777">
        <w:trPr>
          <w:divId w:val="1925800564"/>
          <w:jc w:val="center"/>
        </w:trPr>
        <w:tc>
          <w:tcPr>
            <w:tcW w:w="0" w:type="auto"/>
            <w:gridSpan w:val="3"/>
            <w:shd w:val="clear" w:color="auto" w:fill="FFFFFF"/>
            <w:tcMar>
              <w:top w:w="30" w:type="dxa"/>
              <w:left w:w="20" w:type="dxa"/>
              <w:bottom w:w="30" w:type="dxa"/>
              <w:right w:w="20" w:type="dxa"/>
            </w:tcMar>
            <w:hideMark/>
          </w:tcPr>
          <w:p w14:paraId="7AAA4175" w14:textId="77777777" w:rsidR="00000000" w:rsidRDefault="000A3118">
            <w:pPr>
              <w:rPr>
                <w:rFonts w:eastAsia="Times New Roman"/>
              </w:rPr>
            </w:pPr>
            <w:r>
              <w:rPr>
                <w:rFonts w:eastAsia="Times New Roman"/>
                <w:color w:val="000000"/>
                <w:sz w:val="16"/>
                <w:szCs w:val="16"/>
              </w:rPr>
              <w:t>Foreign currency contracts</w:t>
            </w:r>
          </w:p>
        </w:tc>
        <w:tc>
          <w:tcPr>
            <w:tcW w:w="0" w:type="auto"/>
            <w:gridSpan w:val="3"/>
            <w:shd w:val="clear" w:color="auto" w:fill="FFFFFF"/>
            <w:tcMar>
              <w:top w:w="0" w:type="dxa"/>
              <w:left w:w="20" w:type="dxa"/>
              <w:bottom w:w="0" w:type="dxa"/>
              <w:right w:w="20" w:type="dxa"/>
            </w:tcMar>
            <w:vAlign w:val="center"/>
            <w:hideMark/>
          </w:tcPr>
          <w:p w14:paraId="709E1EF6"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16AE23" w14:textId="77777777" w:rsidR="00000000" w:rsidRDefault="000A3118">
            <w:pPr>
              <w:jc w:val="right"/>
              <w:rPr>
                <w:rFonts w:eastAsia="Times New Roman"/>
              </w:rPr>
            </w:pPr>
            <w:r>
              <w:rPr>
                <w:rFonts w:eastAsia="Times New Roman"/>
                <w:color w:val="000000"/>
                <w:sz w:val="16"/>
                <w:szCs w:val="16"/>
              </w:rPr>
              <w:t>10.4 </w:t>
            </w:r>
          </w:p>
        </w:tc>
        <w:tc>
          <w:tcPr>
            <w:tcW w:w="0" w:type="auto"/>
            <w:shd w:val="clear" w:color="auto" w:fill="FFFFFF"/>
            <w:tcMar>
              <w:top w:w="30" w:type="dxa"/>
              <w:left w:w="0" w:type="dxa"/>
              <w:bottom w:w="30" w:type="dxa"/>
              <w:right w:w="20" w:type="dxa"/>
            </w:tcMar>
            <w:vAlign w:val="bottom"/>
            <w:hideMark/>
          </w:tcPr>
          <w:p w14:paraId="6A236EC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D77B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C6CD38" w14:textId="77777777" w:rsidR="00000000" w:rsidRDefault="000A3118">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14:paraId="5DBBD57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8A38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A52F9B" w14:textId="77777777" w:rsidR="00000000" w:rsidRDefault="000A3118">
            <w:pPr>
              <w:jc w:val="right"/>
              <w:rPr>
                <w:rFonts w:eastAsia="Times New Roman"/>
              </w:rPr>
            </w:pPr>
            <w:r>
              <w:rPr>
                <w:rFonts w:eastAsia="Times New Roman"/>
                <w:color w:val="000000"/>
                <w:sz w:val="16"/>
                <w:szCs w:val="16"/>
              </w:rPr>
              <w:t>8.8 </w:t>
            </w:r>
          </w:p>
        </w:tc>
        <w:tc>
          <w:tcPr>
            <w:tcW w:w="0" w:type="auto"/>
            <w:shd w:val="clear" w:color="auto" w:fill="FFFFFF"/>
            <w:tcMar>
              <w:top w:w="30" w:type="dxa"/>
              <w:left w:w="0" w:type="dxa"/>
              <w:bottom w:w="30" w:type="dxa"/>
              <w:right w:w="20" w:type="dxa"/>
            </w:tcMar>
            <w:vAlign w:val="bottom"/>
            <w:hideMark/>
          </w:tcPr>
          <w:p w14:paraId="3620197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CA62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FEA5B8"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285A3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A9A3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9A474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7AE5EB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738099"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192E51" w14:textId="77777777" w:rsidR="00000000" w:rsidRDefault="000A3118">
            <w:pPr>
              <w:jc w:val="right"/>
              <w:rPr>
                <w:rFonts w:eastAsia="Times New Roman"/>
              </w:rPr>
            </w:pPr>
            <w:r>
              <w:rPr>
                <w:rFonts w:eastAsia="Times New Roman"/>
                <w:color w:val="000000"/>
                <w:sz w:val="16"/>
                <w:szCs w:val="16"/>
              </w:rPr>
              <w:t>8.8 </w:t>
            </w:r>
          </w:p>
        </w:tc>
        <w:tc>
          <w:tcPr>
            <w:tcW w:w="0" w:type="auto"/>
            <w:shd w:val="clear" w:color="auto" w:fill="FFFFFF"/>
            <w:tcMar>
              <w:top w:w="30" w:type="dxa"/>
              <w:left w:w="0" w:type="dxa"/>
              <w:bottom w:w="30" w:type="dxa"/>
              <w:right w:w="20" w:type="dxa"/>
            </w:tcMar>
            <w:vAlign w:val="bottom"/>
            <w:hideMark/>
          </w:tcPr>
          <w:p w14:paraId="1212D73C" w14:textId="77777777" w:rsidR="00000000" w:rsidRDefault="000A3118">
            <w:pPr>
              <w:jc w:val="right"/>
              <w:rPr>
                <w:rFonts w:eastAsia="Times New Roman"/>
              </w:rPr>
            </w:pPr>
          </w:p>
        </w:tc>
      </w:tr>
      <w:tr w:rsidR="00000000" w14:paraId="02E4A752" w14:textId="77777777">
        <w:trPr>
          <w:divId w:val="1925800564"/>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14:paraId="2C9F0CC9" w14:textId="77777777" w:rsidR="00000000" w:rsidRDefault="000A3118">
            <w:pPr>
              <w:rPr>
                <w:rFonts w:eastAsia="Times New Roman"/>
              </w:rPr>
            </w:pPr>
            <w:r>
              <w:rPr>
                <w:rFonts w:eastAsia="Times New Roman"/>
                <w:color w:val="000000"/>
                <w:sz w:val="16"/>
                <w:szCs w:val="16"/>
              </w:rPr>
              <w:t>Total liabilities at fair value</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CBA3D54" w14:textId="77777777" w:rsidR="00000000" w:rsidRDefault="000A3118">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CFB63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8DB7F1" w14:textId="77777777" w:rsidR="00000000" w:rsidRDefault="000A3118">
            <w:pPr>
              <w:jc w:val="right"/>
              <w:rPr>
                <w:rFonts w:eastAsia="Times New Roman"/>
              </w:rPr>
            </w:pPr>
            <w:r>
              <w:rPr>
                <w:rFonts w:eastAsia="Times New Roman"/>
                <w:color w:val="000000"/>
                <w:sz w:val="16"/>
                <w:szCs w:val="16"/>
              </w:rPr>
              <w:t>400.7 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D6643B"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4CFF071"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48040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D0613C" w14:textId="77777777" w:rsidR="00000000" w:rsidRDefault="000A3118">
            <w:pPr>
              <w:jc w:val="right"/>
              <w:rPr>
                <w:rFonts w:eastAsia="Times New Roman"/>
              </w:rPr>
            </w:pPr>
            <w:r>
              <w:rPr>
                <w:rFonts w:eastAsia="Times New Roman"/>
                <w:color w:val="000000"/>
                <w:sz w:val="16"/>
                <w:szCs w:val="16"/>
              </w:rPr>
              <w:t>325.9 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2EED99"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95DE644"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5796D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41C124" w14:textId="77777777" w:rsidR="00000000" w:rsidRDefault="000A3118">
            <w:pPr>
              <w:jc w:val="right"/>
              <w:rPr>
                <w:rFonts w:eastAsia="Times New Roman"/>
              </w:rPr>
            </w:pPr>
            <w:r>
              <w:rPr>
                <w:rFonts w:eastAsia="Times New Roman"/>
                <w:color w:val="000000"/>
                <w:sz w:val="16"/>
                <w:szCs w:val="16"/>
              </w:rPr>
              <w:t>74.8 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9B6D87"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3C599A7"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A46BB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C43ED7"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AB9A45"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D4A0C94"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D1567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EFF99C"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47CDB6"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7AB724B"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4C836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5A16A9" w14:textId="77777777" w:rsidR="00000000" w:rsidRDefault="000A3118">
            <w:pPr>
              <w:jc w:val="right"/>
              <w:rPr>
                <w:rFonts w:eastAsia="Times New Roman"/>
              </w:rPr>
            </w:pPr>
            <w:r>
              <w:rPr>
                <w:rFonts w:eastAsia="Times New Roman"/>
                <w:color w:val="000000"/>
                <w:sz w:val="16"/>
                <w:szCs w:val="16"/>
              </w:rPr>
              <w:t>74.8 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23F7C2" w14:textId="77777777" w:rsidR="00000000" w:rsidRDefault="000A3118">
            <w:pPr>
              <w:jc w:val="right"/>
              <w:rPr>
                <w:rFonts w:eastAsia="Times New Roman"/>
              </w:rPr>
            </w:pPr>
          </w:p>
        </w:tc>
      </w:tr>
    </w:tbl>
    <w:tbl>
      <w:tblPr>
        <w:tblW w:w="4978" w:type="pct"/>
        <w:jc w:val="center"/>
        <w:tblCellMar>
          <w:top w:w="15" w:type="dxa"/>
          <w:left w:w="15" w:type="dxa"/>
          <w:bottom w:w="15" w:type="dxa"/>
          <w:right w:w="15" w:type="dxa"/>
        </w:tblCellMar>
        <w:tblLook w:val="04A0" w:firstRow="1" w:lastRow="0" w:firstColumn="1" w:lastColumn="0" w:noHBand="0" w:noVBand="1"/>
      </w:tblPr>
      <w:tblGrid>
        <w:gridCol w:w="144"/>
        <w:gridCol w:w="2105"/>
        <w:gridCol w:w="144"/>
        <w:gridCol w:w="144"/>
        <w:gridCol w:w="144"/>
        <w:gridCol w:w="144"/>
        <w:gridCol w:w="144"/>
        <w:gridCol w:w="879"/>
        <w:gridCol w:w="144"/>
        <w:gridCol w:w="144"/>
        <w:gridCol w:w="144"/>
        <w:gridCol w:w="144"/>
        <w:gridCol w:w="144"/>
        <w:gridCol w:w="879"/>
        <w:gridCol w:w="144"/>
        <w:gridCol w:w="144"/>
        <w:gridCol w:w="144"/>
        <w:gridCol w:w="144"/>
        <w:gridCol w:w="144"/>
        <w:gridCol w:w="818"/>
        <w:gridCol w:w="144"/>
        <w:gridCol w:w="144"/>
        <w:gridCol w:w="144"/>
        <w:gridCol w:w="144"/>
        <w:gridCol w:w="144"/>
        <w:gridCol w:w="868"/>
        <w:gridCol w:w="144"/>
        <w:gridCol w:w="144"/>
        <w:gridCol w:w="144"/>
        <w:gridCol w:w="144"/>
        <w:gridCol w:w="144"/>
        <w:gridCol w:w="879"/>
        <w:gridCol w:w="144"/>
        <w:gridCol w:w="144"/>
        <w:gridCol w:w="144"/>
        <w:gridCol w:w="144"/>
        <w:gridCol w:w="144"/>
        <w:gridCol w:w="831"/>
        <w:gridCol w:w="144"/>
      </w:tblGrid>
      <w:tr w:rsidR="00000000" w14:paraId="4B63D3C9" w14:textId="77777777">
        <w:trPr>
          <w:jc w:val="center"/>
        </w:trPr>
        <w:tc>
          <w:tcPr>
            <w:tcW w:w="50" w:type="pct"/>
            <w:vAlign w:val="center"/>
            <w:hideMark/>
          </w:tcPr>
          <w:p w14:paraId="18F3A01A" w14:textId="77777777" w:rsidR="00000000" w:rsidRDefault="000A3118">
            <w:pPr>
              <w:jc w:val="center"/>
              <w:rPr>
                <w:rFonts w:eastAsia="Times New Roman"/>
              </w:rPr>
            </w:pPr>
          </w:p>
        </w:tc>
        <w:tc>
          <w:tcPr>
            <w:tcW w:w="1273" w:type="pct"/>
            <w:vAlign w:val="center"/>
            <w:hideMark/>
          </w:tcPr>
          <w:p w14:paraId="5551B879" w14:textId="77777777" w:rsidR="00000000" w:rsidRDefault="000A3118">
            <w:pPr>
              <w:rPr>
                <w:rFonts w:eastAsia="Times New Roman"/>
                <w:sz w:val="20"/>
                <w:szCs w:val="20"/>
              </w:rPr>
            </w:pPr>
          </w:p>
        </w:tc>
        <w:tc>
          <w:tcPr>
            <w:tcW w:w="5" w:type="pct"/>
            <w:vAlign w:val="center"/>
            <w:hideMark/>
          </w:tcPr>
          <w:p w14:paraId="3B1EDF30" w14:textId="77777777" w:rsidR="00000000" w:rsidRDefault="000A3118">
            <w:pPr>
              <w:rPr>
                <w:rFonts w:eastAsia="Times New Roman"/>
                <w:sz w:val="20"/>
                <w:szCs w:val="20"/>
              </w:rPr>
            </w:pPr>
          </w:p>
        </w:tc>
        <w:tc>
          <w:tcPr>
            <w:tcW w:w="5" w:type="pct"/>
            <w:vAlign w:val="center"/>
            <w:hideMark/>
          </w:tcPr>
          <w:p w14:paraId="2A64F720" w14:textId="77777777" w:rsidR="00000000" w:rsidRDefault="000A3118">
            <w:pPr>
              <w:rPr>
                <w:rFonts w:eastAsia="Times New Roman"/>
                <w:sz w:val="20"/>
                <w:szCs w:val="20"/>
              </w:rPr>
            </w:pPr>
          </w:p>
        </w:tc>
        <w:tc>
          <w:tcPr>
            <w:tcW w:w="26" w:type="pct"/>
            <w:vAlign w:val="center"/>
            <w:hideMark/>
          </w:tcPr>
          <w:p w14:paraId="7E69536C" w14:textId="77777777" w:rsidR="00000000" w:rsidRDefault="000A3118">
            <w:pPr>
              <w:rPr>
                <w:rFonts w:eastAsia="Times New Roman"/>
                <w:sz w:val="20"/>
                <w:szCs w:val="20"/>
              </w:rPr>
            </w:pPr>
          </w:p>
        </w:tc>
        <w:tc>
          <w:tcPr>
            <w:tcW w:w="5" w:type="pct"/>
            <w:vAlign w:val="center"/>
            <w:hideMark/>
          </w:tcPr>
          <w:p w14:paraId="29B25D68" w14:textId="77777777" w:rsidR="00000000" w:rsidRDefault="000A3118">
            <w:pPr>
              <w:rPr>
                <w:rFonts w:eastAsia="Times New Roman"/>
                <w:sz w:val="20"/>
                <w:szCs w:val="20"/>
              </w:rPr>
            </w:pPr>
          </w:p>
        </w:tc>
        <w:tc>
          <w:tcPr>
            <w:tcW w:w="50" w:type="pct"/>
            <w:vAlign w:val="center"/>
            <w:hideMark/>
          </w:tcPr>
          <w:p w14:paraId="3AB62C55" w14:textId="77777777" w:rsidR="00000000" w:rsidRDefault="000A3118">
            <w:pPr>
              <w:rPr>
                <w:rFonts w:eastAsia="Times New Roman"/>
                <w:sz w:val="20"/>
                <w:szCs w:val="20"/>
              </w:rPr>
            </w:pPr>
          </w:p>
        </w:tc>
        <w:tc>
          <w:tcPr>
            <w:tcW w:w="532" w:type="pct"/>
            <w:vAlign w:val="center"/>
            <w:hideMark/>
          </w:tcPr>
          <w:p w14:paraId="79CF92A4" w14:textId="77777777" w:rsidR="00000000" w:rsidRDefault="000A3118">
            <w:pPr>
              <w:rPr>
                <w:rFonts w:eastAsia="Times New Roman"/>
                <w:sz w:val="20"/>
                <w:szCs w:val="20"/>
              </w:rPr>
            </w:pPr>
          </w:p>
        </w:tc>
        <w:tc>
          <w:tcPr>
            <w:tcW w:w="5" w:type="pct"/>
            <w:vAlign w:val="center"/>
            <w:hideMark/>
          </w:tcPr>
          <w:p w14:paraId="2B398EA6" w14:textId="77777777" w:rsidR="00000000" w:rsidRDefault="000A3118">
            <w:pPr>
              <w:rPr>
                <w:rFonts w:eastAsia="Times New Roman"/>
                <w:sz w:val="20"/>
                <w:szCs w:val="20"/>
              </w:rPr>
            </w:pPr>
          </w:p>
        </w:tc>
        <w:tc>
          <w:tcPr>
            <w:tcW w:w="5" w:type="pct"/>
            <w:vAlign w:val="center"/>
            <w:hideMark/>
          </w:tcPr>
          <w:p w14:paraId="5A222D87" w14:textId="77777777" w:rsidR="00000000" w:rsidRDefault="000A3118">
            <w:pPr>
              <w:rPr>
                <w:rFonts w:eastAsia="Times New Roman"/>
                <w:sz w:val="20"/>
                <w:szCs w:val="20"/>
              </w:rPr>
            </w:pPr>
          </w:p>
        </w:tc>
        <w:tc>
          <w:tcPr>
            <w:tcW w:w="26" w:type="pct"/>
            <w:vAlign w:val="center"/>
            <w:hideMark/>
          </w:tcPr>
          <w:p w14:paraId="6C3968DC" w14:textId="77777777" w:rsidR="00000000" w:rsidRDefault="000A3118">
            <w:pPr>
              <w:rPr>
                <w:rFonts w:eastAsia="Times New Roman"/>
                <w:sz w:val="20"/>
                <w:szCs w:val="20"/>
              </w:rPr>
            </w:pPr>
          </w:p>
        </w:tc>
        <w:tc>
          <w:tcPr>
            <w:tcW w:w="5" w:type="pct"/>
            <w:vAlign w:val="center"/>
            <w:hideMark/>
          </w:tcPr>
          <w:p w14:paraId="7178B170" w14:textId="77777777" w:rsidR="00000000" w:rsidRDefault="000A3118">
            <w:pPr>
              <w:rPr>
                <w:rFonts w:eastAsia="Times New Roman"/>
                <w:sz w:val="20"/>
                <w:szCs w:val="20"/>
              </w:rPr>
            </w:pPr>
          </w:p>
        </w:tc>
        <w:tc>
          <w:tcPr>
            <w:tcW w:w="50" w:type="pct"/>
            <w:vAlign w:val="center"/>
            <w:hideMark/>
          </w:tcPr>
          <w:p w14:paraId="3E3BF6B8" w14:textId="77777777" w:rsidR="00000000" w:rsidRDefault="000A3118">
            <w:pPr>
              <w:rPr>
                <w:rFonts w:eastAsia="Times New Roman"/>
                <w:sz w:val="20"/>
                <w:szCs w:val="20"/>
              </w:rPr>
            </w:pPr>
          </w:p>
        </w:tc>
        <w:tc>
          <w:tcPr>
            <w:tcW w:w="532" w:type="pct"/>
            <w:vAlign w:val="center"/>
            <w:hideMark/>
          </w:tcPr>
          <w:p w14:paraId="1D74D360" w14:textId="77777777" w:rsidR="00000000" w:rsidRDefault="000A3118">
            <w:pPr>
              <w:rPr>
                <w:rFonts w:eastAsia="Times New Roman"/>
                <w:sz w:val="20"/>
                <w:szCs w:val="20"/>
              </w:rPr>
            </w:pPr>
          </w:p>
        </w:tc>
        <w:tc>
          <w:tcPr>
            <w:tcW w:w="5" w:type="pct"/>
            <w:vAlign w:val="center"/>
            <w:hideMark/>
          </w:tcPr>
          <w:p w14:paraId="25DDDE3F" w14:textId="77777777" w:rsidR="00000000" w:rsidRDefault="000A3118">
            <w:pPr>
              <w:rPr>
                <w:rFonts w:eastAsia="Times New Roman"/>
                <w:sz w:val="20"/>
                <w:szCs w:val="20"/>
              </w:rPr>
            </w:pPr>
          </w:p>
        </w:tc>
        <w:tc>
          <w:tcPr>
            <w:tcW w:w="5" w:type="pct"/>
            <w:vAlign w:val="center"/>
            <w:hideMark/>
          </w:tcPr>
          <w:p w14:paraId="4BA3DE98" w14:textId="77777777" w:rsidR="00000000" w:rsidRDefault="000A3118">
            <w:pPr>
              <w:rPr>
                <w:rFonts w:eastAsia="Times New Roman"/>
                <w:sz w:val="20"/>
                <w:szCs w:val="20"/>
              </w:rPr>
            </w:pPr>
          </w:p>
        </w:tc>
        <w:tc>
          <w:tcPr>
            <w:tcW w:w="26" w:type="pct"/>
            <w:vAlign w:val="center"/>
            <w:hideMark/>
          </w:tcPr>
          <w:p w14:paraId="689F4089" w14:textId="77777777" w:rsidR="00000000" w:rsidRDefault="000A3118">
            <w:pPr>
              <w:rPr>
                <w:rFonts w:eastAsia="Times New Roman"/>
                <w:sz w:val="20"/>
                <w:szCs w:val="20"/>
              </w:rPr>
            </w:pPr>
          </w:p>
        </w:tc>
        <w:tc>
          <w:tcPr>
            <w:tcW w:w="5" w:type="pct"/>
            <w:vAlign w:val="center"/>
            <w:hideMark/>
          </w:tcPr>
          <w:p w14:paraId="407BC75F" w14:textId="77777777" w:rsidR="00000000" w:rsidRDefault="000A3118">
            <w:pPr>
              <w:rPr>
                <w:rFonts w:eastAsia="Times New Roman"/>
                <w:sz w:val="20"/>
                <w:szCs w:val="20"/>
              </w:rPr>
            </w:pPr>
          </w:p>
        </w:tc>
        <w:tc>
          <w:tcPr>
            <w:tcW w:w="50" w:type="pct"/>
            <w:vAlign w:val="center"/>
            <w:hideMark/>
          </w:tcPr>
          <w:p w14:paraId="679C6E29" w14:textId="77777777" w:rsidR="00000000" w:rsidRDefault="000A3118">
            <w:pPr>
              <w:rPr>
                <w:rFonts w:eastAsia="Times New Roman"/>
                <w:sz w:val="20"/>
                <w:szCs w:val="20"/>
              </w:rPr>
            </w:pPr>
          </w:p>
        </w:tc>
        <w:tc>
          <w:tcPr>
            <w:tcW w:w="495" w:type="pct"/>
            <w:vAlign w:val="center"/>
            <w:hideMark/>
          </w:tcPr>
          <w:p w14:paraId="773B1540" w14:textId="77777777" w:rsidR="00000000" w:rsidRDefault="000A3118">
            <w:pPr>
              <w:rPr>
                <w:rFonts w:eastAsia="Times New Roman"/>
                <w:sz w:val="20"/>
                <w:szCs w:val="20"/>
              </w:rPr>
            </w:pPr>
          </w:p>
        </w:tc>
        <w:tc>
          <w:tcPr>
            <w:tcW w:w="5" w:type="pct"/>
            <w:vAlign w:val="center"/>
            <w:hideMark/>
          </w:tcPr>
          <w:p w14:paraId="30AB29D8" w14:textId="77777777" w:rsidR="00000000" w:rsidRDefault="000A3118">
            <w:pPr>
              <w:rPr>
                <w:rFonts w:eastAsia="Times New Roman"/>
                <w:sz w:val="20"/>
                <w:szCs w:val="20"/>
              </w:rPr>
            </w:pPr>
          </w:p>
        </w:tc>
        <w:tc>
          <w:tcPr>
            <w:tcW w:w="5" w:type="pct"/>
            <w:vAlign w:val="center"/>
            <w:hideMark/>
          </w:tcPr>
          <w:p w14:paraId="31710508" w14:textId="77777777" w:rsidR="00000000" w:rsidRDefault="000A3118">
            <w:pPr>
              <w:rPr>
                <w:rFonts w:eastAsia="Times New Roman"/>
                <w:sz w:val="20"/>
                <w:szCs w:val="20"/>
              </w:rPr>
            </w:pPr>
          </w:p>
        </w:tc>
        <w:tc>
          <w:tcPr>
            <w:tcW w:w="26" w:type="pct"/>
            <w:vAlign w:val="center"/>
            <w:hideMark/>
          </w:tcPr>
          <w:p w14:paraId="57DADB46" w14:textId="77777777" w:rsidR="00000000" w:rsidRDefault="000A3118">
            <w:pPr>
              <w:rPr>
                <w:rFonts w:eastAsia="Times New Roman"/>
                <w:sz w:val="20"/>
                <w:szCs w:val="20"/>
              </w:rPr>
            </w:pPr>
          </w:p>
        </w:tc>
        <w:tc>
          <w:tcPr>
            <w:tcW w:w="5" w:type="pct"/>
            <w:vAlign w:val="center"/>
            <w:hideMark/>
          </w:tcPr>
          <w:p w14:paraId="021ADE55" w14:textId="77777777" w:rsidR="00000000" w:rsidRDefault="000A3118">
            <w:pPr>
              <w:rPr>
                <w:rFonts w:eastAsia="Times New Roman"/>
                <w:sz w:val="20"/>
                <w:szCs w:val="20"/>
              </w:rPr>
            </w:pPr>
          </w:p>
        </w:tc>
        <w:tc>
          <w:tcPr>
            <w:tcW w:w="50" w:type="pct"/>
            <w:vAlign w:val="center"/>
            <w:hideMark/>
          </w:tcPr>
          <w:p w14:paraId="5BD00472" w14:textId="77777777" w:rsidR="00000000" w:rsidRDefault="000A3118">
            <w:pPr>
              <w:rPr>
                <w:rFonts w:eastAsia="Times New Roman"/>
                <w:sz w:val="20"/>
                <w:szCs w:val="20"/>
              </w:rPr>
            </w:pPr>
          </w:p>
        </w:tc>
        <w:tc>
          <w:tcPr>
            <w:tcW w:w="525" w:type="pct"/>
            <w:vAlign w:val="center"/>
            <w:hideMark/>
          </w:tcPr>
          <w:p w14:paraId="564771A4" w14:textId="77777777" w:rsidR="00000000" w:rsidRDefault="000A3118">
            <w:pPr>
              <w:rPr>
                <w:rFonts w:eastAsia="Times New Roman"/>
                <w:sz w:val="20"/>
                <w:szCs w:val="20"/>
              </w:rPr>
            </w:pPr>
          </w:p>
        </w:tc>
        <w:tc>
          <w:tcPr>
            <w:tcW w:w="5" w:type="pct"/>
            <w:vAlign w:val="center"/>
            <w:hideMark/>
          </w:tcPr>
          <w:p w14:paraId="0DDF8476" w14:textId="77777777" w:rsidR="00000000" w:rsidRDefault="000A3118">
            <w:pPr>
              <w:rPr>
                <w:rFonts w:eastAsia="Times New Roman"/>
                <w:sz w:val="20"/>
                <w:szCs w:val="20"/>
              </w:rPr>
            </w:pPr>
          </w:p>
        </w:tc>
        <w:tc>
          <w:tcPr>
            <w:tcW w:w="5" w:type="pct"/>
            <w:vAlign w:val="center"/>
            <w:hideMark/>
          </w:tcPr>
          <w:p w14:paraId="52E95B36" w14:textId="77777777" w:rsidR="00000000" w:rsidRDefault="000A3118">
            <w:pPr>
              <w:rPr>
                <w:rFonts w:eastAsia="Times New Roman"/>
                <w:sz w:val="20"/>
                <w:szCs w:val="20"/>
              </w:rPr>
            </w:pPr>
          </w:p>
        </w:tc>
        <w:tc>
          <w:tcPr>
            <w:tcW w:w="26" w:type="pct"/>
            <w:vAlign w:val="center"/>
            <w:hideMark/>
          </w:tcPr>
          <w:p w14:paraId="5D5D173C" w14:textId="77777777" w:rsidR="00000000" w:rsidRDefault="000A3118">
            <w:pPr>
              <w:rPr>
                <w:rFonts w:eastAsia="Times New Roman"/>
                <w:sz w:val="20"/>
                <w:szCs w:val="20"/>
              </w:rPr>
            </w:pPr>
          </w:p>
        </w:tc>
        <w:tc>
          <w:tcPr>
            <w:tcW w:w="5" w:type="pct"/>
            <w:vAlign w:val="center"/>
            <w:hideMark/>
          </w:tcPr>
          <w:p w14:paraId="575132DC" w14:textId="77777777" w:rsidR="00000000" w:rsidRDefault="000A3118">
            <w:pPr>
              <w:rPr>
                <w:rFonts w:eastAsia="Times New Roman"/>
                <w:sz w:val="20"/>
                <w:szCs w:val="20"/>
              </w:rPr>
            </w:pPr>
          </w:p>
        </w:tc>
        <w:tc>
          <w:tcPr>
            <w:tcW w:w="50" w:type="pct"/>
            <w:vAlign w:val="center"/>
            <w:hideMark/>
          </w:tcPr>
          <w:p w14:paraId="6119087F" w14:textId="77777777" w:rsidR="00000000" w:rsidRDefault="000A3118">
            <w:pPr>
              <w:rPr>
                <w:rFonts w:eastAsia="Times New Roman"/>
                <w:sz w:val="20"/>
                <w:szCs w:val="20"/>
              </w:rPr>
            </w:pPr>
          </w:p>
        </w:tc>
        <w:tc>
          <w:tcPr>
            <w:tcW w:w="532" w:type="pct"/>
            <w:vAlign w:val="center"/>
            <w:hideMark/>
          </w:tcPr>
          <w:p w14:paraId="1867E387" w14:textId="77777777" w:rsidR="00000000" w:rsidRDefault="000A3118">
            <w:pPr>
              <w:rPr>
                <w:rFonts w:eastAsia="Times New Roman"/>
                <w:sz w:val="20"/>
                <w:szCs w:val="20"/>
              </w:rPr>
            </w:pPr>
          </w:p>
        </w:tc>
        <w:tc>
          <w:tcPr>
            <w:tcW w:w="5" w:type="pct"/>
            <w:vAlign w:val="center"/>
            <w:hideMark/>
          </w:tcPr>
          <w:p w14:paraId="64908164" w14:textId="77777777" w:rsidR="00000000" w:rsidRDefault="000A3118">
            <w:pPr>
              <w:rPr>
                <w:rFonts w:eastAsia="Times New Roman"/>
                <w:sz w:val="20"/>
                <w:szCs w:val="20"/>
              </w:rPr>
            </w:pPr>
          </w:p>
        </w:tc>
        <w:tc>
          <w:tcPr>
            <w:tcW w:w="5" w:type="pct"/>
            <w:vAlign w:val="center"/>
            <w:hideMark/>
          </w:tcPr>
          <w:p w14:paraId="16C0C0E2" w14:textId="77777777" w:rsidR="00000000" w:rsidRDefault="000A3118">
            <w:pPr>
              <w:rPr>
                <w:rFonts w:eastAsia="Times New Roman"/>
                <w:sz w:val="20"/>
                <w:szCs w:val="20"/>
              </w:rPr>
            </w:pPr>
          </w:p>
        </w:tc>
        <w:tc>
          <w:tcPr>
            <w:tcW w:w="26" w:type="pct"/>
            <w:vAlign w:val="center"/>
            <w:hideMark/>
          </w:tcPr>
          <w:p w14:paraId="7BB4529F" w14:textId="77777777" w:rsidR="00000000" w:rsidRDefault="000A3118">
            <w:pPr>
              <w:rPr>
                <w:rFonts w:eastAsia="Times New Roman"/>
                <w:sz w:val="20"/>
                <w:szCs w:val="20"/>
              </w:rPr>
            </w:pPr>
          </w:p>
        </w:tc>
        <w:tc>
          <w:tcPr>
            <w:tcW w:w="5" w:type="pct"/>
            <w:vAlign w:val="center"/>
            <w:hideMark/>
          </w:tcPr>
          <w:p w14:paraId="4FD2AAA0" w14:textId="77777777" w:rsidR="00000000" w:rsidRDefault="000A3118">
            <w:pPr>
              <w:rPr>
                <w:rFonts w:eastAsia="Times New Roman"/>
                <w:sz w:val="20"/>
                <w:szCs w:val="20"/>
              </w:rPr>
            </w:pPr>
          </w:p>
        </w:tc>
        <w:tc>
          <w:tcPr>
            <w:tcW w:w="50" w:type="pct"/>
            <w:vAlign w:val="center"/>
            <w:hideMark/>
          </w:tcPr>
          <w:p w14:paraId="5FE8A88B" w14:textId="77777777" w:rsidR="00000000" w:rsidRDefault="000A3118">
            <w:pPr>
              <w:rPr>
                <w:rFonts w:eastAsia="Times New Roman"/>
                <w:sz w:val="20"/>
                <w:szCs w:val="20"/>
              </w:rPr>
            </w:pPr>
          </w:p>
        </w:tc>
        <w:tc>
          <w:tcPr>
            <w:tcW w:w="503" w:type="pct"/>
            <w:vAlign w:val="center"/>
            <w:hideMark/>
          </w:tcPr>
          <w:p w14:paraId="7B96D654" w14:textId="77777777" w:rsidR="00000000" w:rsidRDefault="000A3118">
            <w:pPr>
              <w:rPr>
                <w:rFonts w:eastAsia="Times New Roman"/>
                <w:sz w:val="20"/>
                <w:szCs w:val="20"/>
              </w:rPr>
            </w:pPr>
          </w:p>
        </w:tc>
        <w:tc>
          <w:tcPr>
            <w:tcW w:w="5" w:type="pct"/>
            <w:vAlign w:val="center"/>
            <w:hideMark/>
          </w:tcPr>
          <w:p w14:paraId="64A93BB1" w14:textId="77777777" w:rsidR="00000000" w:rsidRDefault="000A3118">
            <w:pPr>
              <w:rPr>
                <w:rFonts w:eastAsia="Times New Roman"/>
                <w:sz w:val="20"/>
                <w:szCs w:val="20"/>
              </w:rPr>
            </w:pPr>
          </w:p>
        </w:tc>
      </w:tr>
      <w:tr w:rsidR="00000000" w14:paraId="001BD3E1" w14:textId="77777777">
        <w:trPr>
          <w:jc w:val="center"/>
        </w:trPr>
        <w:tc>
          <w:tcPr>
            <w:tcW w:w="0" w:type="auto"/>
            <w:gridSpan w:val="3"/>
            <w:tcMar>
              <w:top w:w="0" w:type="dxa"/>
              <w:left w:w="20" w:type="dxa"/>
              <w:bottom w:w="0" w:type="dxa"/>
              <w:right w:w="20" w:type="dxa"/>
            </w:tcMar>
            <w:vAlign w:val="center"/>
            <w:hideMark/>
          </w:tcPr>
          <w:p w14:paraId="4FC0A1BB" w14:textId="77777777" w:rsidR="00000000" w:rsidRDefault="000A3118">
            <w:pPr>
              <w:rPr>
                <w:rFonts w:eastAsia="Times New Roman"/>
                <w:sz w:val="20"/>
                <w:szCs w:val="20"/>
              </w:rPr>
            </w:pPr>
          </w:p>
        </w:tc>
        <w:tc>
          <w:tcPr>
            <w:tcW w:w="0" w:type="auto"/>
            <w:gridSpan w:val="36"/>
            <w:tcMar>
              <w:top w:w="30" w:type="dxa"/>
              <w:left w:w="20" w:type="dxa"/>
              <w:bottom w:w="30" w:type="dxa"/>
              <w:right w:w="20" w:type="dxa"/>
            </w:tcMar>
            <w:hideMark/>
          </w:tcPr>
          <w:p w14:paraId="2C09695D" w14:textId="77777777" w:rsidR="00000000" w:rsidRDefault="000A3118">
            <w:pPr>
              <w:jc w:val="center"/>
              <w:rPr>
                <w:rFonts w:eastAsia="Times New Roman"/>
              </w:rPr>
            </w:pPr>
            <w:r>
              <w:rPr>
                <w:rFonts w:eastAsia="Times New Roman"/>
                <w:b/>
                <w:bCs/>
                <w:color w:val="000000"/>
                <w:sz w:val="16"/>
                <w:szCs w:val="16"/>
              </w:rPr>
              <w:t>Fair Value as of December 31, 2019</w:t>
            </w:r>
          </w:p>
        </w:tc>
      </w:tr>
      <w:tr w:rsidR="00000000" w14:paraId="3D71D1A5" w14:textId="77777777">
        <w:trPr>
          <w:jc w:val="center"/>
        </w:trPr>
        <w:tc>
          <w:tcPr>
            <w:tcW w:w="0" w:type="auto"/>
            <w:gridSpan w:val="3"/>
            <w:tcMar>
              <w:top w:w="0" w:type="dxa"/>
              <w:left w:w="20" w:type="dxa"/>
              <w:bottom w:w="0" w:type="dxa"/>
              <w:right w:w="20" w:type="dxa"/>
            </w:tcMar>
            <w:vAlign w:val="center"/>
            <w:hideMark/>
          </w:tcPr>
          <w:p w14:paraId="469C0FF7" w14:textId="77777777" w:rsidR="00000000" w:rsidRDefault="000A311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C1D5D88"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9A1AB9"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000FD6"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96C5C69"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21EF8E"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EFD209"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5966A1"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C313A4"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6D55CA9"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2509052" w14:textId="77777777" w:rsidR="00000000" w:rsidRDefault="000A3118">
            <w:pPr>
              <w:jc w:val="center"/>
              <w:rPr>
                <w:rFonts w:eastAsia="Times New Roman"/>
              </w:rPr>
            </w:pPr>
            <w:r>
              <w:rPr>
                <w:rFonts w:eastAsia="Times New Roman"/>
                <w:b/>
                <w:bCs/>
                <w:color w:val="000000"/>
                <w:sz w:val="16"/>
                <w:szCs w:val="16"/>
              </w:rPr>
              <w:t>Gross Amounts</w:t>
            </w:r>
          </w:p>
        </w:tc>
        <w:tc>
          <w:tcPr>
            <w:tcW w:w="0" w:type="auto"/>
            <w:gridSpan w:val="3"/>
            <w:tcBorders>
              <w:top w:val="single" w:sz="8" w:space="0" w:color="000000"/>
            </w:tcBorders>
            <w:tcMar>
              <w:top w:w="0" w:type="dxa"/>
              <w:left w:w="20" w:type="dxa"/>
              <w:bottom w:w="0" w:type="dxa"/>
              <w:right w:w="20" w:type="dxa"/>
            </w:tcMar>
            <w:vAlign w:val="center"/>
            <w:hideMark/>
          </w:tcPr>
          <w:p w14:paraId="37BD53DC" w14:textId="77777777" w:rsidR="00000000" w:rsidRDefault="000A3118">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546EFFE" w14:textId="77777777" w:rsidR="00000000" w:rsidRDefault="000A3118">
            <w:pPr>
              <w:rPr>
                <w:rFonts w:eastAsia="Times New Roman"/>
                <w:sz w:val="20"/>
                <w:szCs w:val="20"/>
              </w:rPr>
            </w:pPr>
          </w:p>
        </w:tc>
      </w:tr>
      <w:tr w:rsidR="00000000" w14:paraId="024EDFC5" w14:textId="77777777">
        <w:trPr>
          <w:jc w:val="center"/>
        </w:trPr>
        <w:tc>
          <w:tcPr>
            <w:tcW w:w="0" w:type="auto"/>
            <w:gridSpan w:val="3"/>
            <w:tcMar>
              <w:top w:w="0" w:type="dxa"/>
              <w:left w:w="20" w:type="dxa"/>
              <w:bottom w:w="0" w:type="dxa"/>
              <w:right w:w="20" w:type="dxa"/>
            </w:tcMar>
            <w:vAlign w:val="center"/>
            <w:hideMark/>
          </w:tcPr>
          <w:p w14:paraId="52846FD9"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3DC3A78E"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15FFD69E" w14:textId="77777777" w:rsidR="00000000" w:rsidRDefault="000A3118">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14:paraId="12D931AF"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3153C896" w14:textId="77777777" w:rsidR="00000000" w:rsidRDefault="000A3118">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14:paraId="7642FD4D"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02FC78E0" w14:textId="77777777" w:rsidR="00000000" w:rsidRDefault="000A3118">
            <w:pPr>
              <w:jc w:val="center"/>
              <w:rPr>
                <w:rFonts w:eastAsia="Times New Roman"/>
              </w:rPr>
            </w:pPr>
            <w:r>
              <w:rPr>
                <w:rFonts w:eastAsia="Times New Roman"/>
                <w:b/>
                <w:bCs/>
                <w:color w:val="000000"/>
                <w:sz w:val="16"/>
                <w:szCs w:val="16"/>
              </w:rPr>
              <w:t>Net Amounts</w:t>
            </w:r>
          </w:p>
        </w:tc>
        <w:tc>
          <w:tcPr>
            <w:tcW w:w="0" w:type="auto"/>
            <w:gridSpan w:val="3"/>
            <w:tcMar>
              <w:top w:w="0" w:type="dxa"/>
              <w:left w:w="20" w:type="dxa"/>
              <w:bottom w:w="0" w:type="dxa"/>
              <w:right w:w="20" w:type="dxa"/>
            </w:tcMar>
            <w:vAlign w:val="center"/>
            <w:hideMark/>
          </w:tcPr>
          <w:p w14:paraId="2AB5CD44"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1B9083C6" w14:textId="77777777" w:rsidR="00000000" w:rsidRDefault="000A3118">
            <w:pPr>
              <w:jc w:val="center"/>
              <w:rPr>
                <w:rFonts w:eastAsia="Times New Roman"/>
              </w:rPr>
            </w:pPr>
            <w:r>
              <w:rPr>
                <w:rFonts w:eastAsia="Times New Roman"/>
                <w:b/>
                <w:bCs/>
                <w:color w:val="000000"/>
                <w:sz w:val="16"/>
                <w:szCs w:val="16"/>
              </w:rPr>
              <w:t>Cash</w:t>
            </w:r>
          </w:p>
        </w:tc>
        <w:tc>
          <w:tcPr>
            <w:tcW w:w="0" w:type="auto"/>
            <w:gridSpan w:val="3"/>
            <w:tcMar>
              <w:top w:w="0" w:type="dxa"/>
              <w:left w:w="20" w:type="dxa"/>
              <w:bottom w:w="0" w:type="dxa"/>
              <w:right w:w="20" w:type="dxa"/>
            </w:tcMar>
            <w:vAlign w:val="center"/>
            <w:hideMark/>
          </w:tcPr>
          <w:p w14:paraId="121BF3C9"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556429FA" w14:textId="77777777" w:rsidR="00000000" w:rsidRDefault="000A3118">
            <w:pPr>
              <w:jc w:val="center"/>
              <w:rPr>
                <w:rFonts w:eastAsia="Times New Roman"/>
              </w:rPr>
            </w:pPr>
            <w:r>
              <w:rPr>
                <w:rFonts w:eastAsia="Times New Roman"/>
                <w:b/>
                <w:bCs/>
                <w:color w:val="000000"/>
                <w:sz w:val="16"/>
                <w:szCs w:val="16"/>
              </w:rPr>
              <w:t> without</w:t>
            </w:r>
          </w:p>
        </w:tc>
        <w:tc>
          <w:tcPr>
            <w:tcW w:w="0" w:type="auto"/>
            <w:gridSpan w:val="3"/>
            <w:tcMar>
              <w:top w:w="0" w:type="dxa"/>
              <w:left w:w="20" w:type="dxa"/>
              <w:bottom w:w="0" w:type="dxa"/>
              <w:right w:w="20" w:type="dxa"/>
            </w:tcMar>
            <w:vAlign w:val="center"/>
            <w:hideMark/>
          </w:tcPr>
          <w:p w14:paraId="7EAB525A"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0D83548A" w14:textId="77777777" w:rsidR="00000000" w:rsidRDefault="000A3118">
            <w:pPr>
              <w:rPr>
                <w:rFonts w:eastAsia="Times New Roman"/>
                <w:sz w:val="20"/>
                <w:szCs w:val="20"/>
              </w:rPr>
            </w:pPr>
          </w:p>
        </w:tc>
      </w:tr>
      <w:tr w:rsidR="00000000" w14:paraId="7922638D" w14:textId="77777777">
        <w:trPr>
          <w:jc w:val="center"/>
        </w:trPr>
        <w:tc>
          <w:tcPr>
            <w:tcW w:w="0" w:type="auto"/>
            <w:gridSpan w:val="3"/>
            <w:tcMar>
              <w:top w:w="0" w:type="dxa"/>
              <w:left w:w="20" w:type="dxa"/>
              <w:bottom w:w="0" w:type="dxa"/>
              <w:right w:w="20" w:type="dxa"/>
            </w:tcMar>
            <w:vAlign w:val="center"/>
            <w:hideMark/>
          </w:tcPr>
          <w:p w14:paraId="26EB2D6F"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273ABCE4"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136D3ED6" w14:textId="77777777" w:rsidR="00000000" w:rsidRDefault="000A3118">
            <w:pPr>
              <w:jc w:val="center"/>
              <w:rPr>
                <w:rFonts w:eastAsia="Times New Roman"/>
              </w:rPr>
            </w:pPr>
            <w:r>
              <w:rPr>
                <w:rFonts w:eastAsia="Times New Roman"/>
                <w:b/>
                <w:bCs/>
                <w:color w:val="000000"/>
                <w:sz w:val="16"/>
                <w:szCs w:val="16"/>
              </w:rPr>
              <w:t>Recognized</w:t>
            </w:r>
          </w:p>
        </w:tc>
        <w:tc>
          <w:tcPr>
            <w:tcW w:w="0" w:type="auto"/>
            <w:gridSpan w:val="3"/>
            <w:tcMar>
              <w:top w:w="0" w:type="dxa"/>
              <w:left w:w="20" w:type="dxa"/>
              <w:bottom w:w="0" w:type="dxa"/>
              <w:right w:w="20" w:type="dxa"/>
            </w:tcMar>
            <w:vAlign w:val="center"/>
            <w:hideMark/>
          </w:tcPr>
          <w:p w14:paraId="61106092"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4C55B028" w14:textId="77777777" w:rsidR="00000000" w:rsidRDefault="000A3118">
            <w:pPr>
              <w:jc w:val="center"/>
              <w:rPr>
                <w:rFonts w:eastAsia="Times New Roman"/>
              </w:rPr>
            </w:pPr>
            <w:r>
              <w:rPr>
                <w:rFonts w:eastAsia="Times New Roman"/>
                <w:b/>
                <w:bCs/>
                <w:color w:val="000000"/>
                <w:sz w:val="16"/>
                <w:szCs w:val="16"/>
              </w:rPr>
              <w:t>Offset</w:t>
            </w:r>
          </w:p>
        </w:tc>
        <w:tc>
          <w:tcPr>
            <w:tcW w:w="0" w:type="auto"/>
            <w:gridSpan w:val="3"/>
            <w:tcMar>
              <w:top w:w="0" w:type="dxa"/>
              <w:left w:w="20" w:type="dxa"/>
              <w:bottom w:w="0" w:type="dxa"/>
              <w:right w:w="20" w:type="dxa"/>
            </w:tcMar>
            <w:vAlign w:val="center"/>
            <w:hideMark/>
          </w:tcPr>
          <w:p w14:paraId="0E53D6AF"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415FBD7C" w14:textId="77777777" w:rsidR="00000000" w:rsidRDefault="000A3118">
            <w:pPr>
              <w:jc w:val="center"/>
              <w:rPr>
                <w:rFonts w:eastAsia="Times New Roman"/>
              </w:rPr>
            </w:pPr>
            <w:r>
              <w:rPr>
                <w:rFonts w:eastAsia="Times New Roman"/>
                <w:b/>
                <w:bCs/>
                <w:color w:val="000000"/>
                <w:sz w:val="16"/>
                <w:szCs w:val="16"/>
              </w:rPr>
              <w:t>Presented</w:t>
            </w:r>
          </w:p>
        </w:tc>
        <w:tc>
          <w:tcPr>
            <w:tcW w:w="0" w:type="auto"/>
            <w:gridSpan w:val="3"/>
            <w:tcMar>
              <w:top w:w="0" w:type="dxa"/>
              <w:left w:w="20" w:type="dxa"/>
              <w:bottom w:w="0" w:type="dxa"/>
              <w:right w:w="20" w:type="dxa"/>
            </w:tcMar>
            <w:vAlign w:val="center"/>
            <w:hideMark/>
          </w:tcPr>
          <w:p w14:paraId="10F50395"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22973430" w14:textId="77777777" w:rsidR="00000000" w:rsidRDefault="000A3118">
            <w:pPr>
              <w:jc w:val="center"/>
              <w:rPr>
                <w:rFonts w:eastAsia="Times New Roman"/>
              </w:rPr>
            </w:pPr>
            <w:r>
              <w:rPr>
                <w:rFonts w:eastAsia="Times New Roman"/>
                <w:b/>
                <w:bCs/>
                <w:color w:val="000000"/>
                <w:sz w:val="16"/>
                <w:szCs w:val="16"/>
              </w:rPr>
              <w:t>Collateral</w:t>
            </w:r>
          </w:p>
        </w:tc>
        <w:tc>
          <w:tcPr>
            <w:tcW w:w="0" w:type="auto"/>
            <w:gridSpan w:val="3"/>
            <w:tcMar>
              <w:top w:w="0" w:type="dxa"/>
              <w:left w:w="20" w:type="dxa"/>
              <w:bottom w:w="0" w:type="dxa"/>
              <w:right w:w="20" w:type="dxa"/>
            </w:tcMar>
            <w:vAlign w:val="center"/>
            <w:hideMark/>
          </w:tcPr>
          <w:p w14:paraId="1DB9CCBD"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7BF02415" w14:textId="77777777" w:rsidR="00000000" w:rsidRDefault="000A3118">
            <w:pPr>
              <w:jc w:val="center"/>
              <w:rPr>
                <w:rFonts w:eastAsia="Times New Roman"/>
              </w:rPr>
            </w:pPr>
            <w:r>
              <w:rPr>
                <w:rFonts w:eastAsia="Times New Roman"/>
                <w:b/>
                <w:bCs/>
                <w:color w:val="000000"/>
                <w:sz w:val="16"/>
                <w:szCs w:val="16"/>
              </w:rPr>
              <w:t>Right of Offset</w:t>
            </w:r>
          </w:p>
        </w:tc>
        <w:tc>
          <w:tcPr>
            <w:tcW w:w="0" w:type="auto"/>
            <w:gridSpan w:val="3"/>
            <w:tcMar>
              <w:top w:w="0" w:type="dxa"/>
              <w:left w:w="20" w:type="dxa"/>
              <w:bottom w:w="0" w:type="dxa"/>
              <w:right w:w="20" w:type="dxa"/>
            </w:tcMar>
            <w:vAlign w:val="center"/>
            <w:hideMark/>
          </w:tcPr>
          <w:p w14:paraId="46A52706"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48D6F283" w14:textId="77777777" w:rsidR="00000000" w:rsidRDefault="000A3118">
            <w:pPr>
              <w:jc w:val="center"/>
              <w:rPr>
                <w:rFonts w:eastAsia="Times New Roman"/>
              </w:rPr>
            </w:pPr>
            <w:r>
              <w:rPr>
                <w:rFonts w:eastAsia="Times New Roman"/>
                <w:b/>
                <w:bCs/>
                <w:color w:val="000000"/>
                <w:sz w:val="16"/>
                <w:szCs w:val="16"/>
              </w:rPr>
              <w:t>Net Amounts</w:t>
            </w:r>
          </w:p>
        </w:tc>
      </w:tr>
      <w:tr w:rsidR="00000000" w14:paraId="398120C5"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5221DE" w14:textId="77777777" w:rsidR="00000000" w:rsidRDefault="000A3118">
            <w:pPr>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EA0F0C"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50318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89C12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C46B63"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587A7F"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60498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F2AA40"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7A0EA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91C9E1"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FA9E12"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8EF081"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AD6826" w14:textId="77777777" w:rsidR="00000000" w:rsidRDefault="000A3118">
            <w:pPr>
              <w:rPr>
                <w:rFonts w:eastAsia="Times New Roman"/>
                <w:sz w:val="20"/>
                <w:szCs w:val="20"/>
              </w:rPr>
            </w:pPr>
          </w:p>
        </w:tc>
      </w:tr>
      <w:tr w:rsidR="00000000" w14:paraId="7E6D02C6" w14:textId="77777777">
        <w:trPr>
          <w:jc w:val="center"/>
        </w:trPr>
        <w:tc>
          <w:tcPr>
            <w:tcW w:w="0" w:type="auto"/>
            <w:gridSpan w:val="3"/>
            <w:shd w:val="clear" w:color="auto" w:fill="FFFFFF"/>
            <w:tcMar>
              <w:top w:w="30" w:type="dxa"/>
              <w:left w:w="20" w:type="dxa"/>
              <w:bottom w:w="30" w:type="dxa"/>
              <w:right w:w="20" w:type="dxa"/>
            </w:tcMar>
            <w:vAlign w:val="bottom"/>
            <w:hideMark/>
          </w:tcPr>
          <w:p w14:paraId="29D2EA6D" w14:textId="77777777" w:rsidR="00000000" w:rsidRDefault="000A3118">
            <w:pPr>
              <w:rPr>
                <w:rFonts w:eastAsia="Times New Roman"/>
              </w:rPr>
            </w:pPr>
            <w:r>
              <w:rPr>
                <w:rFonts w:eastAsia="Times New Roman"/>
                <w:color w:val="000000"/>
                <w:sz w:val="16"/>
                <w:szCs w:val="16"/>
              </w:rPr>
              <w:t>Commodities contracts</w:t>
            </w:r>
          </w:p>
        </w:tc>
        <w:tc>
          <w:tcPr>
            <w:tcW w:w="0" w:type="auto"/>
            <w:gridSpan w:val="3"/>
            <w:shd w:val="clear" w:color="auto" w:fill="FFFFFF"/>
            <w:tcMar>
              <w:top w:w="0" w:type="dxa"/>
              <w:left w:w="20" w:type="dxa"/>
              <w:bottom w:w="0" w:type="dxa"/>
              <w:right w:w="20" w:type="dxa"/>
            </w:tcMar>
            <w:vAlign w:val="center"/>
            <w:hideMark/>
          </w:tcPr>
          <w:p w14:paraId="1B782EAB"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6CA30C24"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615BFDB" w14:textId="77777777" w:rsidR="00000000" w:rsidRDefault="000A3118">
            <w:pPr>
              <w:jc w:val="right"/>
              <w:rPr>
                <w:rFonts w:eastAsia="Times New Roman"/>
              </w:rPr>
            </w:pPr>
            <w:r>
              <w:rPr>
                <w:rFonts w:eastAsia="Times New Roman"/>
                <w:color w:val="000000"/>
                <w:sz w:val="16"/>
                <w:szCs w:val="16"/>
              </w:rPr>
              <w:t>259.0 </w:t>
            </w:r>
          </w:p>
        </w:tc>
        <w:tc>
          <w:tcPr>
            <w:tcW w:w="0" w:type="auto"/>
            <w:shd w:val="clear" w:color="auto" w:fill="FFFFFF"/>
            <w:tcMar>
              <w:top w:w="30" w:type="dxa"/>
              <w:left w:w="0" w:type="dxa"/>
              <w:bottom w:w="30" w:type="dxa"/>
              <w:right w:w="20" w:type="dxa"/>
            </w:tcMar>
            <w:vAlign w:val="bottom"/>
            <w:hideMark/>
          </w:tcPr>
          <w:p w14:paraId="4B6E1B4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99A7B"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484E28"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7EB1678" w14:textId="77777777" w:rsidR="00000000" w:rsidRDefault="000A3118">
            <w:pPr>
              <w:jc w:val="right"/>
              <w:rPr>
                <w:rFonts w:eastAsia="Times New Roman"/>
              </w:rPr>
            </w:pPr>
            <w:r>
              <w:rPr>
                <w:rFonts w:eastAsia="Times New Roman"/>
                <w:color w:val="000000"/>
                <w:sz w:val="16"/>
                <w:szCs w:val="16"/>
              </w:rPr>
              <w:t>130.0 </w:t>
            </w:r>
          </w:p>
        </w:tc>
        <w:tc>
          <w:tcPr>
            <w:tcW w:w="0" w:type="auto"/>
            <w:shd w:val="clear" w:color="auto" w:fill="FFFFFF"/>
            <w:tcMar>
              <w:top w:w="30" w:type="dxa"/>
              <w:left w:w="0" w:type="dxa"/>
              <w:bottom w:w="30" w:type="dxa"/>
              <w:right w:w="20" w:type="dxa"/>
            </w:tcMar>
            <w:vAlign w:val="bottom"/>
            <w:hideMark/>
          </w:tcPr>
          <w:p w14:paraId="00C9CD7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B2557"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346AC6"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7F11002" w14:textId="77777777" w:rsidR="00000000" w:rsidRDefault="000A3118">
            <w:pPr>
              <w:jc w:val="right"/>
              <w:rPr>
                <w:rFonts w:eastAsia="Times New Roman"/>
              </w:rPr>
            </w:pPr>
            <w:r>
              <w:rPr>
                <w:rFonts w:eastAsia="Times New Roman"/>
                <w:color w:val="000000"/>
                <w:sz w:val="16"/>
                <w:szCs w:val="16"/>
              </w:rPr>
              <w:t>129.0 </w:t>
            </w:r>
          </w:p>
        </w:tc>
        <w:tc>
          <w:tcPr>
            <w:tcW w:w="0" w:type="auto"/>
            <w:shd w:val="clear" w:color="auto" w:fill="FFFFFF"/>
            <w:tcMar>
              <w:top w:w="30" w:type="dxa"/>
              <w:left w:w="0" w:type="dxa"/>
              <w:bottom w:w="30" w:type="dxa"/>
              <w:right w:w="20" w:type="dxa"/>
            </w:tcMar>
            <w:vAlign w:val="bottom"/>
            <w:hideMark/>
          </w:tcPr>
          <w:p w14:paraId="7600140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C9785"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1DC0D5"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27B5411"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054DBD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832592"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4510AE"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09DB75C"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D8FF73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C2563"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034571"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08BF145" w14:textId="77777777" w:rsidR="00000000" w:rsidRDefault="000A3118">
            <w:pPr>
              <w:jc w:val="right"/>
              <w:rPr>
                <w:rFonts w:eastAsia="Times New Roman"/>
              </w:rPr>
            </w:pPr>
            <w:r>
              <w:rPr>
                <w:rFonts w:eastAsia="Times New Roman"/>
                <w:color w:val="000000"/>
                <w:sz w:val="16"/>
                <w:szCs w:val="16"/>
              </w:rPr>
              <w:t>129.0 </w:t>
            </w:r>
          </w:p>
        </w:tc>
        <w:tc>
          <w:tcPr>
            <w:tcW w:w="0" w:type="auto"/>
            <w:shd w:val="clear" w:color="auto" w:fill="FFFFFF"/>
            <w:tcMar>
              <w:top w:w="30" w:type="dxa"/>
              <w:left w:w="0" w:type="dxa"/>
              <w:bottom w:w="30" w:type="dxa"/>
              <w:right w:w="20" w:type="dxa"/>
            </w:tcMar>
            <w:vAlign w:val="bottom"/>
            <w:hideMark/>
          </w:tcPr>
          <w:p w14:paraId="63B3A926" w14:textId="77777777" w:rsidR="00000000" w:rsidRDefault="000A3118">
            <w:pPr>
              <w:jc w:val="right"/>
              <w:rPr>
                <w:rFonts w:eastAsia="Times New Roman"/>
              </w:rPr>
            </w:pPr>
          </w:p>
        </w:tc>
      </w:tr>
      <w:tr w:rsidR="00000000" w14:paraId="7EA38895" w14:textId="77777777">
        <w:trPr>
          <w:jc w:val="center"/>
        </w:trPr>
        <w:tc>
          <w:tcPr>
            <w:tcW w:w="0" w:type="auto"/>
            <w:gridSpan w:val="3"/>
            <w:vAlign w:val="center"/>
            <w:hideMark/>
          </w:tcPr>
          <w:p w14:paraId="37105C51" w14:textId="77777777" w:rsidR="00000000" w:rsidRDefault="000A3118">
            <w:pPr>
              <w:jc w:val="right"/>
              <w:rPr>
                <w:rFonts w:eastAsia="Times New Roman"/>
                <w:sz w:val="20"/>
                <w:szCs w:val="20"/>
              </w:rPr>
            </w:pPr>
          </w:p>
        </w:tc>
        <w:tc>
          <w:tcPr>
            <w:tcW w:w="0" w:type="auto"/>
            <w:gridSpan w:val="3"/>
            <w:vAlign w:val="center"/>
            <w:hideMark/>
          </w:tcPr>
          <w:p w14:paraId="09B268F8" w14:textId="77777777" w:rsidR="00000000" w:rsidRDefault="000A3118">
            <w:pPr>
              <w:rPr>
                <w:rFonts w:eastAsia="Times New Roman"/>
                <w:sz w:val="20"/>
                <w:szCs w:val="20"/>
              </w:rPr>
            </w:pPr>
          </w:p>
        </w:tc>
        <w:tc>
          <w:tcPr>
            <w:tcW w:w="0" w:type="auto"/>
            <w:gridSpan w:val="3"/>
            <w:vAlign w:val="center"/>
            <w:hideMark/>
          </w:tcPr>
          <w:p w14:paraId="1C71A7E5" w14:textId="77777777" w:rsidR="00000000" w:rsidRDefault="000A3118">
            <w:pPr>
              <w:rPr>
                <w:rFonts w:eastAsia="Times New Roman"/>
                <w:sz w:val="20"/>
                <w:szCs w:val="20"/>
              </w:rPr>
            </w:pPr>
          </w:p>
        </w:tc>
        <w:tc>
          <w:tcPr>
            <w:tcW w:w="0" w:type="auto"/>
            <w:gridSpan w:val="3"/>
            <w:vAlign w:val="center"/>
            <w:hideMark/>
          </w:tcPr>
          <w:p w14:paraId="4F42BFB4" w14:textId="77777777" w:rsidR="00000000" w:rsidRDefault="000A3118">
            <w:pPr>
              <w:rPr>
                <w:rFonts w:eastAsia="Times New Roman"/>
                <w:sz w:val="20"/>
                <w:szCs w:val="20"/>
              </w:rPr>
            </w:pPr>
          </w:p>
        </w:tc>
        <w:tc>
          <w:tcPr>
            <w:tcW w:w="0" w:type="auto"/>
            <w:gridSpan w:val="3"/>
            <w:vAlign w:val="center"/>
            <w:hideMark/>
          </w:tcPr>
          <w:p w14:paraId="4EC1291E" w14:textId="77777777" w:rsidR="00000000" w:rsidRDefault="000A3118">
            <w:pPr>
              <w:rPr>
                <w:rFonts w:eastAsia="Times New Roman"/>
                <w:sz w:val="20"/>
                <w:szCs w:val="20"/>
              </w:rPr>
            </w:pPr>
          </w:p>
        </w:tc>
        <w:tc>
          <w:tcPr>
            <w:tcW w:w="0" w:type="auto"/>
            <w:gridSpan w:val="3"/>
            <w:vAlign w:val="center"/>
            <w:hideMark/>
          </w:tcPr>
          <w:p w14:paraId="63533DBC" w14:textId="77777777" w:rsidR="00000000" w:rsidRDefault="000A3118">
            <w:pPr>
              <w:rPr>
                <w:rFonts w:eastAsia="Times New Roman"/>
                <w:sz w:val="20"/>
                <w:szCs w:val="20"/>
              </w:rPr>
            </w:pPr>
          </w:p>
        </w:tc>
        <w:tc>
          <w:tcPr>
            <w:tcW w:w="0" w:type="auto"/>
            <w:gridSpan w:val="3"/>
            <w:vAlign w:val="center"/>
            <w:hideMark/>
          </w:tcPr>
          <w:p w14:paraId="0B744D56" w14:textId="77777777" w:rsidR="00000000" w:rsidRDefault="000A3118">
            <w:pPr>
              <w:rPr>
                <w:rFonts w:eastAsia="Times New Roman"/>
                <w:sz w:val="20"/>
                <w:szCs w:val="20"/>
              </w:rPr>
            </w:pPr>
          </w:p>
        </w:tc>
        <w:tc>
          <w:tcPr>
            <w:tcW w:w="0" w:type="auto"/>
            <w:gridSpan w:val="3"/>
            <w:vAlign w:val="center"/>
            <w:hideMark/>
          </w:tcPr>
          <w:p w14:paraId="07C78F46" w14:textId="77777777" w:rsidR="00000000" w:rsidRDefault="000A3118">
            <w:pPr>
              <w:rPr>
                <w:rFonts w:eastAsia="Times New Roman"/>
                <w:sz w:val="20"/>
                <w:szCs w:val="20"/>
              </w:rPr>
            </w:pPr>
          </w:p>
        </w:tc>
        <w:tc>
          <w:tcPr>
            <w:tcW w:w="0" w:type="auto"/>
            <w:gridSpan w:val="3"/>
            <w:vAlign w:val="center"/>
            <w:hideMark/>
          </w:tcPr>
          <w:p w14:paraId="0DD0184C" w14:textId="77777777" w:rsidR="00000000" w:rsidRDefault="000A3118">
            <w:pPr>
              <w:rPr>
                <w:rFonts w:eastAsia="Times New Roman"/>
                <w:sz w:val="20"/>
                <w:szCs w:val="20"/>
              </w:rPr>
            </w:pPr>
          </w:p>
        </w:tc>
        <w:tc>
          <w:tcPr>
            <w:tcW w:w="0" w:type="auto"/>
            <w:gridSpan w:val="3"/>
            <w:vAlign w:val="center"/>
            <w:hideMark/>
          </w:tcPr>
          <w:p w14:paraId="0340C101" w14:textId="77777777" w:rsidR="00000000" w:rsidRDefault="000A3118">
            <w:pPr>
              <w:rPr>
                <w:rFonts w:eastAsia="Times New Roman"/>
                <w:sz w:val="20"/>
                <w:szCs w:val="20"/>
              </w:rPr>
            </w:pPr>
          </w:p>
        </w:tc>
        <w:tc>
          <w:tcPr>
            <w:tcW w:w="0" w:type="auto"/>
            <w:gridSpan w:val="3"/>
            <w:vAlign w:val="center"/>
            <w:hideMark/>
          </w:tcPr>
          <w:p w14:paraId="6638E8FA" w14:textId="77777777" w:rsidR="00000000" w:rsidRDefault="000A3118">
            <w:pPr>
              <w:rPr>
                <w:rFonts w:eastAsia="Times New Roman"/>
                <w:sz w:val="20"/>
                <w:szCs w:val="20"/>
              </w:rPr>
            </w:pPr>
          </w:p>
        </w:tc>
        <w:tc>
          <w:tcPr>
            <w:tcW w:w="0" w:type="auto"/>
            <w:gridSpan w:val="3"/>
            <w:vAlign w:val="center"/>
            <w:hideMark/>
          </w:tcPr>
          <w:p w14:paraId="304E9FB5" w14:textId="77777777" w:rsidR="00000000" w:rsidRDefault="000A3118">
            <w:pPr>
              <w:rPr>
                <w:rFonts w:eastAsia="Times New Roman"/>
                <w:sz w:val="20"/>
                <w:szCs w:val="20"/>
              </w:rPr>
            </w:pPr>
          </w:p>
        </w:tc>
        <w:tc>
          <w:tcPr>
            <w:tcW w:w="0" w:type="auto"/>
            <w:gridSpan w:val="3"/>
            <w:vAlign w:val="center"/>
            <w:hideMark/>
          </w:tcPr>
          <w:p w14:paraId="5351A7E9" w14:textId="77777777" w:rsidR="00000000" w:rsidRDefault="000A3118">
            <w:pPr>
              <w:rPr>
                <w:rFonts w:eastAsia="Times New Roman"/>
                <w:sz w:val="20"/>
                <w:szCs w:val="20"/>
              </w:rPr>
            </w:pPr>
          </w:p>
        </w:tc>
      </w:tr>
      <w:tr w:rsidR="00000000" w14:paraId="77E2E9C4" w14:textId="77777777">
        <w:trPr>
          <w:jc w:val="center"/>
        </w:trPr>
        <w:tc>
          <w:tcPr>
            <w:tcW w:w="0" w:type="auto"/>
            <w:gridSpan w:val="3"/>
            <w:shd w:val="clear" w:color="auto" w:fill="CCEEFF"/>
            <w:tcMar>
              <w:top w:w="30" w:type="dxa"/>
              <w:left w:w="20" w:type="dxa"/>
              <w:bottom w:w="30" w:type="dxa"/>
              <w:right w:w="20" w:type="dxa"/>
            </w:tcMar>
            <w:vAlign w:val="bottom"/>
            <w:hideMark/>
          </w:tcPr>
          <w:p w14:paraId="62BBAE65" w14:textId="77777777" w:rsidR="00000000" w:rsidRDefault="000A3118">
            <w:pPr>
              <w:rPr>
                <w:rFonts w:eastAsia="Times New Roman"/>
              </w:rPr>
            </w:pPr>
            <w:r>
              <w:rPr>
                <w:rFonts w:eastAsia="Times New Roman"/>
                <w:color w:val="000000"/>
                <w:sz w:val="16"/>
                <w:szCs w:val="16"/>
              </w:rPr>
              <w:t>Foreign currency contracts</w:t>
            </w:r>
          </w:p>
        </w:tc>
        <w:tc>
          <w:tcPr>
            <w:tcW w:w="0" w:type="auto"/>
            <w:gridSpan w:val="3"/>
            <w:shd w:val="clear" w:color="auto" w:fill="CCEEFF"/>
            <w:tcMar>
              <w:top w:w="0" w:type="dxa"/>
              <w:left w:w="20" w:type="dxa"/>
              <w:bottom w:w="0" w:type="dxa"/>
              <w:right w:w="20" w:type="dxa"/>
            </w:tcMar>
            <w:vAlign w:val="center"/>
            <w:hideMark/>
          </w:tcPr>
          <w:p w14:paraId="551E32AE"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8B1CD3" w14:textId="77777777" w:rsidR="00000000" w:rsidRDefault="000A3118">
            <w:pPr>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14:paraId="2DDD757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F18A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920D79" w14:textId="77777777" w:rsidR="00000000" w:rsidRDefault="000A3118">
            <w:pPr>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14:paraId="4C1B9B0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6F44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A5D2A8" w14:textId="77777777" w:rsidR="00000000" w:rsidRDefault="000A3118">
            <w:pPr>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14:paraId="1D8F5DD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F965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063E0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7873B0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0989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ACE44"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567F8B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E7C8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BCD371" w14:textId="77777777" w:rsidR="00000000" w:rsidRDefault="000A3118">
            <w:pPr>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14:paraId="15083B98" w14:textId="77777777" w:rsidR="00000000" w:rsidRDefault="000A3118">
            <w:pPr>
              <w:jc w:val="right"/>
              <w:rPr>
                <w:rFonts w:eastAsia="Times New Roman"/>
              </w:rPr>
            </w:pPr>
          </w:p>
        </w:tc>
      </w:tr>
      <w:tr w:rsidR="00000000" w14:paraId="36CEC7F1" w14:textId="77777777">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72F0335" w14:textId="77777777" w:rsidR="00000000" w:rsidRDefault="000A3118">
            <w:pPr>
              <w:rPr>
                <w:rFonts w:eastAsia="Times New Roman"/>
              </w:rPr>
            </w:pPr>
            <w:r>
              <w:rPr>
                <w:rFonts w:eastAsia="Times New Roman"/>
                <w:color w:val="000000"/>
                <w:sz w:val="16"/>
                <w:szCs w:val="16"/>
              </w:rPr>
              <w:t>Total assets at fair value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19ADD99" w14:textId="77777777" w:rsidR="00000000" w:rsidRDefault="000A3118">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340C2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C2F848" w14:textId="77777777" w:rsidR="00000000" w:rsidRDefault="000A3118">
            <w:pPr>
              <w:jc w:val="right"/>
              <w:rPr>
                <w:rFonts w:eastAsia="Times New Roman"/>
              </w:rPr>
            </w:pPr>
            <w:r>
              <w:rPr>
                <w:rFonts w:eastAsia="Times New Roman"/>
                <w:color w:val="000000"/>
                <w:sz w:val="16"/>
                <w:szCs w:val="16"/>
              </w:rPr>
              <w:t>261.1 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BB99FA"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0EF207"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67AC3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45AFBE" w14:textId="77777777" w:rsidR="00000000" w:rsidRDefault="000A3118">
            <w:pPr>
              <w:jc w:val="right"/>
              <w:rPr>
                <w:rFonts w:eastAsia="Times New Roman"/>
              </w:rPr>
            </w:pPr>
            <w:r>
              <w:rPr>
                <w:rFonts w:eastAsia="Times New Roman"/>
                <w:color w:val="000000"/>
                <w:sz w:val="16"/>
                <w:szCs w:val="16"/>
              </w:rPr>
              <w:t>131.1 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73D1A2"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03E03DF"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2781E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AFCA40" w14:textId="77777777" w:rsidR="00000000" w:rsidRDefault="000A3118">
            <w:pPr>
              <w:jc w:val="right"/>
              <w:rPr>
                <w:rFonts w:eastAsia="Times New Roman"/>
              </w:rPr>
            </w:pPr>
            <w:r>
              <w:rPr>
                <w:rFonts w:eastAsia="Times New Roman"/>
                <w:color w:val="000000"/>
                <w:sz w:val="16"/>
                <w:szCs w:val="16"/>
              </w:rPr>
              <w:t>130.0 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EE9D5D"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B17E7C0"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22B15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F9B1AB"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21B1E8"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B2E162"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7D26C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E44456D"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2850D9"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1B25E30"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D42A9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736DF9" w14:textId="77777777" w:rsidR="00000000" w:rsidRDefault="000A3118">
            <w:pPr>
              <w:jc w:val="right"/>
              <w:rPr>
                <w:rFonts w:eastAsia="Times New Roman"/>
              </w:rPr>
            </w:pPr>
            <w:r>
              <w:rPr>
                <w:rFonts w:eastAsia="Times New Roman"/>
                <w:color w:val="000000"/>
                <w:sz w:val="16"/>
                <w:szCs w:val="16"/>
              </w:rPr>
              <w:t>130.0 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4ED85A" w14:textId="77777777" w:rsidR="00000000" w:rsidRDefault="000A3118">
            <w:pPr>
              <w:jc w:val="right"/>
              <w:rPr>
                <w:rFonts w:eastAsia="Times New Roman"/>
              </w:rPr>
            </w:pPr>
          </w:p>
        </w:tc>
      </w:tr>
      <w:tr w:rsidR="00000000" w14:paraId="0DC3B5D4" w14:textId="77777777">
        <w:trPr>
          <w:trHeight w:val="300"/>
          <w:jc w:val="center"/>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5D93AD3"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B2750F"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E41BA6E"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9A031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174C625"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7E255E7"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1065E4E"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C5C929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670131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99C20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9B4A05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1780CBC"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58D6E0D" w14:textId="77777777" w:rsidR="00000000" w:rsidRDefault="000A3118">
            <w:pPr>
              <w:rPr>
                <w:rFonts w:eastAsia="Times New Roman"/>
                <w:sz w:val="20"/>
                <w:szCs w:val="20"/>
              </w:rPr>
            </w:pPr>
          </w:p>
        </w:tc>
      </w:tr>
      <w:tr w:rsidR="00000000" w14:paraId="6788DF13" w14:textId="77777777">
        <w:trPr>
          <w:jc w:val="center"/>
        </w:trPr>
        <w:tc>
          <w:tcPr>
            <w:tcW w:w="0" w:type="auto"/>
            <w:gridSpan w:val="3"/>
            <w:shd w:val="clear" w:color="auto" w:fill="FFFFFF"/>
            <w:tcMar>
              <w:top w:w="30" w:type="dxa"/>
              <w:left w:w="20" w:type="dxa"/>
              <w:bottom w:w="30" w:type="dxa"/>
              <w:right w:w="20" w:type="dxa"/>
            </w:tcMar>
            <w:vAlign w:val="bottom"/>
            <w:hideMark/>
          </w:tcPr>
          <w:p w14:paraId="282335F9" w14:textId="77777777" w:rsidR="00000000" w:rsidRDefault="000A3118">
            <w:pPr>
              <w:rPr>
                <w:rFonts w:eastAsia="Times New Roman"/>
              </w:rPr>
            </w:pPr>
            <w:r>
              <w:rPr>
                <w:rFonts w:eastAsia="Times New Roman"/>
                <w:b/>
                <w:bCs/>
                <w:color w:val="000000"/>
                <w:sz w:val="16"/>
                <w:szCs w:val="16"/>
              </w:rPr>
              <w:t>Liabilities:</w:t>
            </w:r>
          </w:p>
        </w:tc>
        <w:tc>
          <w:tcPr>
            <w:tcW w:w="0" w:type="auto"/>
            <w:gridSpan w:val="3"/>
            <w:shd w:val="clear" w:color="auto" w:fill="FFFFFF"/>
            <w:tcMar>
              <w:top w:w="0" w:type="dxa"/>
              <w:left w:w="20" w:type="dxa"/>
              <w:bottom w:w="0" w:type="dxa"/>
              <w:right w:w="20" w:type="dxa"/>
            </w:tcMar>
            <w:vAlign w:val="center"/>
            <w:hideMark/>
          </w:tcPr>
          <w:p w14:paraId="69DA4E85"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345F0"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9F1188"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70664D"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114DEC"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E7282E"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FD578F"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14E38A"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69EFC4"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1FE262"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3C9B9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29254E" w14:textId="77777777" w:rsidR="00000000" w:rsidRDefault="000A3118">
            <w:pPr>
              <w:rPr>
                <w:rFonts w:eastAsia="Times New Roman"/>
                <w:sz w:val="20"/>
                <w:szCs w:val="20"/>
              </w:rPr>
            </w:pPr>
          </w:p>
        </w:tc>
      </w:tr>
      <w:tr w:rsidR="00000000" w14:paraId="52DB2A31" w14:textId="77777777">
        <w:trPr>
          <w:jc w:val="center"/>
        </w:trPr>
        <w:tc>
          <w:tcPr>
            <w:tcW w:w="0" w:type="auto"/>
            <w:gridSpan w:val="3"/>
            <w:shd w:val="clear" w:color="auto" w:fill="CCEEFF"/>
            <w:tcMar>
              <w:top w:w="30" w:type="dxa"/>
              <w:left w:w="20" w:type="dxa"/>
              <w:bottom w:w="30" w:type="dxa"/>
              <w:right w:w="20" w:type="dxa"/>
            </w:tcMar>
            <w:vAlign w:val="bottom"/>
            <w:hideMark/>
          </w:tcPr>
          <w:p w14:paraId="08E2CF85" w14:textId="77777777" w:rsidR="00000000" w:rsidRDefault="000A3118">
            <w:pPr>
              <w:rPr>
                <w:rFonts w:eastAsia="Times New Roman"/>
              </w:rPr>
            </w:pPr>
            <w:r>
              <w:rPr>
                <w:rFonts w:eastAsia="Times New Roman"/>
                <w:color w:val="000000"/>
                <w:sz w:val="16"/>
                <w:szCs w:val="16"/>
              </w:rPr>
              <w:t>Commodities contracts</w:t>
            </w:r>
          </w:p>
        </w:tc>
        <w:tc>
          <w:tcPr>
            <w:tcW w:w="0" w:type="auto"/>
            <w:gridSpan w:val="3"/>
            <w:shd w:val="clear" w:color="auto" w:fill="CCEEFF"/>
            <w:tcMar>
              <w:top w:w="0" w:type="dxa"/>
              <w:left w:w="20" w:type="dxa"/>
              <w:bottom w:w="0" w:type="dxa"/>
              <w:right w:w="20" w:type="dxa"/>
            </w:tcMar>
            <w:vAlign w:val="center"/>
            <w:hideMark/>
          </w:tcPr>
          <w:p w14:paraId="003FDF36" w14:textId="77777777" w:rsidR="00000000" w:rsidRDefault="000A3118">
            <w:pPr>
              <w:rPr>
                <w:rFonts w:eastAsia="Times New Roman"/>
              </w:rPr>
            </w:pPr>
          </w:p>
        </w:tc>
        <w:tc>
          <w:tcPr>
            <w:tcW w:w="0" w:type="auto"/>
            <w:shd w:val="clear" w:color="auto" w:fill="CCEEFF"/>
            <w:tcMar>
              <w:top w:w="30" w:type="dxa"/>
              <w:left w:w="20" w:type="dxa"/>
              <w:bottom w:w="30" w:type="dxa"/>
              <w:right w:w="0" w:type="dxa"/>
            </w:tcMar>
            <w:vAlign w:val="bottom"/>
            <w:hideMark/>
          </w:tcPr>
          <w:p w14:paraId="2D62CF71"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2BCFE10" w14:textId="77777777" w:rsidR="00000000" w:rsidRDefault="000A3118">
            <w:pPr>
              <w:jc w:val="right"/>
              <w:rPr>
                <w:rFonts w:eastAsia="Times New Roman"/>
              </w:rPr>
            </w:pPr>
            <w:r>
              <w:rPr>
                <w:rFonts w:eastAsia="Times New Roman"/>
                <w:color w:val="000000"/>
                <w:sz w:val="16"/>
                <w:szCs w:val="16"/>
              </w:rPr>
              <w:t>255.0 </w:t>
            </w:r>
          </w:p>
        </w:tc>
        <w:tc>
          <w:tcPr>
            <w:tcW w:w="0" w:type="auto"/>
            <w:shd w:val="clear" w:color="auto" w:fill="CCEEFF"/>
            <w:tcMar>
              <w:top w:w="30" w:type="dxa"/>
              <w:left w:w="0" w:type="dxa"/>
              <w:bottom w:w="30" w:type="dxa"/>
              <w:right w:w="20" w:type="dxa"/>
            </w:tcMar>
            <w:vAlign w:val="bottom"/>
            <w:hideMark/>
          </w:tcPr>
          <w:p w14:paraId="676B962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B8CE4"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08C7F1"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DEB3C79" w14:textId="77777777" w:rsidR="00000000" w:rsidRDefault="000A3118">
            <w:pPr>
              <w:jc w:val="right"/>
              <w:rPr>
                <w:rFonts w:eastAsia="Times New Roman"/>
              </w:rPr>
            </w:pPr>
            <w:r>
              <w:rPr>
                <w:rFonts w:eastAsia="Times New Roman"/>
                <w:color w:val="000000"/>
                <w:sz w:val="16"/>
                <w:szCs w:val="16"/>
              </w:rPr>
              <w:t>130.0 </w:t>
            </w:r>
          </w:p>
        </w:tc>
        <w:tc>
          <w:tcPr>
            <w:tcW w:w="0" w:type="auto"/>
            <w:shd w:val="clear" w:color="auto" w:fill="CCEEFF"/>
            <w:tcMar>
              <w:top w:w="30" w:type="dxa"/>
              <w:left w:w="0" w:type="dxa"/>
              <w:bottom w:w="30" w:type="dxa"/>
              <w:right w:w="20" w:type="dxa"/>
            </w:tcMar>
            <w:vAlign w:val="bottom"/>
            <w:hideMark/>
          </w:tcPr>
          <w:p w14:paraId="347BB23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0D408"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82E788"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7F94831" w14:textId="77777777" w:rsidR="00000000" w:rsidRDefault="000A3118">
            <w:pPr>
              <w:jc w:val="right"/>
              <w:rPr>
                <w:rFonts w:eastAsia="Times New Roman"/>
              </w:rPr>
            </w:pPr>
            <w:r>
              <w:rPr>
                <w:rFonts w:eastAsia="Times New Roman"/>
                <w:color w:val="000000"/>
                <w:sz w:val="16"/>
                <w:szCs w:val="16"/>
              </w:rPr>
              <w:t>125.0 </w:t>
            </w:r>
          </w:p>
        </w:tc>
        <w:tc>
          <w:tcPr>
            <w:tcW w:w="0" w:type="auto"/>
            <w:shd w:val="clear" w:color="auto" w:fill="CCEEFF"/>
            <w:tcMar>
              <w:top w:w="30" w:type="dxa"/>
              <w:left w:w="0" w:type="dxa"/>
              <w:bottom w:w="30" w:type="dxa"/>
              <w:right w:w="20" w:type="dxa"/>
            </w:tcMar>
            <w:vAlign w:val="bottom"/>
            <w:hideMark/>
          </w:tcPr>
          <w:p w14:paraId="515335F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4A77D0"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E31EAF"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B1CFB49" w14:textId="77777777" w:rsidR="00000000" w:rsidRDefault="000A3118">
            <w:pPr>
              <w:jc w:val="right"/>
              <w:rPr>
                <w:rFonts w:eastAsia="Times New Roman"/>
              </w:rPr>
            </w:pPr>
            <w:r>
              <w:rPr>
                <w:rFonts w:eastAsia="Times New Roman"/>
                <w:color w:val="000000"/>
                <w:sz w:val="16"/>
                <w:szCs w:val="16"/>
              </w:rPr>
              <w:t>29.3 </w:t>
            </w:r>
          </w:p>
        </w:tc>
        <w:tc>
          <w:tcPr>
            <w:tcW w:w="0" w:type="auto"/>
            <w:shd w:val="clear" w:color="auto" w:fill="CCEEFF"/>
            <w:tcMar>
              <w:top w:w="30" w:type="dxa"/>
              <w:left w:w="0" w:type="dxa"/>
              <w:bottom w:w="30" w:type="dxa"/>
              <w:right w:w="20" w:type="dxa"/>
            </w:tcMar>
            <w:vAlign w:val="bottom"/>
            <w:hideMark/>
          </w:tcPr>
          <w:p w14:paraId="21E1145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5E19C"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3D0A9D"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ACD2D49"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C4F13E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C2CBD"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0D06A1"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4C442A2" w14:textId="77777777" w:rsidR="00000000" w:rsidRDefault="000A3118">
            <w:pPr>
              <w:jc w:val="right"/>
              <w:rPr>
                <w:rFonts w:eastAsia="Times New Roman"/>
              </w:rPr>
            </w:pPr>
            <w:r>
              <w:rPr>
                <w:rFonts w:eastAsia="Times New Roman"/>
                <w:color w:val="000000"/>
                <w:sz w:val="16"/>
                <w:szCs w:val="16"/>
              </w:rPr>
              <w:t>95.7 </w:t>
            </w:r>
          </w:p>
        </w:tc>
        <w:tc>
          <w:tcPr>
            <w:tcW w:w="0" w:type="auto"/>
            <w:shd w:val="clear" w:color="auto" w:fill="CCEEFF"/>
            <w:tcMar>
              <w:top w:w="30" w:type="dxa"/>
              <w:left w:w="0" w:type="dxa"/>
              <w:bottom w:w="30" w:type="dxa"/>
              <w:right w:w="20" w:type="dxa"/>
            </w:tcMar>
            <w:vAlign w:val="bottom"/>
            <w:hideMark/>
          </w:tcPr>
          <w:p w14:paraId="783CE2F1" w14:textId="77777777" w:rsidR="00000000" w:rsidRDefault="000A3118">
            <w:pPr>
              <w:jc w:val="right"/>
              <w:rPr>
                <w:rFonts w:eastAsia="Times New Roman"/>
              </w:rPr>
            </w:pPr>
          </w:p>
        </w:tc>
      </w:tr>
      <w:tr w:rsidR="00000000" w14:paraId="30C8017C" w14:textId="77777777">
        <w:trPr>
          <w:jc w:val="center"/>
        </w:trPr>
        <w:tc>
          <w:tcPr>
            <w:tcW w:w="0" w:type="auto"/>
            <w:gridSpan w:val="3"/>
            <w:vAlign w:val="center"/>
            <w:hideMark/>
          </w:tcPr>
          <w:p w14:paraId="3CEE7058" w14:textId="77777777" w:rsidR="00000000" w:rsidRDefault="000A3118">
            <w:pPr>
              <w:jc w:val="right"/>
              <w:rPr>
                <w:rFonts w:eastAsia="Times New Roman"/>
                <w:sz w:val="20"/>
                <w:szCs w:val="20"/>
              </w:rPr>
            </w:pPr>
          </w:p>
        </w:tc>
        <w:tc>
          <w:tcPr>
            <w:tcW w:w="0" w:type="auto"/>
            <w:gridSpan w:val="3"/>
            <w:vAlign w:val="center"/>
            <w:hideMark/>
          </w:tcPr>
          <w:p w14:paraId="2258B1F1" w14:textId="77777777" w:rsidR="00000000" w:rsidRDefault="000A3118">
            <w:pPr>
              <w:rPr>
                <w:rFonts w:eastAsia="Times New Roman"/>
                <w:sz w:val="20"/>
                <w:szCs w:val="20"/>
              </w:rPr>
            </w:pPr>
          </w:p>
        </w:tc>
        <w:tc>
          <w:tcPr>
            <w:tcW w:w="0" w:type="auto"/>
            <w:gridSpan w:val="3"/>
            <w:vAlign w:val="center"/>
            <w:hideMark/>
          </w:tcPr>
          <w:p w14:paraId="3FAF3973" w14:textId="77777777" w:rsidR="00000000" w:rsidRDefault="000A3118">
            <w:pPr>
              <w:rPr>
                <w:rFonts w:eastAsia="Times New Roman"/>
                <w:sz w:val="20"/>
                <w:szCs w:val="20"/>
              </w:rPr>
            </w:pPr>
          </w:p>
        </w:tc>
        <w:tc>
          <w:tcPr>
            <w:tcW w:w="0" w:type="auto"/>
            <w:gridSpan w:val="3"/>
            <w:vAlign w:val="center"/>
            <w:hideMark/>
          </w:tcPr>
          <w:p w14:paraId="403BD4E2" w14:textId="77777777" w:rsidR="00000000" w:rsidRDefault="000A3118">
            <w:pPr>
              <w:rPr>
                <w:rFonts w:eastAsia="Times New Roman"/>
                <w:sz w:val="20"/>
                <w:szCs w:val="20"/>
              </w:rPr>
            </w:pPr>
          </w:p>
        </w:tc>
        <w:tc>
          <w:tcPr>
            <w:tcW w:w="0" w:type="auto"/>
            <w:gridSpan w:val="3"/>
            <w:vAlign w:val="center"/>
            <w:hideMark/>
          </w:tcPr>
          <w:p w14:paraId="5262AF5A" w14:textId="77777777" w:rsidR="00000000" w:rsidRDefault="000A3118">
            <w:pPr>
              <w:rPr>
                <w:rFonts w:eastAsia="Times New Roman"/>
                <w:sz w:val="20"/>
                <w:szCs w:val="20"/>
              </w:rPr>
            </w:pPr>
          </w:p>
        </w:tc>
        <w:tc>
          <w:tcPr>
            <w:tcW w:w="0" w:type="auto"/>
            <w:gridSpan w:val="3"/>
            <w:vAlign w:val="center"/>
            <w:hideMark/>
          </w:tcPr>
          <w:p w14:paraId="2EEDF3F3" w14:textId="77777777" w:rsidR="00000000" w:rsidRDefault="000A3118">
            <w:pPr>
              <w:rPr>
                <w:rFonts w:eastAsia="Times New Roman"/>
                <w:sz w:val="20"/>
                <w:szCs w:val="20"/>
              </w:rPr>
            </w:pPr>
          </w:p>
        </w:tc>
        <w:tc>
          <w:tcPr>
            <w:tcW w:w="0" w:type="auto"/>
            <w:gridSpan w:val="3"/>
            <w:vAlign w:val="center"/>
            <w:hideMark/>
          </w:tcPr>
          <w:p w14:paraId="79B48C76" w14:textId="77777777" w:rsidR="00000000" w:rsidRDefault="000A3118">
            <w:pPr>
              <w:rPr>
                <w:rFonts w:eastAsia="Times New Roman"/>
                <w:sz w:val="20"/>
                <w:szCs w:val="20"/>
              </w:rPr>
            </w:pPr>
          </w:p>
        </w:tc>
        <w:tc>
          <w:tcPr>
            <w:tcW w:w="0" w:type="auto"/>
            <w:gridSpan w:val="3"/>
            <w:vAlign w:val="center"/>
            <w:hideMark/>
          </w:tcPr>
          <w:p w14:paraId="1E7D8D3F" w14:textId="77777777" w:rsidR="00000000" w:rsidRDefault="000A3118">
            <w:pPr>
              <w:rPr>
                <w:rFonts w:eastAsia="Times New Roman"/>
                <w:sz w:val="20"/>
                <w:szCs w:val="20"/>
              </w:rPr>
            </w:pPr>
          </w:p>
        </w:tc>
        <w:tc>
          <w:tcPr>
            <w:tcW w:w="0" w:type="auto"/>
            <w:gridSpan w:val="3"/>
            <w:vAlign w:val="center"/>
            <w:hideMark/>
          </w:tcPr>
          <w:p w14:paraId="51A05F76" w14:textId="77777777" w:rsidR="00000000" w:rsidRDefault="000A3118">
            <w:pPr>
              <w:rPr>
                <w:rFonts w:eastAsia="Times New Roman"/>
                <w:sz w:val="20"/>
                <w:szCs w:val="20"/>
              </w:rPr>
            </w:pPr>
          </w:p>
        </w:tc>
        <w:tc>
          <w:tcPr>
            <w:tcW w:w="0" w:type="auto"/>
            <w:gridSpan w:val="3"/>
            <w:vAlign w:val="center"/>
            <w:hideMark/>
          </w:tcPr>
          <w:p w14:paraId="107B06D7" w14:textId="77777777" w:rsidR="00000000" w:rsidRDefault="000A3118">
            <w:pPr>
              <w:rPr>
                <w:rFonts w:eastAsia="Times New Roman"/>
                <w:sz w:val="20"/>
                <w:szCs w:val="20"/>
              </w:rPr>
            </w:pPr>
          </w:p>
        </w:tc>
        <w:tc>
          <w:tcPr>
            <w:tcW w:w="0" w:type="auto"/>
            <w:gridSpan w:val="3"/>
            <w:vAlign w:val="center"/>
            <w:hideMark/>
          </w:tcPr>
          <w:p w14:paraId="5AC218D5" w14:textId="77777777" w:rsidR="00000000" w:rsidRDefault="000A3118">
            <w:pPr>
              <w:rPr>
                <w:rFonts w:eastAsia="Times New Roman"/>
                <w:sz w:val="20"/>
                <w:szCs w:val="20"/>
              </w:rPr>
            </w:pPr>
          </w:p>
        </w:tc>
        <w:tc>
          <w:tcPr>
            <w:tcW w:w="0" w:type="auto"/>
            <w:gridSpan w:val="3"/>
            <w:vAlign w:val="center"/>
            <w:hideMark/>
          </w:tcPr>
          <w:p w14:paraId="633F7C18" w14:textId="77777777" w:rsidR="00000000" w:rsidRDefault="000A3118">
            <w:pPr>
              <w:rPr>
                <w:rFonts w:eastAsia="Times New Roman"/>
                <w:sz w:val="20"/>
                <w:szCs w:val="20"/>
              </w:rPr>
            </w:pPr>
          </w:p>
        </w:tc>
        <w:tc>
          <w:tcPr>
            <w:tcW w:w="0" w:type="auto"/>
            <w:gridSpan w:val="3"/>
            <w:vAlign w:val="center"/>
            <w:hideMark/>
          </w:tcPr>
          <w:p w14:paraId="158880F5" w14:textId="77777777" w:rsidR="00000000" w:rsidRDefault="000A3118">
            <w:pPr>
              <w:rPr>
                <w:rFonts w:eastAsia="Times New Roman"/>
                <w:sz w:val="20"/>
                <w:szCs w:val="20"/>
              </w:rPr>
            </w:pPr>
          </w:p>
        </w:tc>
      </w:tr>
      <w:tr w:rsidR="00000000" w14:paraId="3E3030DC" w14:textId="77777777">
        <w:trPr>
          <w:jc w:val="center"/>
        </w:trPr>
        <w:tc>
          <w:tcPr>
            <w:tcW w:w="0" w:type="auto"/>
            <w:gridSpan w:val="3"/>
            <w:shd w:val="clear" w:color="auto" w:fill="FFFFFF"/>
            <w:tcMar>
              <w:top w:w="30" w:type="dxa"/>
              <w:left w:w="20" w:type="dxa"/>
              <w:bottom w:w="30" w:type="dxa"/>
              <w:right w:w="20" w:type="dxa"/>
            </w:tcMar>
            <w:vAlign w:val="bottom"/>
            <w:hideMark/>
          </w:tcPr>
          <w:p w14:paraId="03EDBAA8" w14:textId="77777777" w:rsidR="00000000" w:rsidRDefault="000A3118">
            <w:pPr>
              <w:rPr>
                <w:rFonts w:eastAsia="Times New Roman"/>
              </w:rPr>
            </w:pPr>
            <w:r>
              <w:rPr>
                <w:rFonts w:eastAsia="Times New Roman"/>
                <w:color w:val="000000"/>
                <w:sz w:val="16"/>
                <w:szCs w:val="16"/>
              </w:rPr>
              <w:t>Foreign currency contracts</w:t>
            </w:r>
          </w:p>
        </w:tc>
        <w:tc>
          <w:tcPr>
            <w:tcW w:w="0" w:type="auto"/>
            <w:gridSpan w:val="3"/>
            <w:shd w:val="clear" w:color="auto" w:fill="FFFFFF"/>
            <w:tcMar>
              <w:top w:w="0" w:type="dxa"/>
              <w:left w:w="20" w:type="dxa"/>
              <w:bottom w:w="0" w:type="dxa"/>
              <w:right w:w="20" w:type="dxa"/>
            </w:tcMar>
            <w:vAlign w:val="center"/>
            <w:hideMark/>
          </w:tcPr>
          <w:p w14:paraId="521E72E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2A1640" w14:textId="77777777" w:rsidR="00000000" w:rsidRDefault="000A3118">
            <w:pPr>
              <w:jc w:val="right"/>
              <w:rPr>
                <w:rFonts w:eastAsia="Times New Roman"/>
              </w:rPr>
            </w:pPr>
            <w:r>
              <w:rPr>
                <w:rFonts w:eastAsia="Times New Roman"/>
                <w:color w:val="000000"/>
                <w:sz w:val="16"/>
                <w:szCs w:val="16"/>
              </w:rPr>
              <w:t>11.6 </w:t>
            </w:r>
          </w:p>
        </w:tc>
        <w:tc>
          <w:tcPr>
            <w:tcW w:w="0" w:type="auto"/>
            <w:shd w:val="clear" w:color="auto" w:fill="FFFFFF"/>
            <w:tcMar>
              <w:top w:w="30" w:type="dxa"/>
              <w:left w:w="0" w:type="dxa"/>
              <w:bottom w:w="30" w:type="dxa"/>
              <w:right w:w="20" w:type="dxa"/>
            </w:tcMar>
            <w:vAlign w:val="bottom"/>
            <w:hideMark/>
          </w:tcPr>
          <w:p w14:paraId="6AA4806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E994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AC0D6B" w14:textId="77777777" w:rsidR="00000000" w:rsidRDefault="000A3118">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14:paraId="5C8B91A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60381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55BF6D" w14:textId="77777777" w:rsidR="00000000" w:rsidRDefault="000A3118">
            <w:pPr>
              <w:jc w:val="right"/>
              <w:rPr>
                <w:rFonts w:eastAsia="Times New Roman"/>
              </w:rPr>
            </w:pPr>
            <w:r>
              <w:rPr>
                <w:rFonts w:eastAsia="Times New Roman"/>
                <w:color w:val="000000"/>
                <w:sz w:val="16"/>
                <w:szCs w:val="16"/>
              </w:rPr>
              <w:t>10.5 </w:t>
            </w:r>
          </w:p>
        </w:tc>
        <w:tc>
          <w:tcPr>
            <w:tcW w:w="0" w:type="auto"/>
            <w:shd w:val="clear" w:color="auto" w:fill="FFFFFF"/>
            <w:tcMar>
              <w:top w:w="30" w:type="dxa"/>
              <w:left w:w="0" w:type="dxa"/>
              <w:bottom w:w="30" w:type="dxa"/>
              <w:right w:w="20" w:type="dxa"/>
            </w:tcMar>
            <w:vAlign w:val="bottom"/>
            <w:hideMark/>
          </w:tcPr>
          <w:p w14:paraId="5B9D7B0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6CCB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6828ED"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7F6D88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D710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453BE3"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81724FD"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F3009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6A4BF0" w14:textId="77777777" w:rsidR="00000000" w:rsidRDefault="000A3118">
            <w:pPr>
              <w:jc w:val="right"/>
              <w:rPr>
                <w:rFonts w:eastAsia="Times New Roman"/>
              </w:rPr>
            </w:pPr>
            <w:r>
              <w:rPr>
                <w:rFonts w:eastAsia="Times New Roman"/>
                <w:color w:val="000000"/>
                <w:sz w:val="16"/>
                <w:szCs w:val="16"/>
              </w:rPr>
              <w:t>10.5 </w:t>
            </w:r>
          </w:p>
        </w:tc>
        <w:tc>
          <w:tcPr>
            <w:tcW w:w="0" w:type="auto"/>
            <w:shd w:val="clear" w:color="auto" w:fill="FFFFFF"/>
            <w:tcMar>
              <w:top w:w="30" w:type="dxa"/>
              <w:left w:w="0" w:type="dxa"/>
              <w:bottom w:w="30" w:type="dxa"/>
              <w:right w:w="20" w:type="dxa"/>
            </w:tcMar>
            <w:vAlign w:val="bottom"/>
            <w:hideMark/>
          </w:tcPr>
          <w:p w14:paraId="53F02109" w14:textId="77777777" w:rsidR="00000000" w:rsidRDefault="000A3118">
            <w:pPr>
              <w:jc w:val="right"/>
              <w:rPr>
                <w:rFonts w:eastAsia="Times New Roman"/>
              </w:rPr>
            </w:pPr>
          </w:p>
        </w:tc>
      </w:tr>
      <w:tr w:rsidR="00000000" w14:paraId="439485AA" w14:textId="77777777">
        <w:trPr>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59CF328D" w14:textId="77777777" w:rsidR="00000000" w:rsidRDefault="000A3118">
            <w:pPr>
              <w:rPr>
                <w:rFonts w:eastAsia="Times New Roman"/>
              </w:rPr>
            </w:pPr>
            <w:r>
              <w:rPr>
                <w:rFonts w:eastAsia="Times New Roman"/>
                <w:color w:val="000000"/>
                <w:sz w:val="16"/>
                <w:szCs w:val="16"/>
              </w:rPr>
              <w:t>Total liabilities at fair value</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CD321C3" w14:textId="77777777" w:rsidR="00000000" w:rsidRDefault="000A3118">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C32E2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CF4366" w14:textId="77777777" w:rsidR="00000000" w:rsidRDefault="000A3118">
            <w:pPr>
              <w:jc w:val="right"/>
              <w:rPr>
                <w:rFonts w:eastAsia="Times New Roman"/>
              </w:rPr>
            </w:pPr>
            <w:r>
              <w:rPr>
                <w:rFonts w:eastAsia="Times New Roman"/>
                <w:color w:val="000000"/>
                <w:sz w:val="16"/>
                <w:szCs w:val="16"/>
              </w:rPr>
              <w:t>266.6 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596BBB"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F86D04E"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F2256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922E9F" w14:textId="77777777" w:rsidR="00000000" w:rsidRDefault="000A3118">
            <w:pPr>
              <w:jc w:val="right"/>
              <w:rPr>
                <w:rFonts w:eastAsia="Times New Roman"/>
              </w:rPr>
            </w:pPr>
            <w:r>
              <w:rPr>
                <w:rFonts w:eastAsia="Times New Roman"/>
                <w:color w:val="000000"/>
                <w:sz w:val="16"/>
                <w:szCs w:val="16"/>
              </w:rPr>
              <w:t>131.1 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135ECD"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228E4E5"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E1F9E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3E3060" w14:textId="77777777" w:rsidR="00000000" w:rsidRDefault="000A3118">
            <w:pPr>
              <w:jc w:val="right"/>
              <w:rPr>
                <w:rFonts w:eastAsia="Times New Roman"/>
              </w:rPr>
            </w:pPr>
            <w:r>
              <w:rPr>
                <w:rFonts w:eastAsia="Times New Roman"/>
                <w:color w:val="000000"/>
                <w:sz w:val="16"/>
                <w:szCs w:val="16"/>
              </w:rPr>
              <w:t>135.5 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D29197"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62828F9"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B8872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2529C6" w14:textId="77777777" w:rsidR="00000000" w:rsidRDefault="000A3118">
            <w:pPr>
              <w:jc w:val="right"/>
              <w:rPr>
                <w:rFonts w:eastAsia="Times New Roman"/>
              </w:rPr>
            </w:pPr>
            <w:r>
              <w:rPr>
                <w:rFonts w:eastAsia="Times New Roman"/>
                <w:color w:val="000000"/>
                <w:sz w:val="16"/>
                <w:szCs w:val="16"/>
              </w:rPr>
              <w:t>29.3 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C06585"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F03A24A"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75DE3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DA4B42"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85D8B3"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37D72DEF"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09FAA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E271F2" w14:textId="77777777" w:rsidR="00000000" w:rsidRDefault="000A3118">
            <w:pPr>
              <w:jc w:val="right"/>
              <w:rPr>
                <w:rFonts w:eastAsia="Times New Roman"/>
              </w:rPr>
            </w:pPr>
            <w:r>
              <w:rPr>
                <w:rFonts w:eastAsia="Times New Roman"/>
                <w:color w:val="000000"/>
                <w:sz w:val="16"/>
                <w:szCs w:val="16"/>
              </w:rPr>
              <w:t>106.3 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3A4C78" w14:textId="77777777" w:rsidR="00000000" w:rsidRDefault="000A3118">
            <w:pPr>
              <w:jc w:val="right"/>
              <w:rPr>
                <w:rFonts w:eastAsia="Times New Roman"/>
              </w:rPr>
            </w:pPr>
          </w:p>
        </w:tc>
      </w:tr>
    </w:tbl>
    <w:p w14:paraId="33D89E14" w14:textId="77777777" w:rsidR="00000000" w:rsidRDefault="000A3118">
      <w:pPr>
        <w:ind w:firstLine="360"/>
        <w:jc w:val="both"/>
        <w:rPr>
          <w:rFonts w:eastAsia="Times New Roman"/>
        </w:rPr>
      </w:pPr>
    </w:p>
    <w:p w14:paraId="18353E82" w14:textId="77777777" w:rsidR="00000000" w:rsidRDefault="000A3118">
      <w:pPr>
        <w:ind w:firstLine="360"/>
        <w:jc w:val="both"/>
        <w:rPr>
          <w:rFonts w:eastAsia="Times New Roman"/>
        </w:rPr>
      </w:pPr>
      <w:r>
        <w:rPr>
          <w:rFonts w:eastAsia="Times New Roman"/>
          <w:color w:val="000000"/>
          <w:sz w:val="20"/>
          <w:szCs w:val="20"/>
        </w:rPr>
        <w:t>At September 30, 2020 and December 31, 2019, we did not present any amounts gross on our Consolidated Balance Sheets where we had the right of offset.</w:t>
      </w:r>
    </w:p>
    <w:p w14:paraId="4DABC184" w14:textId="77777777" w:rsidR="00000000" w:rsidRDefault="000A3118">
      <w:pPr>
        <w:jc w:val="both"/>
        <w:divId w:val="2042977595"/>
        <w:rPr>
          <w:rFonts w:eastAsia="Times New Roman"/>
        </w:rPr>
      </w:pPr>
      <w:r>
        <w:rPr>
          <w:rFonts w:eastAsia="Times New Roman"/>
          <w:b/>
          <w:bCs/>
          <w:color w:val="000000"/>
          <w:sz w:val="20"/>
          <w:szCs w:val="20"/>
        </w:rPr>
        <w:t>    Concentration of Credit Risk</w:t>
      </w:r>
    </w:p>
    <w:p w14:paraId="512BB8F2" w14:textId="77777777" w:rsidR="00000000" w:rsidRDefault="000A3118">
      <w:pPr>
        <w:ind w:firstLine="360"/>
        <w:jc w:val="both"/>
        <w:rPr>
          <w:rFonts w:eastAsia="Times New Roman"/>
        </w:rPr>
      </w:pPr>
    </w:p>
    <w:p w14:paraId="15630D82" w14:textId="77777777" w:rsidR="00000000" w:rsidRDefault="000A3118">
      <w:pPr>
        <w:ind w:firstLine="360"/>
        <w:jc w:val="both"/>
        <w:rPr>
          <w:rFonts w:eastAsia="Times New Roman"/>
        </w:rPr>
      </w:pPr>
      <w:r>
        <w:rPr>
          <w:rFonts w:eastAsia="Times New Roman"/>
          <w:color w:val="000000"/>
          <w:sz w:val="20"/>
          <w:szCs w:val="20"/>
        </w:rPr>
        <w:t>Our individual over-the-counter ("OTC") counterparty exposur</w:t>
      </w:r>
      <w:r>
        <w:rPr>
          <w:rFonts w:eastAsia="Times New Roman"/>
          <w:color w:val="000000"/>
          <w:sz w:val="20"/>
          <w:szCs w:val="20"/>
        </w:rPr>
        <w:t>e is managed within predetermined credit limits and includes the use of cash-call margins when appropriate, thereby reducing the risk of significant nonperformance. At September 30, 2020, one of our counterparties, with an exposure amount of $10.3 million,</w:t>
      </w:r>
      <w:r>
        <w:rPr>
          <w:rFonts w:eastAsia="Times New Roman"/>
          <w:color w:val="000000"/>
          <w:sz w:val="20"/>
          <w:szCs w:val="20"/>
        </w:rPr>
        <w:t xml:space="preserve"> represented over 10% of our credit exposure to OTC derivative counterparties.</w:t>
      </w:r>
    </w:p>
    <w:p w14:paraId="1409F5CB" w14:textId="77777777" w:rsidR="00000000" w:rsidRDefault="000A3118">
      <w:pPr>
        <w:ind w:firstLine="360"/>
        <w:jc w:val="both"/>
        <w:rPr>
          <w:rFonts w:eastAsia="Times New Roman"/>
        </w:rPr>
      </w:pPr>
    </w:p>
    <w:p w14:paraId="5D271DBF" w14:textId="77777777" w:rsidR="00000000" w:rsidRDefault="000A3118">
      <w:pPr>
        <w:jc w:val="center"/>
        <w:divId w:val="1408113447"/>
        <w:rPr>
          <w:rFonts w:eastAsia="Times New Roman"/>
        </w:rPr>
      </w:pPr>
      <w:r>
        <w:rPr>
          <w:rFonts w:eastAsia="Times New Roman"/>
          <w:color w:val="000000"/>
          <w:sz w:val="20"/>
          <w:szCs w:val="20"/>
        </w:rPr>
        <w:t>18</w:t>
      </w:r>
    </w:p>
    <w:p w14:paraId="40AD20A6" w14:textId="77777777" w:rsidR="00000000" w:rsidRDefault="000A3118">
      <w:pPr>
        <w:rPr>
          <w:rFonts w:eastAsia="Times New Roman"/>
        </w:rPr>
      </w:pPr>
      <w:r>
        <w:rPr>
          <w:rFonts w:eastAsia="Times New Roman"/>
        </w:rPr>
        <w:pict w14:anchorId="4099A19B">
          <v:rect id="_x0000_i1046" style="width:0;height:1.5pt" o:hralign="center" o:hrstd="t" o:hr="t" fillcolor="#a0a0a0" stroked="f"/>
        </w:pict>
      </w:r>
    </w:p>
    <w:p w14:paraId="4CCA483C" w14:textId="77777777" w:rsidR="00000000" w:rsidRDefault="000A3118">
      <w:pPr>
        <w:divId w:val="525215500"/>
        <w:rPr>
          <w:rFonts w:eastAsia="Times New Roman"/>
        </w:rPr>
      </w:pPr>
    </w:p>
    <w:p w14:paraId="07420E07" w14:textId="77777777" w:rsidR="00000000" w:rsidRDefault="000A3118">
      <w:pPr>
        <w:jc w:val="both"/>
        <w:divId w:val="1718581011"/>
        <w:rPr>
          <w:rFonts w:eastAsia="Times New Roman"/>
        </w:rPr>
      </w:pPr>
      <w:r>
        <w:rPr>
          <w:rFonts w:eastAsia="Times New Roman"/>
          <w:b/>
          <w:bCs/>
          <w:color w:val="000000"/>
          <w:sz w:val="20"/>
          <w:szCs w:val="20"/>
        </w:rPr>
        <w:t>8. Income Taxes</w:t>
      </w:r>
    </w:p>
    <w:p w14:paraId="0C20C90F" w14:textId="77777777" w:rsidR="00000000" w:rsidRDefault="000A3118">
      <w:pPr>
        <w:jc w:val="both"/>
        <w:rPr>
          <w:rFonts w:eastAsia="Times New Roman"/>
        </w:rPr>
      </w:pPr>
    </w:p>
    <w:p w14:paraId="60CE05DC" w14:textId="77777777" w:rsidR="00000000" w:rsidRDefault="000A3118">
      <w:pPr>
        <w:ind w:firstLine="360"/>
        <w:jc w:val="both"/>
        <w:rPr>
          <w:rFonts w:eastAsia="Times New Roman"/>
        </w:rPr>
      </w:pPr>
      <w:r>
        <w:rPr>
          <w:rFonts w:eastAsia="Times New Roman"/>
          <w:color w:val="000000"/>
          <w:sz w:val="20"/>
          <w:szCs w:val="20"/>
        </w:rPr>
        <w:t>Our income tax provision and the respective effective income tax rates are as follows (in millions, except for incom</w:t>
      </w:r>
      <w:r>
        <w:rPr>
          <w:rFonts w:eastAsia="Times New Roman"/>
          <w:color w:val="000000"/>
          <w:sz w:val="20"/>
          <w:szCs w:val="20"/>
        </w:rPr>
        <w:t>e tax rates):</w:t>
      </w:r>
    </w:p>
    <w:tbl>
      <w:tblPr>
        <w:tblW w:w="5000" w:type="pct"/>
        <w:tblCellMar>
          <w:top w:w="15" w:type="dxa"/>
          <w:left w:w="15" w:type="dxa"/>
          <w:bottom w:w="15" w:type="dxa"/>
          <w:right w:w="15" w:type="dxa"/>
        </w:tblCellMar>
        <w:tblLook w:val="04A0" w:firstRow="1" w:lastRow="0" w:firstColumn="1" w:lastColumn="0" w:noHBand="0" w:noVBand="1"/>
      </w:tblPr>
      <w:tblGrid>
        <w:gridCol w:w="37"/>
        <w:gridCol w:w="3650"/>
        <w:gridCol w:w="36"/>
        <w:gridCol w:w="36"/>
        <w:gridCol w:w="36"/>
        <w:gridCol w:w="36"/>
        <w:gridCol w:w="100"/>
        <w:gridCol w:w="792"/>
        <w:gridCol w:w="154"/>
        <w:gridCol w:w="36"/>
        <w:gridCol w:w="36"/>
        <w:gridCol w:w="36"/>
        <w:gridCol w:w="100"/>
        <w:gridCol w:w="757"/>
        <w:gridCol w:w="154"/>
        <w:gridCol w:w="36"/>
        <w:gridCol w:w="36"/>
        <w:gridCol w:w="36"/>
        <w:gridCol w:w="100"/>
        <w:gridCol w:w="792"/>
        <w:gridCol w:w="154"/>
        <w:gridCol w:w="36"/>
        <w:gridCol w:w="36"/>
        <w:gridCol w:w="36"/>
        <w:gridCol w:w="100"/>
        <w:gridCol w:w="794"/>
        <w:gridCol w:w="154"/>
      </w:tblGrid>
      <w:tr w:rsidR="00000000" w14:paraId="1A0FA6D1" w14:textId="77777777">
        <w:trPr>
          <w:divId w:val="909465694"/>
        </w:trPr>
        <w:tc>
          <w:tcPr>
            <w:tcW w:w="50" w:type="pct"/>
            <w:vAlign w:val="center"/>
            <w:hideMark/>
          </w:tcPr>
          <w:p w14:paraId="5AC3B8B7" w14:textId="77777777" w:rsidR="00000000" w:rsidRDefault="000A3118">
            <w:pPr>
              <w:ind w:firstLine="360"/>
              <w:jc w:val="both"/>
              <w:rPr>
                <w:rFonts w:eastAsia="Times New Roman"/>
              </w:rPr>
            </w:pPr>
          </w:p>
        </w:tc>
        <w:tc>
          <w:tcPr>
            <w:tcW w:w="2276" w:type="pct"/>
            <w:vAlign w:val="center"/>
            <w:hideMark/>
          </w:tcPr>
          <w:p w14:paraId="21921E9F" w14:textId="77777777" w:rsidR="00000000" w:rsidRDefault="000A3118">
            <w:pPr>
              <w:rPr>
                <w:rFonts w:eastAsia="Times New Roman"/>
                <w:sz w:val="20"/>
                <w:szCs w:val="20"/>
              </w:rPr>
            </w:pPr>
          </w:p>
        </w:tc>
        <w:tc>
          <w:tcPr>
            <w:tcW w:w="5" w:type="pct"/>
            <w:vAlign w:val="center"/>
            <w:hideMark/>
          </w:tcPr>
          <w:p w14:paraId="7DAD80F1" w14:textId="77777777" w:rsidR="00000000" w:rsidRDefault="000A3118">
            <w:pPr>
              <w:rPr>
                <w:rFonts w:eastAsia="Times New Roman"/>
                <w:sz w:val="20"/>
                <w:szCs w:val="20"/>
              </w:rPr>
            </w:pPr>
          </w:p>
        </w:tc>
        <w:tc>
          <w:tcPr>
            <w:tcW w:w="5" w:type="pct"/>
            <w:vAlign w:val="center"/>
            <w:hideMark/>
          </w:tcPr>
          <w:p w14:paraId="04388CD3" w14:textId="77777777" w:rsidR="00000000" w:rsidRDefault="000A3118">
            <w:pPr>
              <w:rPr>
                <w:rFonts w:eastAsia="Times New Roman"/>
                <w:sz w:val="20"/>
                <w:szCs w:val="20"/>
              </w:rPr>
            </w:pPr>
          </w:p>
        </w:tc>
        <w:tc>
          <w:tcPr>
            <w:tcW w:w="26" w:type="pct"/>
            <w:vAlign w:val="center"/>
            <w:hideMark/>
          </w:tcPr>
          <w:p w14:paraId="087F2417" w14:textId="77777777" w:rsidR="00000000" w:rsidRDefault="000A3118">
            <w:pPr>
              <w:rPr>
                <w:rFonts w:eastAsia="Times New Roman"/>
                <w:sz w:val="20"/>
                <w:szCs w:val="20"/>
              </w:rPr>
            </w:pPr>
          </w:p>
        </w:tc>
        <w:tc>
          <w:tcPr>
            <w:tcW w:w="5" w:type="pct"/>
            <w:vAlign w:val="center"/>
            <w:hideMark/>
          </w:tcPr>
          <w:p w14:paraId="10984AFE" w14:textId="77777777" w:rsidR="00000000" w:rsidRDefault="000A3118">
            <w:pPr>
              <w:rPr>
                <w:rFonts w:eastAsia="Times New Roman"/>
                <w:sz w:val="20"/>
                <w:szCs w:val="20"/>
              </w:rPr>
            </w:pPr>
          </w:p>
        </w:tc>
        <w:tc>
          <w:tcPr>
            <w:tcW w:w="50" w:type="pct"/>
            <w:vAlign w:val="center"/>
            <w:hideMark/>
          </w:tcPr>
          <w:p w14:paraId="3D81B470" w14:textId="77777777" w:rsidR="00000000" w:rsidRDefault="000A3118">
            <w:pPr>
              <w:rPr>
                <w:rFonts w:eastAsia="Times New Roman"/>
                <w:sz w:val="20"/>
                <w:szCs w:val="20"/>
              </w:rPr>
            </w:pPr>
          </w:p>
        </w:tc>
        <w:tc>
          <w:tcPr>
            <w:tcW w:w="580" w:type="pct"/>
            <w:vAlign w:val="center"/>
            <w:hideMark/>
          </w:tcPr>
          <w:p w14:paraId="33F3EF13" w14:textId="77777777" w:rsidR="00000000" w:rsidRDefault="000A3118">
            <w:pPr>
              <w:rPr>
                <w:rFonts w:eastAsia="Times New Roman"/>
                <w:sz w:val="20"/>
                <w:szCs w:val="20"/>
              </w:rPr>
            </w:pPr>
          </w:p>
        </w:tc>
        <w:tc>
          <w:tcPr>
            <w:tcW w:w="5" w:type="pct"/>
            <w:vAlign w:val="center"/>
            <w:hideMark/>
          </w:tcPr>
          <w:p w14:paraId="30278332" w14:textId="77777777" w:rsidR="00000000" w:rsidRDefault="000A3118">
            <w:pPr>
              <w:rPr>
                <w:rFonts w:eastAsia="Times New Roman"/>
                <w:sz w:val="20"/>
                <w:szCs w:val="20"/>
              </w:rPr>
            </w:pPr>
          </w:p>
        </w:tc>
        <w:tc>
          <w:tcPr>
            <w:tcW w:w="5" w:type="pct"/>
            <w:vAlign w:val="center"/>
            <w:hideMark/>
          </w:tcPr>
          <w:p w14:paraId="76E0E017" w14:textId="77777777" w:rsidR="00000000" w:rsidRDefault="000A3118">
            <w:pPr>
              <w:rPr>
                <w:rFonts w:eastAsia="Times New Roman"/>
                <w:sz w:val="20"/>
                <w:szCs w:val="20"/>
              </w:rPr>
            </w:pPr>
          </w:p>
        </w:tc>
        <w:tc>
          <w:tcPr>
            <w:tcW w:w="26" w:type="pct"/>
            <w:vAlign w:val="center"/>
            <w:hideMark/>
          </w:tcPr>
          <w:p w14:paraId="2C01C4C6" w14:textId="77777777" w:rsidR="00000000" w:rsidRDefault="000A3118">
            <w:pPr>
              <w:rPr>
                <w:rFonts w:eastAsia="Times New Roman"/>
                <w:sz w:val="20"/>
                <w:szCs w:val="20"/>
              </w:rPr>
            </w:pPr>
          </w:p>
        </w:tc>
        <w:tc>
          <w:tcPr>
            <w:tcW w:w="5" w:type="pct"/>
            <w:vAlign w:val="center"/>
            <w:hideMark/>
          </w:tcPr>
          <w:p w14:paraId="5AE6A17E" w14:textId="77777777" w:rsidR="00000000" w:rsidRDefault="000A3118">
            <w:pPr>
              <w:rPr>
                <w:rFonts w:eastAsia="Times New Roman"/>
                <w:sz w:val="20"/>
                <w:szCs w:val="20"/>
              </w:rPr>
            </w:pPr>
          </w:p>
        </w:tc>
        <w:tc>
          <w:tcPr>
            <w:tcW w:w="50" w:type="pct"/>
            <w:vAlign w:val="center"/>
            <w:hideMark/>
          </w:tcPr>
          <w:p w14:paraId="5CCE3623" w14:textId="77777777" w:rsidR="00000000" w:rsidRDefault="000A3118">
            <w:pPr>
              <w:rPr>
                <w:rFonts w:eastAsia="Times New Roman"/>
                <w:sz w:val="20"/>
                <w:szCs w:val="20"/>
              </w:rPr>
            </w:pPr>
          </w:p>
        </w:tc>
        <w:tc>
          <w:tcPr>
            <w:tcW w:w="559" w:type="pct"/>
            <w:vAlign w:val="center"/>
            <w:hideMark/>
          </w:tcPr>
          <w:p w14:paraId="6DFFD4F9" w14:textId="77777777" w:rsidR="00000000" w:rsidRDefault="000A3118">
            <w:pPr>
              <w:rPr>
                <w:rFonts w:eastAsia="Times New Roman"/>
                <w:sz w:val="20"/>
                <w:szCs w:val="20"/>
              </w:rPr>
            </w:pPr>
          </w:p>
        </w:tc>
        <w:tc>
          <w:tcPr>
            <w:tcW w:w="5" w:type="pct"/>
            <w:vAlign w:val="center"/>
            <w:hideMark/>
          </w:tcPr>
          <w:p w14:paraId="0A9A42C1" w14:textId="77777777" w:rsidR="00000000" w:rsidRDefault="000A3118">
            <w:pPr>
              <w:rPr>
                <w:rFonts w:eastAsia="Times New Roman"/>
                <w:sz w:val="20"/>
                <w:szCs w:val="20"/>
              </w:rPr>
            </w:pPr>
          </w:p>
        </w:tc>
        <w:tc>
          <w:tcPr>
            <w:tcW w:w="5" w:type="pct"/>
            <w:vAlign w:val="center"/>
            <w:hideMark/>
          </w:tcPr>
          <w:p w14:paraId="5AFFA7F9" w14:textId="77777777" w:rsidR="00000000" w:rsidRDefault="000A3118">
            <w:pPr>
              <w:rPr>
                <w:rFonts w:eastAsia="Times New Roman"/>
                <w:sz w:val="20"/>
                <w:szCs w:val="20"/>
              </w:rPr>
            </w:pPr>
          </w:p>
        </w:tc>
        <w:tc>
          <w:tcPr>
            <w:tcW w:w="26" w:type="pct"/>
            <w:vAlign w:val="center"/>
            <w:hideMark/>
          </w:tcPr>
          <w:p w14:paraId="1CDBEEB3" w14:textId="77777777" w:rsidR="00000000" w:rsidRDefault="000A3118">
            <w:pPr>
              <w:rPr>
                <w:rFonts w:eastAsia="Times New Roman"/>
                <w:sz w:val="20"/>
                <w:szCs w:val="20"/>
              </w:rPr>
            </w:pPr>
          </w:p>
        </w:tc>
        <w:tc>
          <w:tcPr>
            <w:tcW w:w="5" w:type="pct"/>
            <w:vAlign w:val="center"/>
            <w:hideMark/>
          </w:tcPr>
          <w:p w14:paraId="3C610A71" w14:textId="77777777" w:rsidR="00000000" w:rsidRDefault="000A3118">
            <w:pPr>
              <w:rPr>
                <w:rFonts w:eastAsia="Times New Roman"/>
                <w:sz w:val="20"/>
                <w:szCs w:val="20"/>
              </w:rPr>
            </w:pPr>
          </w:p>
        </w:tc>
        <w:tc>
          <w:tcPr>
            <w:tcW w:w="50" w:type="pct"/>
            <w:vAlign w:val="center"/>
            <w:hideMark/>
          </w:tcPr>
          <w:p w14:paraId="71DA5A7A" w14:textId="77777777" w:rsidR="00000000" w:rsidRDefault="000A3118">
            <w:pPr>
              <w:rPr>
                <w:rFonts w:eastAsia="Times New Roman"/>
                <w:sz w:val="20"/>
                <w:szCs w:val="20"/>
              </w:rPr>
            </w:pPr>
          </w:p>
        </w:tc>
        <w:tc>
          <w:tcPr>
            <w:tcW w:w="580" w:type="pct"/>
            <w:vAlign w:val="center"/>
            <w:hideMark/>
          </w:tcPr>
          <w:p w14:paraId="60CDFAD2" w14:textId="77777777" w:rsidR="00000000" w:rsidRDefault="000A3118">
            <w:pPr>
              <w:rPr>
                <w:rFonts w:eastAsia="Times New Roman"/>
                <w:sz w:val="20"/>
                <w:szCs w:val="20"/>
              </w:rPr>
            </w:pPr>
          </w:p>
        </w:tc>
        <w:tc>
          <w:tcPr>
            <w:tcW w:w="5" w:type="pct"/>
            <w:vAlign w:val="center"/>
            <w:hideMark/>
          </w:tcPr>
          <w:p w14:paraId="591C37E8" w14:textId="77777777" w:rsidR="00000000" w:rsidRDefault="000A3118">
            <w:pPr>
              <w:rPr>
                <w:rFonts w:eastAsia="Times New Roman"/>
                <w:sz w:val="20"/>
                <w:szCs w:val="20"/>
              </w:rPr>
            </w:pPr>
          </w:p>
        </w:tc>
        <w:tc>
          <w:tcPr>
            <w:tcW w:w="5" w:type="pct"/>
            <w:vAlign w:val="center"/>
            <w:hideMark/>
          </w:tcPr>
          <w:p w14:paraId="2A99B585" w14:textId="77777777" w:rsidR="00000000" w:rsidRDefault="000A3118">
            <w:pPr>
              <w:rPr>
                <w:rFonts w:eastAsia="Times New Roman"/>
                <w:sz w:val="20"/>
                <w:szCs w:val="20"/>
              </w:rPr>
            </w:pPr>
          </w:p>
        </w:tc>
        <w:tc>
          <w:tcPr>
            <w:tcW w:w="26" w:type="pct"/>
            <w:vAlign w:val="center"/>
            <w:hideMark/>
          </w:tcPr>
          <w:p w14:paraId="65D57AEB" w14:textId="77777777" w:rsidR="00000000" w:rsidRDefault="000A3118">
            <w:pPr>
              <w:rPr>
                <w:rFonts w:eastAsia="Times New Roman"/>
                <w:sz w:val="20"/>
                <w:szCs w:val="20"/>
              </w:rPr>
            </w:pPr>
          </w:p>
        </w:tc>
        <w:tc>
          <w:tcPr>
            <w:tcW w:w="5" w:type="pct"/>
            <w:vAlign w:val="center"/>
            <w:hideMark/>
          </w:tcPr>
          <w:p w14:paraId="49D96DC6" w14:textId="77777777" w:rsidR="00000000" w:rsidRDefault="000A3118">
            <w:pPr>
              <w:rPr>
                <w:rFonts w:eastAsia="Times New Roman"/>
                <w:sz w:val="20"/>
                <w:szCs w:val="20"/>
              </w:rPr>
            </w:pPr>
          </w:p>
        </w:tc>
        <w:tc>
          <w:tcPr>
            <w:tcW w:w="50" w:type="pct"/>
            <w:vAlign w:val="center"/>
            <w:hideMark/>
          </w:tcPr>
          <w:p w14:paraId="35552E0E" w14:textId="77777777" w:rsidR="00000000" w:rsidRDefault="000A3118">
            <w:pPr>
              <w:rPr>
                <w:rFonts w:eastAsia="Times New Roman"/>
                <w:sz w:val="20"/>
                <w:szCs w:val="20"/>
              </w:rPr>
            </w:pPr>
          </w:p>
        </w:tc>
        <w:tc>
          <w:tcPr>
            <w:tcW w:w="581" w:type="pct"/>
            <w:vAlign w:val="center"/>
            <w:hideMark/>
          </w:tcPr>
          <w:p w14:paraId="1FD4A2DC" w14:textId="77777777" w:rsidR="00000000" w:rsidRDefault="000A3118">
            <w:pPr>
              <w:rPr>
                <w:rFonts w:eastAsia="Times New Roman"/>
                <w:sz w:val="20"/>
                <w:szCs w:val="20"/>
              </w:rPr>
            </w:pPr>
          </w:p>
        </w:tc>
        <w:tc>
          <w:tcPr>
            <w:tcW w:w="5" w:type="pct"/>
            <w:vAlign w:val="center"/>
            <w:hideMark/>
          </w:tcPr>
          <w:p w14:paraId="3B78883F" w14:textId="77777777" w:rsidR="00000000" w:rsidRDefault="000A3118">
            <w:pPr>
              <w:rPr>
                <w:rFonts w:eastAsia="Times New Roman"/>
                <w:sz w:val="20"/>
                <w:szCs w:val="20"/>
              </w:rPr>
            </w:pPr>
          </w:p>
        </w:tc>
      </w:tr>
      <w:tr w:rsidR="00000000" w14:paraId="195143DB" w14:textId="77777777">
        <w:trPr>
          <w:divId w:val="909465694"/>
        </w:trPr>
        <w:tc>
          <w:tcPr>
            <w:tcW w:w="0" w:type="auto"/>
            <w:gridSpan w:val="3"/>
            <w:tcMar>
              <w:top w:w="0" w:type="dxa"/>
              <w:left w:w="20" w:type="dxa"/>
              <w:bottom w:w="0" w:type="dxa"/>
              <w:right w:w="20" w:type="dxa"/>
            </w:tcMar>
            <w:vAlign w:val="center"/>
            <w:hideMark/>
          </w:tcPr>
          <w:p w14:paraId="657F4FCE"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60256E4C"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170538FF" w14:textId="77777777" w:rsidR="00000000" w:rsidRDefault="000A3118">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14:paraId="3E684AE1" w14:textId="77777777" w:rsidR="00000000" w:rsidRDefault="000A3118">
            <w:pPr>
              <w:jc w:val="center"/>
              <w:rPr>
                <w:rFonts w:eastAsia="Times New Roman"/>
              </w:rPr>
            </w:pPr>
          </w:p>
        </w:tc>
        <w:tc>
          <w:tcPr>
            <w:tcW w:w="0" w:type="auto"/>
            <w:gridSpan w:val="9"/>
            <w:tcMar>
              <w:top w:w="30" w:type="dxa"/>
              <w:left w:w="20" w:type="dxa"/>
              <w:bottom w:w="30" w:type="dxa"/>
              <w:right w:w="20" w:type="dxa"/>
            </w:tcMar>
            <w:vAlign w:val="bottom"/>
            <w:hideMark/>
          </w:tcPr>
          <w:p w14:paraId="420D7513" w14:textId="77777777" w:rsidR="00000000" w:rsidRDefault="000A3118">
            <w:pPr>
              <w:jc w:val="center"/>
              <w:rPr>
                <w:rFonts w:eastAsia="Times New Roman"/>
              </w:rPr>
            </w:pPr>
            <w:r>
              <w:rPr>
                <w:rFonts w:eastAsia="Times New Roman"/>
                <w:b/>
                <w:bCs/>
                <w:color w:val="000000"/>
                <w:sz w:val="16"/>
                <w:szCs w:val="16"/>
              </w:rPr>
              <w:t>For the Nine Months Ended</w:t>
            </w:r>
          </w:p>
        </w:tc>
      </w:tr>
      <w:tr w:rsidR="00000000" w14:paraId="46EED702" w14:textId="77777777">
        <w:trPr>
          <w:divId w:val="909465694"/>
        </w:trPr>
        <w:tc>
          <w:tcPr>
            <w:tcW w:w="0" w:type="auto"/>
            <w:gridSpan w:val="3"/>
            <w:tcMar>
              <w:top w:w="0" w:type="dxa"/>
              <w:left w:w="20" w:type="dxa"/>
              <w:bottom w:w="0" w:type="dxa"/>
              <w:right w:w="20" w:type="dxa"/>
            </w:tcMar>
            <w:vAlign w:val="center"/>
            <w:hideMark/>
          </w:tcPr>
          <w:p w14:paraId="5DA4D5E4"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17AE618D"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17E109E9"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2F45DF27" w14:textId="77777777" w:rsidR="00000000" w:rsidRDefault="000A3118">
            <w:pPr>
              <w:jc w:val="center"/>
              <w:rPr>
                <w:rFonts w:eastAsia="Times New Roman"/>
              </w:rPr>
            </w:pPr>
          </w:p>
        </w:tc>
        <w:tc>
          <w:tcPr>
            <w:tcW w:w="0" w:type="auto"/>
            <w:gridSpan w:val="9"/>
            <w:tcMar>
              <w:top w:w="30" w:type="dxa"/>
              <w:left w:w="20" w:type="dxa"/>
              <w:bottom w:w="30" w:type="dxa"/>
              <w:right w:w="20" w:type="dxa"/>
            </w:tcMar>
            <w:vAlign w:val="bottom"/>
            <w:hideMark/>
          </w:tcPr>
          <w:p w14:paraId="268E94CA" w14:textId="77777777" w:rsidR="00000000" w:rsidRDefault="000A3118">
            <w:pPr>
              <w:jc w:val="center"/>
              <w:rPr>
                <w:rFonts w:eastAsia="Times New Roman"/>
              </w:rPr>
            </w:pPr>
            <w:r>
              <w:rPr>
                <w:rFonts w:eastAsia="Times New Roman"/>
                <w:b/>
                <w:bCs/>
                <w:color w:val="000000"/>
                <w:sz w:val="16"/>
                <w:szCs w:val="16"/>
              </w:rPr>
              <w:t>September 30,</w:t>
            </w:r>
          </w:p>
        </w:tc>
      </w:tr>
      <w:tr w:rsidR="00000000" w14:paraId="6973EC49" w14:textId="77777777">
        <w:trPr>
          <w:divId w:val="909465694"/>
        </w:trPr>
        <w:tc>
          <w:tcPr>
            <w:tcW w:w="0" w:type="auto"/>
            <w:gridSpan w:val="3"/>
            <w:tcMar>
              <w:top w:w="0" w:type="dxa"/>
              <w:left w:w="20" w:type="dxa"/>
              <w:bottom w:w="0" w:type="dxa"/>
              <w:right w:w="20" w:type="dxa"/>
            </w:tcMar>
            <w:vAlign w:val="center"/>
            <w:hideMark/>
          </w:tcPr>
          <w:p w14:paraId="53BB4875"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52D79D73"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4C022AA"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9FE9E16"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039306"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4C2C2FA3"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2C4D9D"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CAA7239"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ECEE04" w14:textId="77777777" w:rsidR="00000000" w:rsidRDefault="000A3118">
            <w:pPr>
              <w:jc w:val="center"/>
              <w:rPr>
                <w:rFonts w:eastAsia="Times New Roman"/>
              </w:rPr>
            </w:pPr>
            <w:r>
              <w:rPr>
                <w:rFonts w:eastAsia="Times New Roman"/>
                <w:b/>
                <w:bCs/>
                <w:color w:val="000000"/>
                <w:sz w:val="16"/>
                <w:szCs w:val="16"/>
              </w:rPr>
              <w:t>2019</w:t>
            </w:r>
          </w:p>
        </w:tc>
      </w:tr>
      <w:tr w:rsidR="00000000" w14:paraId="1CD14F46" w14:textId="77777777">
        <w:trPr>
          <w:divId w:val="9094656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F3CAEBF" w14:textId="77777777" w:rsidR="00000000" w:rsidRDefault="000A3118">
            <w:pPr>
              <w:rPr>
                <w:rFonts w:eastAsia="Times New Roman"/>
              </w:rPr>
            </w:pPr>
            <w:r>
              <w:rPr>
                <w:rFonts w:eastAsia="Times New Roman"/>
                <w:color w:val="000000"/>
                <w:sz w:val="16"/>
                <w:szCs w:val="16"/>
              </w:rPr>
              <w:t>Income tax provision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08A362"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70EA2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D498B0" w14:textId="77777777" w:rsidR="00000000" w:rsidRDefault="000A3118">
            <w:pPr>
              <w:jc w:val="right"/>
              <w:rPr>
                <w:rFonts w:eastAsia="Times New Roman"/>
              </w:rPr>
            </w:pPr>
            <w:r>
              <w:rPr>
                <w:rFonts w:eastAsia="Times New Roman"/>
                <w:color w:val="000000"/>
                <w:sz w:val="16"/>
                <w:szCs w:val="16"/>
              </w:rPr>
              <w:t>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F277B3"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E6C6BF"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637A7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5EAC82" w14:textId="77777777" w:rsidR="00000000" w:rsidRDefault="000A3118">
            <w:pPr>
              <w:jc w:val="right"/>
              <w:rPr>
                <w:rFonts w:eastAsia="Times New Roman"/>
              </w:rPr>
            </w:pPr>
            <w:r>
              <w:rPr>
                <w:rFonts w:eastAsia="Times New Roman"/>
                <w:color w:val="000000"/>
                <w:sz w:val="16"/>
                <w:szCs w:val="16"/>
              </w:rPr>
              <w:t>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0CB95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2E13D8"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BC20E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4648A8" w14:textId="77777777" w:rsidR="00000000" w:rsidRDefault="000A3118">
            <w:pPr>
              <w:jc w:val="right"/>
              <w:rPr>
                <w:rFonts w:eastAsia="Times New Roman"/>
              </w:rPr>
            </w:pPr>
            <w:r>
              <w:rPr>
                <w:rFonts w:eastAsia="Times New Roman"/>
                <w:color w:val="000000"/>
                <w:sz w:val="16"/>
                <w:szCs w:val="16"/>
              </w:rPr>
              <w:t>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5E249B"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AF2467"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1451F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98722E" w14:textId="77777777" w:rsidR="00000000" w:rsidRDefault="000A3118">
            <w:pPr>
              <w:jc w:val="right"/>
              <w:rPr>
                <w:rFonts w:eastAsia="Times New Roman"/>
              </w:rPr>
            </w:pPr>
            <w:r>
              <w:rPr>
                <w:rFonts w:eastAsia="Times New Roman"/>
                <w:color w:val="000000"/>
                <w:sz w:val="16"/>
                <w:szCs w:val="16"/>
              </w:rPr>
              <w:t>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610A34" w14:textId="77777777" w:rsidR="00000000" w:rsidRDefault="000A3118">
            <w:pPr>
              <w:jc w:val="right"/>
              <w:rPr>
                <w:rFonts w:eastAsia="Times New Roman"/>
              </w:rPr>
            </w:pPr>
          </w:p>
        </w:tc>
      </w:tr>
      <w:tr w:rsidR="00000000" w14:paraId="225B7E37" w14:textId="77777777">
        <w:trPr>
          <w:divId w:val="909465694"/>
          <w:trHeight w:val="24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DAF6DD"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F3D4C3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DA26C5E"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B243296"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B54F4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4AF25C4"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48BB46"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7455BFF"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E7314F" w14:textId="77777777" w:rsidR="00000000" w:rsidRDefault="000A3118">
            <w:pPr>
              <w:rPr>
                <w:rFonts w:eastAsia="Times New Roman"/>
                <w:sz w:val="20"/>
                <w:szCs w:val="20"/>
              </w:rPr>
            </w:pPr>
          </w:p>
        </w:tc>
      </w:tr>
      <w:tr w:rsidR="00000000" w14:paraId="38DD3B43" w14:textId="77777777">
        <w:trPr>
          <w:divId w:val="909465694"/>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2B05C7A4" w14:textId="77777777" w:rsidR="00000000" w:rsidRDefault="000A3118">
            <w:pPr>
              <w:rPr>
                <w:rFonts w:eastAsia="Times New Roman"/>
              </w:rPr>
            </w:pPr>
            <w:r>
              <w:rPr>
                <w:rFonts w:eastAsia="Times New Roman"/>
                <w:color w:val="000000"/>
                <w:sz w:val="16"/>
                <w:szCs w:val="16"/>
              </w:rPr>
              <w:t>Effective income tax rate</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7C8B93E" w14:textId="77777777" w:rsidR="00000000" w:rsidRDefault="000A3118">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775120" w14:textId="77777777" w:rsidR="00000000" w:rsidRDefault="000A3118">
            <w:pPr>
              <w:jc w:val="right"/>
              <w:rPr>
                <w:rFonts w:eastAsia="Times New Roman"/>
              </w:rPr>
            </w:pPr>
            <w:r>
              <w:rPr>
                <w:rFonts w:eastAsia="Times New Roman"/>
                <w:color w:val="000000"/>
                <w:sz w:val="16"/>
                <w:szCs w:val="16"/>
              </w:rPr>
              <w:t>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6FE4AF" w14:textId="77777777" w:rsidR="00000000" w:rsidRDefault="000A3118">
            <w:pPr>
              <w:jc w:val="right"/>
              <w:rPr>
                <w:rFonts w:eastAsia="Times New Roman"/>
              </w:rPr>
            </w:pP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5A4DFEC" w14:textId="77777777" w:rsidR="00000000" w:rsidRDefault="000A3118">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2F2C1C" w14:textId="77777777" w:rsidR="00000000" w:rsidRDefault="000A3118">
            <w:pPr>
              <w:jc w:val="right"/>
              <w:rPr>
                <w:rFonts w:eastAsia="Times New Roman"/>
              </w:rPr>
            </w:pPr>
            <w:r>
              <w:rPr>
                <w:rFonts w:eastAsia="Times New Roman"/>
                <w:color w:val="000000"/>
                <w:sz w:val="16"/>
                <w:szCs w:val="16"/>
              </w:rPr>
              <w:t>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BC2408" w14:textId="77777777" w:rsidR="00000000" w:rsidRDefault="000A3118">
            <w:pPr>
              <w:jc w:val="right"/>
              <w:rPr>
                <w:rFonts w:eastAsia="Times New Roman"/>
              </w:rPr>
            </w:pP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1BF3C64" w14:textId="77777777" w:rsidR="00000000" w:rsidRDefault="000A3118">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7CC156" w14:textId="77777777" w:rsidR="00000000" w:rsidRDefault="000A3118">
            <w:pPr>
              <w:jc w:val="right"/>
              <w:rPr>
                <w:rFonts w:eastAsia="Times New Roman"/>
              </w:rPr>
            </w:pPr>
            <w:r>
              <w:rPr>
                <w:rFonts w:eastAsia="Times New Roman"/>
                <w:color w:val="000000"/>
                <w:sz w:val="16"/>
                <w:szCs w:val="16"/>
              </w:rPr>
              <w:t>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11E791" w14:textId="77777777" w:rsidR="00000000" w:rsidRDefault="000A3118">
            <w:pPr>
              <w:jc w:val="right"/>
              <w:rPr>
                <w:rFonts w:eastAsia="Times New Roman"/>
              </w:rPr>
            </w:pP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2ED9206" w14:textId="77777777" w:rsidR="00000000" w:rsidRDefault="000A3118">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07BCAF" w14:textId="77777777" w:rsidR="00000000" w:rsidRDefault="000A3118">
            <w:pPr>
              <w:jc w:val="right"/>
              <w:rPr>
                <w:rFonts w:eastAsia="Times New Roman"/>
              </w:rPr>
            </w:pPr>
            <w:r>
              <w:rPr>
                <w:rFonts w:eastAsia="Times New Roman"/>
                <w:color w:val="000000"/>
                <w:sz w:val="16"/>
                <w:szCs w:val="16"/>
              </w:rPr>
              <w:t>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DE4A83" w14:textId="77777777" w:rsidR="00000000" w:rsidRDefault="000A3118">
            <w:pPr>
              <w:jc w:val="right"/>
              <w:rPr>
                <w:rFonts w:eastAsia="Times New Roman"/>
              </w:rPr>
            </w:pPr>
            <w:r>
              <w:rPr>
                <w:rFonts w:eastAsia="Times New Roman"/>
                <w:color w:val="000000"/>
                <w:sz w:val="16"/>
                <w:szCs w:val="16"/>
              </w:rPr>
              <w:t>%</w:t>
            </w:r>
          </w:p>
        </w:tc>
      </w:tr>
    </w:tbl>
    <w:p w14:paraId="1A37519C" w14:textId="77777777" w:rsidR="00000000" w:rsidRDefault="000A3118">
      <w:pPr>
        <w:ind w:firstLine="720"/>
        <w:jc w:val="both"/>
        <w:rPr>
          <w:rFonts w:eastAsia="Times New Roman"/>
        </w:rPr>
      </w:pPr>
      <w:r>
        <w:rPr>
          <w:rFonts w:eastAsia="Times New Roman"/>
          <w:color w:val="000000"/>
          <w:sz w:val="20"/>
          <w:szCs w:val="20"/>
        </w:rPr>
        <w:t> </w:t>
      </w:r>
    </w:p>
    <w:p w14:paraId="57428019" w14:textId="77777777" w:rsidR="00000000" w:rsidRDefault="000A3118">
      <w:pPr>
        <w:jc w:val="both"/>
        <w:rPr>
          <w:rFonts w:eastAsia="Times New Roman"/>
        </w:rPr>
      </w:pPr>
      <w:r>
        <w:rPr>
          <w:rFonts w:eastAsia="Times New Roman"/>
          <w:color w:val="000000"/>
          <w:sz w:val="20"/>
          <w:szCs w:val="20"/>
        </w:rPr>
        <w:t>    Our provision for income taxes for the three months ended September 30, 2020, was $25.4 million, resulting in an effective income tax rate of 24%. The provision includes</w:t>
      </w:r>
      <w:r>
        <w:rPr>
          <w:rFonts w:eastAsia="Times New Roman"/>
          <w:color w:val="000000"/>
          <w:sz w:val="20"/>
          <w:szCs w:val="20"/>
        </w:rPr>
        <w:t xml:space="preserve"> a discrete tax expense of $16.1 million for the tax on the gain on the sale of MSTS and a net discrete tax expense of $2.7 million related to tax reserve provisions and adjustments resulting from tax return filings in several worldwide jurisdictions. For </w:t>
      </w:r>
      <w:r>
        <w:rPr>
          <w:rFonts w:eastAsia="Times New Roman"/>
          <w:color w:val="000000"/>
          <w:sz w:val="20"/>
          <w:szCs w:val="20"/>
        </w:rPr>
        <w:t>the three months ended September 30, 2019, our provision for income taxes was $21.5 million resulting in an effective tax rate of 30%, which included a net discrete income tax benefit of $1.3 million for the period.</w:t>
      </w:r>
    </w:p>
    <w:p w14:paraId="2D39224A" w14:textId="77777777" w:rsidR="00000000" w:rsidRDefault="000A3118">
      <w:pPr>
        <w:ind w:firstLine="360"/>
        <w:jc w:val="both"/>
        <w:rPr>
          <w:rFonts w:eastAsia="Times New Roman"/>
        </w:rPr>
      </w:pPr>
    </w:p>
    <w:p w14:paraId="03E5373F" w14:textId="77777777" w:rsidR="00000000" w:rsidRDefault="000A3118">
      <w:pPr>
        <w:ind w:firstLine="360"/>
        <w:jc w:val="both"/>
        <w:rPr>
          <w:rFonts w:eastAsia="Times New Roman"/>
        </w:rPr>
      </w:pPr>
      <w:r>
        <w:rPr>
          <w:rFonts w:eastAsia="Times New Roman"/>
          <w:color w:val="000000"/>
          <w:sz w:val="20"/>
          <w:szCs w:val="20"/>
        </w:rPr>
        <w:t>Our provision for income taxes for the</w:t>
      </w:r>
      <w:r>
        <w:rPr>
          <w:rFonts w:eastAsia="Times New Roman"/>
          <w:color w:val="000000"/>
          <w:sz w:val="20"/>
          <w:szCs w:val="20"/>
        </w:rPr>
        <w:t xml:space="preserve"> nine months ended September 30, 2020, was $49.0 million, resulting in an effective income tax rate of 30%. The provision includes a discrete tax expense of $16.1 million for the tax on the gain on the sale of MSTS and a net discrete expense of $7.1 millio</w:t>
      </w:r>
      <w:r>
        <w:rPr>
          <w:rFonts w:eastAsia="Times New Roman"/>
          <w:color w:val="000000"/>
          <w:sz w:val="20"/>
          <w:szCs w:val="20"/>
        </w:rPr>
        <w:t>n related primarily to adjustments resulting from tax return filings in several worldwide jurisdictions. For the nine months ended September 30, 2019, our provision for income taxes was $55.5 million resulting in an effective tax rate of 31%, which include</w:t>
      </w:r>
      <w:r>
        <w:rPr>
          <w:rFonts w:eastAsia="Times New Roman"/>
          <w:color w:val="000000"/>
          <w:sz w:val="20"/>
          <w:szCs w:val="20"/>
        </w:rPr>
        <w:t>d a net discrete income tax benefit of $3.3 million for the period.</w:t>
      </w:r>
    </w:p>
    <w:p w14:paraId="0B850E82" w14:textId="77777777" w:rsidR="00000000" w:rsidRDefault="000A3118">
      <w:pPr>
        <w:ind w:firstLine="360"/>
        <w:jc w:val="both"/>
        <w:rPr>
          <w:rFonts w:eastAsia="Times New Roman"/>
        </w:rPr>
      </w:pPr>
    </w:p>
    <w:p w14:paraId="0A8A418F" w14:textId="77777777" w:rsidR="00000000" w:rsidRDefault="000A3118">
      <w:pPr>
        <w:ind w:firstLine="360"/>
        <w:jc w:val="both"/>
        <w:rPr>
          <w:rFonts w:eastAsia="Times New Roman"/>
        </w:rPr>
      </w:pPr>
      <w:r>
        <w:rPr>
          <w:rFonts w:eastAsia="Times New Roman"/>
          <w:color w:val="000000"/>
          <w:sz w:val="20"/>
          <w:szCs w:val="20"/>
        </w:rPr>
        <w:t>Our income tax concession in Singapore, which reduces the income tax rate on qualified sales and derivative gains and losses, decreased foreign income taxes by $0.0 million and $2.0 mill</w:t>
      </w:r>
      <w:r>
        <w:rPr>
          <w:rFonts w:eastAsia="Times New Roman"/>
          <w:color w:val="000000"/>
          <w:sz w:val="20"/>
          <w:szCs w:val="20"/>
        </w:rPr>
        <w:t>ion for the three months ended September 30, 2020 and 2019, respectively. The impact of the income tax concession on basic earnings per common share was $0.00 and $0.03 for the three months ended September 30, 2020 and 2019, respectively and $0.00 and $0.0</w:t>
      </w:r>
      <w:r>
        <w:rPr>
          <w:rFonts w:eastAsia="Times New Roman"/>
          <w:color w:val="000000"/>
          <w:sz w:val="20"/>
          <w:szCs w:val="20"/>
        </w:rPr>
        <w:t>3 on a diluted earnings per common share basis, respectively.</w:t>
      </w:r>
    </w:p>
    <w:p w14:paraId="7501C47E" w14:textId="77777777" w:rsidR="00000000" w:rsidRDefault="000A3118">
      <w:pPr>
        <w:ind w:firstLine="360"/>
        <w:jc w:val="both"/>
        <w:rPr>
          <w:rFonts w:eastAsia="Times New Roman"/>
        </w:rPr>
      </w:pPr>
    </w:p>
    <w:p w14:paraId="5FDC02CB" w14:textId="77777777" w:rsidR="00000000" w:rsidRDefault="000A3118">
      <w:pPr>
        <w:ind w:firstLine="360"/>
        <w:jc w:val="both"/>
        <w:rPr>
          <w:rFonts w:eastAsia="Times New Roman"/>
        </w:rPr>
      </w:pPr>
      <w:r>
        <w:rPr>
          <w:rFonts w:eastAsia="Times New Roman"/>
          <w:color w:val="000000"/>
          <w:sz w:val="20"/>
          <w:szCs w:val="20"/>
        </w:rPr>
        <w:t>Our income tax concession decreased foreign income taxes by $1.5 million and $3.5 million for the nine months ended September 30, 2020 and 2019, respectively. The impact of the income tax conc</w:t>
      </w:r>
      <w:r>
        <w:rPr>
          <w:rFonts w:eastAsia="Times New Roman"/>
          <w:color w:val="000000"/>
          <w:sz w:val="20"/>
          <w:szCs w:val="20"/>
        </w:rPr>
        <w:t>ession on basic earnings per common share was $0.02 and $0.05 for the nine months ended September 30, 2020 and 2019, respectively and $0.02 and $0.05 on a diluted earnings per common share basis, respectively.</w:t>
      </w:r>
    </w:p>
    <w:p w14:paraId="16640AAD" w14:textId="77777777" w:rsidR="00000000" w:rsidRDefault="000A3118">
      <w:pPr>
        <w:ind w:firstLine="360"/>
        <w:jc w:val="both"/>
        <w:rPr>
          <w:rFonts w:eastAsia="Times New Roman"/>
        </w:rPr>
      </w:pPr>
    </w:p>
    <w:p w14:paraId="16FA5C07" w14:textId="77777777" w:rsidR="00000000" w:rsidRDefault="000A3118">
      <w:pPr>
        <w:ind w:firstLine="360"/>
        <w:jc w:val="both"/>
        <w:rPr>
          <w:rFonts w:eastAsia="Times New Roman"/>
        </w:rPr>
      </w:pPr>
      <w:r>
        <w:rPr>
          <w:rFonts w:eastAsia="Times New Roman"/>
          <w:color w:val="000000"/>
          <w:sz w:val="20"/>
          <w:szCs w:val="20"/>
        </w:rPr>
        <w:t>Our provision for income taxes for the three and nine months ended September 30, 2020 and 2019 was calculated based on the estimated annual effective income tax rate for the 2020 and 2019 fiscal years. The actual effective income tax rate for the 2020 fisc</w:t>
      </w:r>
      <w:r>
        <w:rPr>
          <w:rFonts w:eastAsia="Times New Roman"/>
          <w:color w:val="000000"/>
          <w:sz w:val="20"/>
          <w:szCs w:val="20"/>
        </w:rPr>
        <w:t xml:space="preserve">al year may be materially different as a result of differences between estimated versus actual results and the geographic tax jurisdictions in which the results are earned, as well as the finalization of the sales price allocation to the respective assets </w:t>
      </w:r>
      <w:r>
        <w:rPr>
          <w:rFonts w:eastAsia="Times New Roman"/>
          <w:color w:val="000000"/>
          <w:sz w:val="20"/>
          <w:szCs w:val="20"/>
        </w:rPr>
        <w:t xml:space="preserve">and entities related to the MSTS sale. </w:t>
      </w:r>
    </w:p>
    <w:p w14:paraId="1DA92F78" w14:textId="77777777" w:rsidR="00000000" w:rsidRDefault="000A3118">
      <w:pPr>
        <w:ind w:firstLine="360"/>
        <w:jc w:val="both"/>
        <w:rPr>
          <w:rFonts w:eastAsia="Times New Roman"/>
        </w:rPr>
      </w:pPr>
    </w:p>
    <w:p w14:paraId="7E8EC789" w14:textId="77777777" w:rsidR="00000000" w:rsidRDefault="000A3118">
      <w:pPr>
        <w:ind w:firstLine="360"/>
        <w:jc w:val="both"/>
        <w:rPr>
          <w:rFonts w:eastAsia="Times New Roman"/>
        </w:rPr>
      </w:pPr>
      <w:r>
        <w:rPr>
          <w:rFonts w:eastAsia="Times New Roman"/>
          <w:color w:val="000000"/>
          <w:sz w:val="20"/>
          <w:szCs w:val="20"/>
        </w:rPr>
        <w:t>We have various tax returns under examination both in the U.S. and foreign jurisdictions. The most significant of these are in Denmark for the 2013 to 2015 tax years, South Korea for the 2011 to 2014 tax years, and</w:t>
      </w:r>
      <w:r>
        <w:rPr>
          <w:rFonts w:eastAsia="Times New Roman"/>
          <w:color w:val="000000"/>
          <w:sz w:val="20"/>
          <w:szCs w:val="20"/>
        </w:rPr>
        <w:t xml:space="preserve"> the U.S. for the 2017 to 2018 tax years. In 2018, one of our subsidiaries in Denmark received an audit inquiry from the Danish tax authorities regarding transfer pricing and other related matters for the tax years 2013 to 2015. In the second quarter 2019,</w:t>
      </w:r>
      <w:r>
        <w:rPr>
          <w:rFonts w:eastAsia="Times New Roman"/>
          <w:color w:val="000000"/>
          <w:sz w:val="20"/>
          <w:szCs w:val="20"/>
        </w:rPr>
        <w:t xml:space="preserve"> it received a proposed tax adjustment of approximately $1.8 million (DKK 11.2 million) related to the 2013 tax year and on April 30, 2020, it received a proposed tax adjustment of approximately $1.4 million (DKK 8.6 million) related to the 2014 tax year. </w:t>
      </w:r>
      <w:r>
        <w:rPr>
          <w:rFonts w:eastAsia="Times New Roman"/>
          <w:color w:val="000000"/>
          <w:sz w:val="20"/>
          <w:szCs w:val="20"/>
        </w:rPr>
        <w:t>We have responded to the proposed income adjustments and other information requests from the Danish tax authorities and are engaged in ongoing discussions with them regarding those responses and information. In 2017, the Korean Branch of one of our subsidi</w:t>
      </w:r>
      <w:r>
        <w:rPr>
          <w:rFonts w:eastAsia="Times New Roman"/>
          <w:color w:val="000000"/>
          <w:sz w:val="20"/>
          <w:szCs w:val="20"/>
        </w:rPr>
        <w:t>aries received income tax assessment notices for $9.7 million (KRW 11.3 billion) from the South Korea tax authorities. We believe that these assessments are without merit and are currently appealing the actions. On March 11, 2020, the U.S. Internal Revenue</w:t>
      </w:r>
      <w:r>
        <w:rPr>
          <w:rFonts w:eastAsia="Times New Roman"/>
          <w:color w:val="000000"/>
          <w:sz w:val="20"/>
          <w:szCs w:val="20"/>
        </w:rPr>
        <w:t xml:space="preserve"> Service began the audit of our 2017 and 2018 tax years, and we continue to respond to their information requests.</w:t>
      </w:r>
    </w:p>
    <w:p w14:paraId="4689D4C5" w14:textId="77777777" w:rsidR="00000000" w:rsidRDefault="000A3118">
      <w:pPr>
        <w:ind w:firstLine="360"/>
        <w:jc w:val="both"/>
        <w:rPr>
          <w:rFonts w:eastAsia="Times New Roman"/>
        </w:rPr>
      </w:pPr>
    </w:p>
    <w:p w14:paraId="30B4691A" w14:textId="77777777" w:rsidR="00000000" w:rsidRDefault="000A3118">
      <w:pPr>
        <w:ind w:firstLine="360"/>
        <w:jc w:val="both"/>
        <w:rPr>
          <w:rFonts w:eastAsia="Times New Roman"/>
        </w:rPr>
      </w:pPr>
      <w:r>
        <w:rPr>
          <w:rFonts w:eastAsia="Times New Roman"/>
          <w:color w:val="000000"/>
          <w:sz w:val="20"/>
          <w:szCs w:val="20"/>
        </w:rPr>
        <w:t>An unfavorable resolution of one or more of the above matters could have a material adverse effect on our result of operations or cash flow</w:t>
      </w:r>
      <w:r>
        <w:rPr>
          <w:rFonts w:eastAsia="Times New Roman"/>
          <w:color w:val="000000"/>
          <w:sz w:val="20"/>
          <w:szCs w:val="20"/>
        </w:rPr>
        <w:t>s in the quarter or year in which the adjustments are recorded, or the tax is due or paid. As examinations are still in process or have not yet reached the final stages of the appeals process, the timing of the ultimate resolution or payments that may be r</w:t>
      </w:r>
      <w:r>
        <w:rPr>
          <w:rFonts w:eastAsia="Times New Roman"/>
          <w:color w:val="000000"/>
          <w:sz w:val="20"/>
          <w:szCs w:val="20"/>
        </w:rPr>
        <w:t>equired cannot be determined at this time.</w:t>
      </w:r>
    </w:p>
    <w:p w14:paraId="1430D4A1" w14:textId="77777777" w:rsidR="00000000" w:rsidRDefault="000A3118">
      <w:pPr>
        <w:jc w:val="both"/>
        <w:rPr>
          <w:rFonts w:eastAsia="Times New Roman"/>
        </w:rPr>
      </w:pPr>
    </w:p>
    <w:p w14:paraId="3059D139" w14:textId="77777777" w:rsidR="00000000" w:rsidRDefault="000A3118">
      <w:pPr>
        <w:jc w:val="center"/>
        <w:divId w:val="564070717"/>
        <w:rPr>
          <w:rFonts w:eastAsia="Times New Roman"/>
        </w:rPr>
      </w:pPr>
      <w:r>
        <w:rPr>
          <w:rFonts w:eastAsia="Times New Roman"/>
          <w:color w:val="000000"/>
          <w:sz w:val="20"/>
          <w:szCs w:val="20"/>
        </w:rPr>
        <w:t>19</w:t>
      </w:r>
    </w:p>
    <w:p w14:paraId="00BC3C0C" w14:textId="77777777" w:rsidR="00000000" w:rsidRDefault="000A3118">
      <w:pPr>
        <w:rPr>
          <w:rFonts w:eastAsia="Times New Roman"/>
        </w:rPr>
      </w:pPr>
      <w:r>
        <w:rPr>
          <w:rFonts w:eastAsia="Times New Roman"/>
        </w:rPr>
        <w:pict w14:anchorId="60D97DAA">
          <v:rect id="_x0000_i1047" style="width:0;height:1.5pt" o:hralign="center" o:hrstd="t" o:hr="t" fillcolor="#a0a0a0" stroked="f"/>
        </w:pict>
      </w:r>
    </w:p>
    <w:p w14:paraId="50583EA6" w14:textId="77777777" w:rsidR="00000000" w:rsidRDefault="000A3118">
      <w:pPr>
        <w:divId w:val="1228111516"/>
        <w:rPr>
          <w:rFonts w:eastAsia="Times New Roman"/>
        </w:rPr>
      </w:pPr>
    </w:p>
    <w:p w14:paraId="6468392D" w14:textId="77777777" w:rsidR="00000000" w:rsidRDefault="000A3118">
      <w:pPr>
        <w:jc w:val="both"/>
        <w:rPr>
          <w:rFonts w:eastAsia="Times New Roman"/>
        </w:rPr>
      </w:pPr>
      <w:r>
        <w:rPr>
          <w:rFonts w:eastAsia="Times New Roman"/>
          <w:b/>
          <w:bCs/>
          <w:color w:val="000000"/>
          <w:sz w:val="20"/>
          <w:szCs w:val="20"/>
        </w:rPr>
        <w:t>9. Revenue from Contracts with Customers</w:t>
      </w:r>
    </w:p>
    <w:p w14:paraId="0D66549C" w14:textId="77777777" w:rsidR="00000000" w:rsidRDefault="000A3118">
      <w:pPr>
        <w:ind w:firstLine="360"/>
        <w:jc w:val="both"/>
        <w:rPr>
          <w:rFonts w:eastAsia="Times New Roman"/>
        </w:rPr>
      </w:pPr>
    </w:p>
    <w:p w14:paraId="29C88F4F" w14:textId="77777777" w:rsidR="00000000" w:rsidRDefault="000A3118">
      <w:pPr>
        <w:jc w:val="both"/>
        <w:rPr>
          <w:rFonts w:eastAsia="Times New Roman"/>
        </w:rPr>
      </w:pPr>
      <w:r>
        <w:rPr>
          <w:rFonts w:ascii="Arial" w:eastAsia="Times New Roman" w:hAnsi="Arial" w:cs="Arial"/>
          <w:color w:val="000000"/>
          <w:sz w:val="20"/>
          <w:szCs w:val="20"/>
        </w:rPr>
        <w:t>    </w:t>
      </w:r>
      <w:r>
        <w:rPr>
          <w:rFonts w:eastAsia="Times New Roman"/>
          <w:color w:val="000000"/>
          <w:sz w:val="20"/>
          <w:szCs w:val="20"/>
        </w:rPr>
        <w:t>Our contracts with customers primarily require us to deliver fuel and fuel-related products, while other arrangements require us to complete agreed-upon services. Revenue from the sale of fuel is recognized when our customers obtain control of the fuel, wh</w:t>
      </w:r>
      <w:r>
        <w:rPr>
          <w:rFonts w:eastAsia="Times New Roman"/>
          <w:color w:val="000000"/>
          <w:sz w:val="20"/>
          <w:szCs w:val="20"/>
        </w:rPr>
        <w:t>ich is typically upon delivery of each promised gallon or barrel to an agreed-upon delivery point. We generally recognize revenue for services provided over the contract period when services have been performed based on our right to invoice for those servi</w:t>
      </w:r>
      <w:r>
        <w:rPr>
          <w:rFonts w:eastAsia="Times New Roman"/>
          <w:color w:val="000000"/>
          <w:sz w:val="20"/>
          <w:szCs w:val="20"/>
        </w:rPr>
        <w:t>ces.</w:t>
      </w:r>
    </w:p>
    <w:p w14:paraId="0E2E8ABE" w14:textId="77777777" w:rsidR="00000000" w:rsidRDefault="000A3118">
      <w:pPr>
        <w:jc w:val="both"/>
        <w:rPr>
          <w:rFonts w:eastAsia="Times New Roman"/>
        </w:rPr>
      </w:pPr>
    </w:p>
    <w:p w14:paraId="2A8D419D" w14:textId="77777777" w:rsidR="00000000" w:rsidRDefault="000A3118">
      <w:pPr>
        <w:jc w:val="both"/>
        <w:rPr>
          <w:rFonts w:eastAsia="Times New Roman"/>
        </w:rPr>
      </w:pPr>
      <w:r>
        <w:rPr>
          <w:rFonts w:eastAsia="Times New Roman"/>
          <w:color w:val="000000"/>
          <w:sz w:val="20"/>
          <w:szCs w:val="20"/>
        </w:rPr>
        <w:t>    Our contracts may contain fixed or variable pricing (such as market or index-based pricing) or some combination of those. Within our land and aviation segments, contracts with customers may include multi-year sales contracts, which are priced at</w:t>
      </w:r>
      <w:r>
        <w:rPr>
          <w:rFonts w:eastAsia="Times New Roman"/>
          <w:color w:val="000000"/>
          <w:sz w:val="20"/>
          <w:szCs w:val="20"/>
        </w:rPr>
        <w:t xml:space="preserve"> market-based indices and require minimum volume purchase commitments from our customers. The consideration expected from these contracts is considered variable due to the market-based pricing and the variability is not resolved until delivery is made to o</w:t>
      </w:r>
      <w:r>
        <w:rPr>
          <w:rFonts w:eastAsia="Times New Roman"/>
          <w:color w:val="000000"/>
          <w:sz w:val="20"/>
          <w:szCs w:val="20"/>
        </w:rPr>
        <w:t>ur customers. We have elected to apply the optional exemption from estimating and disclosing the variable consideration from our remaining performance obligations under these contracts.</w:t>
      </w:r>
    </w:p>
    <w:p w14:paraId="081AEC6B" w14:textId="77777777" w:rsidR="00000000" w:rsidRDefault="000A3118">
      <w:pPr>
        <w:jc w:val="both"/>
        <w:rPr>
          <w:rFonts w:eastAsia="Times New Roman"/>
        </w:rPr>
      </w:pPr>
    </w:p>
    <w:p w14:paraId="0BEC8A2F" w14:textId="77777777" w:rsidR="00000000" w:rsidRDefault="000A3118">
      <w:pPr>
        <w:jc w:val="both"/>
        <w:rPr>
          <w:rFonts w:eastAsia="Times New Roman"/>
        </w:rPr>
      </w:pPr>
      <w:r>
        <w:rPr>
          <w:rFonts w:eastAsia="Times New Roman"/>
          <w:color w:val="000000"/>
          <w:sz w:val="20"/>
          <w:szCs w:val="20"/>
        </w:rPr>
        <w:t>    We also have fixed price fuel and fuel-related product sale cont</w:t>
      </w:r>
      <w:r>
        <w:rPr>
          <w:rFonts w:eastAsia="Times New Roman"/>
          <w:color w:val="000000"/>
          <w:sz w:val="20"/>
          <w:szCs w:val="20"/>
        </w:rPr>
        <w:t>racts with a contract term of less than one year (typically one month). For these contracts, we apply the optional exemption to not disclose the amount of transaction price allocated to remaining performance obligations. We also apply this exemption to tho</w:t>
      </w:r>
      <w:r>
        <w:rPr>
          <w:rFonts w:eastAsia="Times New Roman"/>
          <w:color w:val="000000"/>
          <w:sz w:val="20"/>
          <w:szCs w:val="20"/>
        </w:rPr>
        <w:t>se contracts in which the right to consideration corresponds directly with the value to the customer of the entity's performance to date. In limited cases, we may have multi-period fixed price contracts. Because our long-term supply arrangements that excee</w:t>
      </w:r>
      <w:r>
        <w:rPr>
          <w:rFonts w:eastAsia="Times New Roman"/>
          <w:color w:val="000000"/>
          <w:sz w:val="20"/>
          <w:szCs w:val="20"/>
        </w:rPr>
        <w:t>d one year are typically based on market index prices as previously discussed, the transaction price associated with remaining performance obligations under multi-year fixed price fuel sale contracts is not significant.</w:t>
      </w:r>
    </w:p>
    <w:p w14:paraId="0C7DE13A" w14:textId="77777777" w:rsidR="00000000" w:rsidRDefault="000A3118">
      <w:pPr>
        <w:jc w:val="both"/>
        <w:rPr>
          <w:rFonts w:eastAsia="Times New Roman"/>
        </w:rPr>
      </w:pPr>
    </w:p>
    <w:p w14:paraId="543631BB" w14:textId="77777777" w:rsidR="00000000" w:rsidRDefault="000A3118">
      <w:pPr>
        <w:ind w:firstLine="360"/>
        <w:jc w:val="both"/>
        <w:divId w:val="651912743"/>
        <w:rPr>
          <w:rFonts w:eastAsia="Times New Roman"/>
        </w:rPr>
      </w:pPr>
      <w:r>
        <w:rPr>
          <w:rFonts w:eastAsia="Times New Roman"/>
          <w:color w:val="000000"/>
          <w:sz w:val="20"/>
          <w:szCs w:val="20"/>
        </w:rPr>
        <w:t>The following table presents our r</w:t>
      </w:r>
      <w:r>
        <w:rPr>
          <w:rFonts w:eastAsia="Times New Roman"/>
          <w:color w:val="000000"/>
          <w:sz w:val="20"/>
          <w:szCs w:val="20"/>
        </w:rPr>
        <w:t xml:space="preserve">evenues from contracts with customers disaggregated by major geographic areas we conduct business in for the three and nine months ended September 30, 2020 and </w:t>
      </w:r>
      <w:r>
        <w:rPr>
          <w:rFonts w:eastAsia="Times New Roman"/>
          <w:color w:val="000000"/>
          <w:sz w:val="20"/>
          <w:szCs w:val="20"/>
          <w:shd w:val="clear" w:color="auto" w:fill="FFFFFF"/>
        </w:rPr>
        <w:t>2019</w:t>
      </w:r>
      <w:r>
        <w:rPr>
          <w:rFonts w:eastAsia="Times New Roman"/>
          <w:color w:val="000000"/>
          <w:sz w:val="20"/>
          <w:szCs w:val="20"/>
        </w:rPr>
        <w:t xml:space="preserve">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240"/>
        <w:gridCol w:w="37"/>
        <w:gridCol w:w="36"/>
        <w:gridCol w:w="36"/>
        <w:gridCol w:w="36"/>
        <w:gridCol w:w="100"/>
        <w:gridCol w:w="740"/>
        <w:gridCol w:w="36"/>
        <w:gridCol w:w="36"/>
        <w:gridCol w:w="36"/>
        <w:gridCol w:w="36"/>
        <w:gridCol w:w="100"/>
        <w:gridCol w:w="752"/>
        <w:gridCol w:w="36"/>
        <w:gridCol w:w="36"/>
        <w:gridCol w:w="36"/>
        <w:gridCol w:w="36"/>
        <w:gridCol w:w="100"/>
        <w:gridCol w:w="754"/>
        <w:gridCol w:w="36"/>
        <w:gridCol w:w="36"/>
        <w:gridCol w:w="36"/>
        <w:gridCol w:w="36"/>
        <w:gridCol w:w="100"/>
        <w:gridCol w:w="767"/>
        <w:gridCol w:w="36"/>
      </w:tblGrid>
      <w:tr w:rsidR="00000000" w14:paraId="4DDB6640" w14:textId="77777777">
        <w:trPr>
          <w:divId w:val="1322779201"/>
        </w:trPr>
        <w:tc>
          <w:tcPr>
            <w:tcW w:w="50" w:type="pct"/>
            <w:vAlign w:val="center"/>
            <w:hideMark/>
          </w:tcPr>
          <w:p w14:paraId="3E1EAD99" w14:textId="77777777" w:rsidR="00000000" w:rsidRDefault="000A3118">
            <w:pPr>
              <w:ind w:firstLine="360"/>
              <w:jc w:val="both"/>
              <w:rPr>
                <w:rFonts w:eastAsia="Times New Roman"/>
              </w:rPr>
            </w:pPr>
          </w:p>
        </w:tc>
        <w:tc>
          <w:tcPr>
            <w:tcW w:w="2576" w:type="pct"/>
            <w:vAlign w:val="center"/>
            <w:hideMark/>
          </w:tcPr>
          <w:p w14:paraId="39F6982E" w14:textId="77777777" w:rsidR="00000000" w:rsidRDefault="000A3118">
            <w:pPr>
              <w:rPr>
                <w:rFonts w:eastAsia="Times New Roman"/>
                <w:sz w:val="20"/>
                <w:szCs w:val="20"/>
              </w:rPr>
            </w:pPr>
          </w:p>
        </w:tc>
        <w:tc>
          <w:tcPr>
            <w:tcW w:w="5" w:type="pct"/>
            <w:vAlign w:val="center"/>
            <w:hideMark/>
          </w:tcPr>
          <w:p w14:paraId="4438EF22" w14:textId="77777777" w:rsidR="00000000" w:rsidRDefault="000A3118">
            <w:pPr>
              <w:rPr>
                <w:rFonts w:eastAsia="Times New Roman"/>
                <w:sz w:val="20"/>
                <w:szCs w:val="20"/>
              </w:rPr>
            </w:pPr>
          </w:p>
        </w:tc>
        <w:tc>
          <w:tcPr>
            <w:tcW w:w="5" w:type="pct"/>
            <w:vAlign w:val="center"/>
            <w:hideMark/>
          </w:tcPr>
          <w:p w14:paraId="573ABDB2" w14:textId="77777777" w:rsidR="00000000" w:rsidRDefault="000A3118">
            <w:pPr>
              <w:rPr>
                <w:rFonts w:eastAsia="Times New Roman"/>
                <w:sz w:val="20"/>
                <w:szCs w:val="20"/>
              </w:rPr>
            </w:pPr>
          </w:p>
        </w:tc>
        <w:tc>
          <w:tcPr>
            <w:tcW w:w="26" w:type="pct"/>
            <w:vAlign w:val="center"/>
            <w:hideMark/>
          </w:tcPr>
          <w:p w14:paraId="038C4769" w14:textId="77777777" w:rsidR="00000000" w:rsidRDefault="000A3118">
            <w:pPr>
              <w:rPr>
                <w:rFonts w:eastAsia="Times New Roman"/>
                <w:sz w:val="20"/>
                <w:szCs w:val="20"/>
              </w:rPr>
            </w:pPr>
          </w:p>
        </w:tc>
        <w:tc>
          <w:tcPr>
            <w:tcW w:w="5" w:type="pct"/>
            <w:vAlign w:val="center"/>
            <w:hideMark/>
          </w:tcPr>
          <w:p w14:paraId="379C3048" w14:textId="77777777" w:rsidR="00000000" w:rsidRDefault="000A3118">
            <w:pPr>
              <w:rPr>
                <w:rFonts w:eastAsia="Times New Roman"/>
                <w:sz w:val="20"/>
                <w:szCs w:val="20"/>
              </w:rPr>
            </w:pPr>
          </w:p>
        </w:tc>
        <w:tc>
          <w:tcPr>
            <w:tcW w:w="50" w:type="pct"/>
            <w:vAlign w:val="center"/>
            <w:hideMark/>
          </w:tcPr>
          <w:p w14:paraId="7DF50947" w14:textId="77777777" w:rsidR="00000000" w:rsidRDefault="000A3118">
            <w:pPr>
              <w:rPr>
                <w:rFonts w:eastAsia="Times New Roman"/>
                <w:sz w:val="20"/>
                <w:szCs w:val="20"/>
              </w:rPr>
            </w:pPr>
          </w:p>
        </w:tc>
        <w:tc>
          <w:tcPr>
            <w:tcW w:w="493" w:type="pct"/>
            <w:vAlign w:val="center"/>
            <w:hideMark/>
          </w:tcPr>
          <w:p w14:paraId="3C71E1CD" w14:textId="77777777" w:rsidR="00000000" w:rsidRDefault="000A3118">
            <w:pPr>
              <w:rPr>
                <w:rFonts w:eastAsia="Times New Roman"/>
                <w:sz w:val="20"/>
                <w:szCs w:val="20"/>
              </w:rPr>
            </w:pPr>
          </w:p>
        </w:tc>
        <w:tc>
          <w:tcPr>
            <w:tcW w:w="5" w:type="pct"/>
            <w:vAlign w:val="center"/>
            <w:hideMark/>
          </w:tcPr>
          <w:p w14:paraId="77F05CCC" w14:textId="77777777" w:rsidR="00000000" w:rsidRDefault="000A3118">
            <w:pPr>
              <w:rPr>
                <w:rFonts w:eastAsia="Times New Roman"/>
                <w:sz w:val="20"/>
                <w:szCs w:val="20"/>
              </w:rPr>
            </w:pPr>
          </w:p>
        </w:tc>
        <w:tc>
          <w:tcPr>
            <w:tcW w:w="5" w:type="pct"/>
            <w:vAlign w:val="center"/>
            <w:hideMark/>
          </w:tcPr>
          <w:p w14:paraId="5B24EA74" w14:textId="77777777" w:rsidR="00000000" w:rsidRDefault="000A3118">
            <w:pPr>
              <w:rPr>
                <w:rFonts w:eastAsia="Times New Roman"/>
                <w:sz w:val="20"/>
                <w:szCs w:val="20"/>
              </w:rPr>
            </w:pPr>
          </w:p>
        </w:tc>
        <w:tc>
          <w:tcPr>
            <w:tcW w:w="26" w:type="pct"/>
            <w:vAlign w:val="center"/>
            <w:hideMark/>
          </w:tcPr>
          <w:p w14:paraId="32435728" w14:textId="77777777" w:rsidR="00000000" w:rsidRDefault="000A3118">
            <w:pPr>
              <w:rPr>
                <w:rFonts w:eastAsia="Times New Roman"/>
                <w:sz w:val="20"/>
                <w:szCs w:val="20"/>
              </w:rPr>
            </w:pPr>
          </w:p>
        </w:tc>
        <w:tc>
          <w:tcPr>
            <w:tcW w:w="5" w:type="pct"/>
            <w:vAlign w:val="center"/>
            <w:hideMark/>
          </w:tcPr>
          <w:p w14:paraId="5C736C67" w14:textId="77777777" w:rsidR="00000000" w:rsidRDefault="000A3118">
            <w:pPr>
              <w:rPr>
                <w:rFonts w:eastAsia="Times New Roman"/>
                <w:sz w:val="20"/>
                <w:szCs w:val="20"/>
              </w:rPr>
            </w:pPr>
          </w:p>
        </w:tc>
        <w:tc>
          <w:tcPr>
            <w:tcW w:w="50" w:type="pct"/>
            <w:vAlign w:val="center"/>
            <w:hideMark/>
          </w:tcPr>
          <w:p w14:paraId="53128136" w14:textId="77777777" w:rsidR="00000000" w:rsidRDefault="000A3118">
            <w:pPr>
              <w:rPr>
                <w:rFonts w:eastAsia="Times New Roman"/>
                <w:sz w:val="20"/>
                <w:szCs w:val="20"/>
              </w:rPr>
            </w:pPr>
          </w:p>
        </w:tc>
        <w:tc>
          <w:tcPr>
            <w:tcW w:w="500" w:type="pct"/>
            <w:vAlign w:val="center"/>
            <w:hideMark/>
          </w:tcPr>
          <w:p w14:paraId="07F3CDA3" w14:textId="77777777" w:rsidR="00000000" w:rsidRDefault="000A3118">
            <w:pPr>
              <w:rPr>
                <w:rFonts w:eastAsia="Times New Roman"/>
                <w:sz w:val="20"/>
                <w:szCs w:val="20"/>
              </w:rPr>
            </w:pPr>
          </w:p>
        </w:tc>
        <w:tc>
          <w:tcPr>
            <w:tcW w:w="5" w:type="pct"/>
            <w:vAlign w:val="center"/>
            <w:hideMark/>
          </w:tcPr>
          <w:p w14:paraId="2F24919A" w14:textId="77777777" w:rsidR="00000000" w:rsidRDefault="000A3118">
            <w:pPr>
              <w:rPr>
                <w:rFonts w:eastAsia="Times New Roman"/>
                <w:sz w:val="20"/>
                <w:szCs w:val="20"/>
              </w:rPr>
            </w:pPr>
          </w:p>
        </w:tc>
        <w:tc>
          <w:tcPr>
            <w:tcW w:w="5" w:type="pct"/>
            <w:vAlign w:val="center"/>
            <w:hideMark/>
          </w:tcPr>
          <w:p w14:paraId="28F27AF1" w14:textId="77777777" w:rsidR="00000000" w:rsidRDefault="000A3118">
            <w:pPr>
              <w:rPr>
                <w:rFonts w:eastAsia="Times New Roman"/>
                <w:sz w:val="20"/>
                <w:szCs w:val="20"/>
              </w:rPr>
            </w:pPr>
          </w:p>
        </w:tc>
        <w:tc>
          <w:tcPr>
            <w:tcW w:w="26" w:type="pct"/>
            <w:vAlign w:val="center"/>
            <w:hideMark/>
          </w:tcPr>
          <w:p w14:paraId="796339A7" w14:textId="77777777" w:rsidR="00000000" w:rsidRDefault="000A3118">
            <w:pPr>
              <w:rPr>
                <w:rFonts w:eastAsia="Times New Roman"/>
                <w:sz w:val="20"/>
                <w:szCs w:val="20"/>
              </w:rPr>
            </w:pPr>
          </w:p>
        </w:tc>
        <w:tc>
          <w:tcPr>
            <w:tcW w:w="5" w:type="pct"/>
            <w:vAlign w:val="center"/>
            <w:hideMark/>
          </w:tcPr>
          <w:p w14:paraId="6EA7AE28" w14:textId="77777777" w:rsidR="00000000" w:rsidRDefault="000A3118">
            <w:pPr>
              <w:rPr>
                <w:rFonts w:eastAsia="Times New Roman"/>
                <w:sz w:val="20"/>
                <w:szCs w:val="20"/>
              </w:rPr>
            </w:pPr>
          </w:p>
        </w:tc>
        <w:tc>
          <w:tcPr>
            <w:tcW w:w="50" w:type="pct"/>
            <w:vAlign w:val="center"/>
            <w:hideMark/>
          </w:tcPr>
          <w:p w14:paraId="31D1235A" w14:textId="77777777" w:rsidR="00000000" w:rsidRDefault="000A3118">
            <w:pPr>
              <w:rPr>
                <w:rFonts w:eastAsia="Times New Roman"/>
                <w:sz w:val="20"/>
                <w:szCs w:val="20"/>
              </w:rPr>
            </w:pPr>
          </w:p>
        </w:tc>
        <w:tc>
          <w:tcPr>
            <w:tcW w:w="500" w:type="pct"/>
            <w:vAlign w:val="center"/>
            <w:hideMark/>
          </w:tcPr>
          <w:p w14:paraId="3F46000C" w14:textId="77777777" w:rsidR="00000000" w:rsidRDefault="000A3118">
            <w:pPr>
              <w:rPr>
                <w:rFonts w:eastAsia="Times New Roman"/>
                <w:sz w:val="20"/>
                <w:szCs w:val="20"/>
              </w:rPr>
            </w:pPr>
          </w:p>
        </w:tc>
        <w:tc>
          <w:tcPr>
            <w:tcW w:w="5" w:type="pct"/>
            <w:vAlign w:val="center"/>
            <w:hideMark/>
          </w:tcPr>
          <w:p w14:paraId="7B7CA9B7" w14:textId="77777777" w:rsidR="00000000" w:rsidRDefault="000A3118">
            <w:pPr>
              <w:rPr>
                <w:rFonts w:eastAsia="Times New Roman"/>
                <w:sz w:val="20"/>
                <w:szCs w:val="20"/>
              </w:rPr>
            </w:pPr>
          </w:p>
        </w:tc>
        <w:tc>
          <w:tcPr>
            <w:tcW w:w="5" w:type="pct"/>
            <w:vAlign w:val="center"/>
            <w:hideMark/>
          </w:tcPr>
          <w:p w14:paraId="7887DE1E" w14:textId="77777777" w:rsidR="00000000" w:rsidRDefault="000A3118">
            <w:pPr>
              <w:rPr>
                <w:rFonts w:eastAsia="Times New Roman"/>
                <w:sz w:val="20"/>
                <w:szCs w:val="20"/>
              </w:rPr>
            </w:pPr>
          </w:p>
        </w:tc>
        <w:tc>
          <w:tcPr>
            <w:tcW w:w="26" w:type="pct"/>
            <w:vAlign w:val="center"/>
            <w:hideMark/>
          </w:tcPr>
          <w:p w14:paraId="0F6122DB" w14:textId="77777777" w:rsidR="00000000" w:rsidRDefault="000A3118">
            <w:pPr>
              <w:rPr>
                <w:rFonts w:eastAsia="Times New Roman"/>
                <w:sz w:val="20"/>
                <w:szCs w:val="20"/>
              </w:rPr>
            </w:pPr>
          </w:p>
        </w:tc>
        <w:tc>
          <w:tcPr>
            <w:tcW w:w="5" w:type="pct"/>
            <w:vAlign w:val="center"/>
            <w:hideMark/>
          </w:tcPr>
          <w:p w14:paraId="1C82EC13" w14:textId="77777777" w:rsidR="00000000" w:rsidRDefault="000A3118">
            <w:pPr>
              <w:rPr>
                <w:rFonts w:eastAsia="Times New Roman"/>
                <w:sz w:val="20"/>
                <w:szCs w:val="20"/>
              </w:rPr>
            </w:pPr>
          </w:p>
        </w:tc>
        <w:tc>
          <w:tcPr>
            <w:tcW w:w="50" w:type="pct"/>
            <w:vAlign w:val="center"/>
            <w:hideMark/>
          </w:tcPr>
          <w:p w14:paraId="65A75770" w14:textId="77777777" w:rsidR="00000000" w:rsidRDefault="000A3118">
            <w:pPr>
              <w:rPr>
                <w:rFonts w:eastAsia="Times New Roman"/>
                <w:sz w:val="20"/>
                <w:szCs w:val="20"/>
              </w:rPr>
            </w:pPr>
          </w:p>
        </w:tc>
        <w:tc>
          <w:tcPr>
            <w:tcW w:w="508" w:type="pct"/>
            <w:vAlign w:val="center"/>
            <w:hideMark/>
          </w:tcPr>
          <w:p w14:paraId="5FD248EA" w14:textId="77777777" w:rsidR="00000000" w:rsidRDefault="000A3118">
            <w:pPr>
              <w:rPr>
                <w:rFonts w:eastAsia="Times New Roman"/>
                <w:sz w:val="20"/>
                <w:szCs w:val="20"/>
              </w:rPr>
            </w:pPr>
          </w:p>
        </w:tc>
        <w:tc>
          <w:tcPr>
            <w:tcW w:w="5" w:type="pct"/>
            <w:vAlign w:val="center"/>
            <w:hideMark/>
          </w:tcPr>
          <w:p w14:paraId="2144220F" w14:textId="77777777" w:rsidR="00000000" w:rsidRDefault="000A3118">
            <w:pPr>
              <w:rPr>
                <w:rFonts w:eastAsia="Times New Roman"/>
                <w:sz w:val="20"/>
                <w:szCs w:val="20"/>
              </w:rPr>
            </w:pPr>
          </w:p>
        </w:tc>
      </w:tr>
      <w:tr w:rsidR="00000000" w14:paraId="3AD789D7" w14:textId="77777777">
        <w:trPr>
          <w:divId w:val="1322779201"/>
        </w:trPr>
        <w:tc>
          <w:tcPr>
            <w:tcW w:w="0" w:type="auto"/>
            <w:gridSpan w:val="3"/>
            <w:tcMar>
              <w:top w:w="0" w:type="dxa"/>
              <w:left w:w="20" w:type="dxa"/>
              <w:bottom w:w="0" w:type="dxa"/>
              <w:right w:w="20" w:type="dxa"/>
            </w:tcMar>
            <w:vAlign w:val="center"/>
            <w:hideMark/>
          </w:tcPr>
          <w:p w14:paraId="74EE860E"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7D99BAFF"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0DA7C8D8" w14:textId="77777777" w:rsidR="00000000" w:rsidRDefault="000A3118">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14:paraId="78D0B1D9" w14:textId="77777777" w:rsidR="00000000" w:rsidRDefault="000A3118">
            <w:pPr>
              <w:jc w:val="center"/>
              <w:rPr>
                <w:rFonts w:eastAsia="Times New Roman"/>
              </w:rPr>
            </w:pPr>
          </w:p>
        </w:tc>
        <w:tc>
          <w:tcPr>
            <w:tcW w:w="0" w:type="auto"/>
            <w:gridSpan w:val="9"/>
            <w:tcMar>
              <w:top w:w="30" w:type="dxa"/>
              <w:left w:w="20" w:type="dxa"/>
              <w:bottom w:w="30" w:type="dxa"/>
              <w:right w:w="20" w:type="dxa"/>
            </w:tcMar>
            <w:vAlign w:val="bottom"/>
            <w:hideMark/>
          </w:tcPr>
          <w:p w14:paraId="7943D88D" w14:textId="77777777" w:rsidR="00000000" w:rsidRDefault="000A3118">
            <w:pPr>
              <w:jc w:val="center"/>
              <w:rPr>
                <w:rFonts w:eastAsia="Times New Roman"/>
              </w:rPr>
            </w:pPr>
            <w:r>
              <w:rPr>
                <w:rFonts w:eastAsia="Times New Roman"/>
                <w:b/>
                <w:bCs/>
                <w:color w:val="000000"/>
                <w:sz w:val="16"/>
                <w:szCs w:val="16"/>
              </w:rPr>
              <w:t>For the Nine Months Ended</w:t>
            </w:r>
          </w:p>
        </w:tc>
      </w:tr>
      <w:tr w:rsidR="00000000" w14:paraId="774D5712" w14:textId="77777777">
        <w:trPr>
          <w:divId w:val="1322779201"/>
        </w:trPr>
        <w:tc>
          <w:tcPr>
            <w:tcW w:w="0" w:type="auto"/>
            <w:gridSpan w:val="3"/>
            <w:tcMar>
              <w:top w:w="0" w:type="dxa"/>
              <w:left w:w="20" w:type="dxa"/>
              <w:bottom w:w="0" w:type="dxa"/>
              <w:right w:w="20" w:type="dxa"/>
            </w:tcMar>
            <w:vAlign w:val="center"/>
            <w:hideMark/>
          </w:tcPr>
          <w:p w14:paraId="79CFD73E"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35815312"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3D5CA298"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25D67EE2" w14:textId="77777777" w:rsidR="00000000" w:rsidRDefault="000A3118">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14:paraId="30CE5987" w14:textId="77777777" w:rsidR="00000000" w:rsidRDefault="000A3118">
            <w:pPr>
              <w:jc w:val="center"/>
              <w:rPr>
                <w:rFonts w:eastAsia="Times New Roman"/>
              </w:rPr>
            </w:pPr>
            <w:r>
              <w:rPr>
                <w:rFonts w:eastAsia="Times New Roman"/>
                <w:b/>
                <w:bCs/>
                <w:color w:val="000000"/>
                <w:sz w:val="16"/>
                <w:szCs w:val="16"/>
              </w:rPr>
              <w:t>September 30,</w:t>
            </w:r>
          </w:p>
        </w:tc>
      </w:tr>
      <w:tr w:rsidR="00000000" w14:paraId="32CC4BCF" w14:textId="77777777">
        <w:trPr>
          <w:divId w:val="1322779201"/>
        </w:trPr>
        <w:tc>
          <w:tcPr>
            <w:tcW w:w="0" w:type="auto"/>
            <w:gridSpan w:val="3"/>
            <w:tcMar>
              <w:top w:w="0" w:type="dxa"/>
              <w:left w:w="20" w:type="dxa"/>
              <w:bottom w:w="0" w:type="dxa"/>
              <w:right w:w="20" w:type="dxa"/>
            </w:tcMar>
            <w:vAlign w:val="center"/>
            <w:hideMark/>
          </w:tcPr>
          <w:p w14:paraId="6D12553B"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735CB6D6"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6DF1A11"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7F7CE6C"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B6F3AD"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1DAF2A29"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F1398A"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8394A63"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E776FC" w14:textId="77777777" w:rsidR="00000000" w:rsidRDefault="000A3118">
            <w:pPr>
              <w:jc w:val="center"/>
              <w:rPr>
                <w:rFonts w:eastAsia="Times New Roman"/>
              </w:rPr>
            </w:pPr>
            <w:r>
              <w:rPr>
                <w:rFonts w:eastAsia="Times New Roman"/>
                <w:b/>
                <w:bCs/>
                <w:color w:val="000000"/>
                <w:sz w:val="16"/>
                <w:szCs w:val="16"/>
              </w:rPr>
              <w:t>2019</w:t>
            </w:r>
          </w:p>
        </w:tc>
      </w:tr>
      <w:tr w:rsidR="00000000" w14:paraId="495545CB" w14:textId="77777777">
        <w:trPr>
          <w:divId w:val="13227792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28508C2" w14:textId="77777777" w:rsidR="00000000" w:rsidRDefault="000A3118">
            <w:pPr>
              <w:rPr>
                <w:rFonts w:eastAsia="Times New Roman"/>
              </w:rPr>
            </w:pPr>
            <w:r>
              <w:rPr>
                <w:rFonts w:eastAsia="Times New Roman"/>
                <w:color w:val="000000"/>
                <w:sz w:val="16"/>
                <w:szCs w:val="16"/>
              </w:rPr>
              <w:t>Aviation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ADDC09"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DF0BC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D3A835" w14:textId="77777777" w:rsidR="00000000" w:rsidRDefault="000A3118">
            <w:pPr>
              <w:jc w:val="right"/>
              <w:rPr>
                <w:rFonts w:eastAsia="Times New Roman"/>
              </w:rPr>
            </w:pPr>
            <w:r>
              <w:rPr>
                <w:rFonts w:eastAsia="Times New Roman"/>
                <w:color w:val="000000"/>
                <w:sz w:val="16"/>
                <w:szCs w:val="16"/>
              </w:rPr>
              <w:t>82.6 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E8EE1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01E2D5"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67EB8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C2A3E1" w14:textId="77777777" w:rsidR="00000000" w:rsidRDefault="000A3118">
            <w:pPr>
              <w:jc w:val="right"/>
              <w:rPr>
                <w:rFonts w:eastAsia="Times New Roman"/>
              </w:rPr>
            </w:pPr>
            <w:r>
              <w:rPr>
                <w:rFonts w:eastAsia="Times New Roman"/>
                <w:color w:val="000000"/>
                <w:sz w:val="16"/>
                <w:szCs w:val="16"/>
              </w:rPr>
              <w:t>327.0 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15DDDC"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ED02B6"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8DC60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F2C014" w14:textId="77777777" w:rsidR="00000000" w:rsidRDefault="000A3118">
            <w:pPr>
              <w:jc w:val="right"/>
              <w:rPr>
                <w:rFonts w:eastAsia="Times New Roman"/>
              </w:rPr>
            </w:pPr>
            <w:r>
              <w:rPr>
                <w:rFonts w:eastAsia="Times New Roman"/>
                <w:color w:val="000000"/>
                <w:sz w:val="16"/>
                <w:szCs w:val="16"/>
              </w:rPr>
              <w:t>440.5 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BF8852"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DD8F7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D50A9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0323C8" w14:textId="77777777" w:rsidR="00000000" w:rsidRDefault="000A3118">
            <w:pPr>
              <w:jc w:val="right"/>
              <w:rPr>
                <w:rFonts w:eastAsia="Times New Roman"/>
              </w:rPr>
            </w:pPr>
            <w:r>
              <w:rPr>
                <w:rFonts w:eastAsia="Times New Roman"/>
                <w:color w:val="000000"/>
                <w:sz w:val="16"/>
                <w:szCs w:val="16"/>
              </w:rPr>
              <w:t>1,032.2 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809807" w14:textId="77777777" w:rsidR="00000000" w:rsidRDefault="000A3118">
            <w:pPr>
              <w:jc w:val="right"/>
              <w:rPr>
                <w:rFonts w:eastAsia="Times New Roman"/>
              </w:rPr>
            </w:pPr>
          </w:p>
        </w:tc>
      </w:tr>
      <w:tr w:rsidR="00000000" w14:paraId="64BA9369" w14:textId="77777777">
        <w:trPr>
          <w:divId w:val="1322779201"/>
        </w:trPr>
        <w:tc>
          <w:tcPr>
            <w:tcW w:w="0" w:type="auto"/>
            <w:gridSpan w:val="3"/>
            <w:shd w:val="clear" w:color="auto" w:fill="FFFFFF"/>
            <w:tcMar>
              <w:top w:w="30" w:type="dxa"/>
              <w:left w:w="20" w:type="dxa"/>
              <w:bottom w:w="30" w:type="dxa"/>
              <w:right w:w="20" w:type="dxa"/>
            </w:tcMar>
            <w:vAlign w:val="bottom"/>
            <w:hideMark/>
          </w:tcPr>
          <w:p w14:paraId="67636352" w14:textId="77777777" w:rsidR="00000000" w:rsidRDefault="000A3118">
            <w:pPr>
              <w:rPr>
                <w:rFonts w:eastAsia="Times New Roman"/>
              </w:rPr>
            </w:pPr>
            <w:r>
              <w:rPr>
                <w:rFonts w:eastAsia="Times New Roman"/>
                <w:color w:val="000000"/>
                <w:sz w:val="16"/>
                <w:szCs w:val="16"/>
              </w:rPr>
              <w:t>Land</w:t>
            </w:r>
          </w:p>
        </w:tc>
        <w:tc>
          <w:tcPr>
            <w:tcW w:w="0" w:type="auto"/>
            <w:gridSpan w:val="3"/>
            <w:shd w:val="clear" w:color="auto" w:fill="FFFFFF"/>
            <w:tcMar>
              <w:top w:w="0" w:type="dxa"/>
              <w:left w:w="20" w:type="dxa"/>
              <w:bottom w:w="0" w:type="dxa"/>
              <w:right w:w="20" w:type="dxa"/>
            </w:tcMar>
            <w:vAlign w:val="center"/>
            <w:hideMark/>
          </w:tcPr>
          <w:p w14:paraId="6AE6342D"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6C9810" w14:textId="77777777" w:rsidR="00000000" w:rsidRDefault="000A3118">
            <w:pPr>
              <w:jc w:val="right"/>
              <w:rPr>
                <w:rFonts w:eastAsia="Times New Roman"/>
              </w:rPr>
            </w:pPr>
            <w:r>
              <w:rPr>
                <w:rFonts w:eastAsia="Times New Roman"/>
                <w:color w:val="000000"/>
                <w:sz w:val="16"/>
                <w:szCs w:val="16"/>
              </w:rPr>
              <w:t>4.1 </w:t>
            </w:r>
          </w:p>
        </w:tc>
        <w:tc>
          <w:tcPr>
            <w:tcW w:w="0" w:type="auto"/>
            <w:shd w:val="clear" w:color="auto" w:fill="FFFFFF"/>
            <w:tcMar>
              <w:top w:w="30" w:type="dxa"/>
              <w:left w:w="0" w:type="dxa"/>
              <w:bottom w:w="30" w:type="dxa"/>
              <w:right w:w="20" w:type="dxa"/>
            </w:tcMar>
            <w:vAlign w:val="bottom"/>
            <w:hideMark/>
          </w:tcPr>
          <w:p w14:paraId="0D125F1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63DC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0C1DDB" w14:textId="77777777" w:rsidR="00000000" w:rsidRDefault="000A3118">
            <w:pPr>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14:paraId="3DE2475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83E0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CFA54B" w14:textId="77777777" w:rsidR="00000000" w:rsidRDefault="000A3118">
            <w:pPr>
              <w:jc w:val="right"/>
              <w:rPr>
                <w:rFonts w:eastAsia="Times New Roman"/>
              </w:rPr>
            </w:pPr>
            <w:r>
              <w:rPr>
                <w:rFonts w:eastAsia="Times New Roman"/>
                <w:color w:val="000000"/>
                <w:sz w:val="16"/>
                <w:szCs w:val="16"/>
              </w:rPr>
              <w:t>9.7 </w:t>
            </w:r>
          </w:p>
        </w:tc>
        <w:tc>
          <w:tcPr>
            <w:tcW w:w="0" w:type="auto"/>
            <w:shd w:val="clear" w:color="auto" w:fill="FFFFFF"/>
            <w:tcMar>
              <w:top w:w="30" w:type="dxa"/>
              <w:left w:w="0" w:type="dxa"/>
              <w:bottom w:w="30" w:type="dxa"/>
              <w:right w:w="20" w:type="dxa"/>
            </w:tcMar>
            <w:vAlign w:val="bottom"/>
            <w:hideMark/>
          </w:tcPr>
          <w:p w14:paraId="7F0534E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AF86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A85EB5" w14:textId="77777777" w:rsidR="00000000" w:rsidRDefault="000A3118">
            <w:pPr>
              <w:jc w:val="right"/>
              <w:rPr>
                <w:rFonts w:eastAsia="Times New Roman"/>
              </w:rPr>
            </w:pPr>
            <w:r>
              <w:rPr>
                <w:rFonts w:eastAsia="Times New Roman"/>
                <w:color w:val="000000"/>
                <w:sz w:val="16"/>
                <w:szCs w:val="16"/>
              </w:rPr>
              <w:t>12.7 </w:t>
            </w:r>
          </w:p>
        </w:tc>
        <w:tc>
          <w:tcPr>
            <w:tcW w:w="0" w:type="auto"/>
            <w:shd w:val="clear" w:color="auto" w:fill="FFFFFF"/>
            <w:tcMar>
              <w:top w:w="30" w:type="dxa"/>
              <w:left w:w="0" w:type="dxa"/>
              <w:bottom w:w="30" w:type="dxa"/>
              <w:right w:w="20" w:type="dxa"/>
            </w:tcMar>
            <w:vAlign w:val="bottom"/>
            <w:hideMark/>
          </w:tcPr>
          <w:p w14:paraId="1446370C" w14:textId="77777777" w:rsidR="00000000" w:rsidRDefault="000A3118">
            <w:pPr>
              <w:jc w:val="right"/>
              <w:rPr>
                <w:rFonts w:eastAsia="Times New Roman"/>
              </w:rPr>
            </w:pPr>
          </w:p>
        </w:tc>
      </w:tr>
      <w:tr w:rsidR="00000000" w14:paraId="1DFED410" w14:textId="77777777">
        <w:trPr>
          <w:divId w:val="1322779201"/>
        </w:trPr>
        <w:tc>
          <w:tcPr>
            <w:tcW w:w="0" w:type="auto"/>
            <w:gridSpan w:val="3"/>
            <w:shd w:val="clear" w:color="auto" w:fill="CCEEFF"/>
            <w:tcMar>
              <w:top w:w="30" w:type="dxa"/>
              <w:left w:w="20" w:type="dxa"/>
              <w:bottom w:w="30" w:type="dxa"/>
              <w:right w:w="20" w:type="dxa"/>
            </w:tcMar>
            <w:vAlign w:val="bottom"/>
            <w:hideMark/>
          </w:tcPr>
          <w:p w14:paraId="64B60AFE" w14:textId="77777777" w:rsidR="00000000" w:rsidRDefault="000A3118">
            <w:pPr>
              <w:rPr>
                <w:rFonts w:eastAsia="Times New Roman"/>
              </w:rPr>
            </w:pPr>
            <w:r>
              <w:rPr>
                <w:rFonts w:eastAsia="Times New Roman"/>
                <w:color w:val="000000"/>
                <w:sz w:val="16"/>
                <w:szCs w:val="16"/>
              </w:rPr>
              <w:t>Marine</w:t>
            </w:r>
          </w:p>
        </w:tc>
        <w:tc>
          <w:tcPr>
            <w:tcW w:w="0" w:type="auto"/>
            <w:gridSpan w:val="3"/>
            <w:shd w:val="clear" w:color="auto" w:fill="CCEEFF"/>
            <w:tcMar>
              <w:top w:w="0" w:type="dxa"/>
              <w:left w:w="20" w:type="dxa"/>
              <w:bottom w:w="0" w:type="dxa"/>
              <w:right w:w="20" w:type="dxa"/>
            </w:tcMar>
            <w:vAlign w:val="center"/>
            <w:hideMark/>
          </w:tcPr>
          <w:p w14:paraId="36D0A909"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F19449" w14:textId="77777777" w:rsidR="00000000" w:rsidRDefault="000A3118">
            <w:pPr>
              <w:jc w:val="right"/>
              <w:rPr>
                <w:rFonts w:eastAsia="Times New Roman"/>
              </w:rPr>
            </w:pPr>
            <w:r>
              <w:rPr>
                <w:rFonts w:eastAsia="Times New Roman"/>
                <w:color w:val="000000"/>
                <w:sz w:val="16"/>
                <w:szCs w:val="16"/>
              </w:rPr>
              <w:t>524.0 </w:t>
            </w:r>
          </w:p>
        </w:tc>
        <w:tc>
          <w:tcPr>
            <w:tcW w:w="0" w:type="auto"/>
            <w:shd w:val="clear" w:color="auto" w:fill="CCEEFF"/>
            <w:tcMar>
              <w:top w:w="30" w:type="dxa"/>
              <w:left w:w="0" w:type="dxa"/>
              <w:bottom w:w="30" w:type="dxa"/>
              <w:right w:w="20" w:type="dxa"/>
            </w:tcMar>
            <w:vAlign w:val="bottom"/>
            <w:hideMark/>
          </w:tcPr>
          <w:p w14:paraId="37D2A27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AE8E8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9DF9AE" w14:textId="77777777" w:rsidR="00000000" w:rsidRDefault="000A3118">
            <w:pPr>
              <w:jc w:val="right"/>
              <w:rPr>
                <w:rFonts w:eastAsia="Times New Roman"/>
              </w:rPr>
            </w:pPr>
            <w:r>
              <w:rPr>
                <w:rFonts w:eastAsia="Times New Roman"/>
                <w:color w:val="000000"/>
                <w:sz w:val="16"/>
                <w:szCs w:val="16"/>
              </w:rPr>
              <w:t>747.0 </w:t>
            </w:r>
          </w:p>
        </w:tc>
        <w:tc>
          <w:tcPr>
            <w:tcW w:w="0" w:type="auto"/>
            <w:shd w:val="clear" w:color="auto" w:fill="CCEEFF"/>
            <w:tcMar>
              <w:top w:w="30" w:type="dxa"/>
              <w:left w:w="0" w:type="dxa"/>
              <w:bottom w:w="30" w:type="dxa"/>
              <w:right w:w="20" w:type="dxa"/>
            </w:tcMar>
            <w:vAlign w:val="bottom"/>
            <w:hideMark/>
          </w:tcPr>
          <w:p w14:paraId="748043A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F52E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0C3279" w14:textId="77777777" w:rsidR="00000000" w:rsidRDefault="000A3118">
            <w:pPr>
              <w:jc w:val="right"/>
              <w:rPr>
                <w:rFonts w:eastAsia="Times New Roman"/>
              </w:rPr>
            </w:pPr>
            <w:r>
              <w:rPr>
                <w:rFonts w:eastAsia="Times New Roman"/>
                <w:color w:val="000000"/>
                <w:sz w:val="16"/>
                <w:szCs w:val="16"/>
              </w:rPr>
              <w:t>1,889.7 </w:t>
            </w:r>
          </w:p>
        </w:tc>
        <w:tc>
          <w:tcPr>
            <w:tcW w:w="0" w:type="auto"/>
            <w:shd w:val="clear" w:color="auto" w:fill="CCEEFF"/>
            <w:tcMar>
              <w:top w:w="30" w:type="dxa"/>
              <w:left w:w="0" w:type="dxa"/>
              <w:bottom w:w="30" w:type="dxa"/>
              <w:right w:w="20" w:type="dxa"/>
            </w:tcMar>
            <w:vAlign w:val="bottom"/>
            <w:hideMark/>
          </w:tcPr>
          <w:p w14:paraId="1AF91B9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4E65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2694EB" w14:textId="77777777" w:rsidR="00000000" w:rsidRDefault="000A3118">
            <w:pPr>
              <w:jc w:val="right"/>
              <w:rPr>
                <w:rFonts w:eastAsia="Times New Roman"/>
              </w:rPr>
            </w:pPr>
            <w:r>
              <w:rPr>
                <w:rFonts w:eastAsia="Times New Roman"/>
                <w:color w:val="000000"/>
                <w:sz w:val="16"/>
                <w:szCs w:val="16"/>
              </w:rPr>
              <w:t>2,175.4 </w:t>
            </w:r>
          </w:p>
        </w:tc>
        <w:tc>
          <w:tcPr>
            <w:tcW w:w="0" w:type="auto"/>
            <w:shd w:val="clear" w:color="auto" w:fill="CCEEFF"/>
            <w:tcMar>
              <w:top w:w="30" w:type="dxa"/>
              <w:left w:w="0" w:type="dxa"/>
              <w:bottom w:w="30" w:type="dxa"/>
              <w:right w:w="20" w:type="dxa"/>
            </w:tcMar>
            <w:vAlign w:val="bottom"/>
            <w:hideMark/>
          </w:tcPr>
          <w:p w14:paraId="792BBD01" w14:textId="77777777" w:rsidR="00000000" w:rsidRDefault="000A3118">
            <w:pPr>
              <w:jc w:val="right"/>
              <w:rPr>
                <w:rFonts w:eastAsia="Times New Roman"/>
              </w:rPr>
            </w:pPr>
          </w:p>
        </w:tc>
      </w:tr>
      <w:tr w:rsidR="00000000" w14:paraId="7F90A2FD" w14:textId="77777777">
        <w:trPr>
          <w:divId w:val="1322779201"/>
        </w:trPr>
        <w:tc>
          <w:tcPr>
            <w:tcW w:w="0" w:type="auto"/>
            <w:gridSpan w:val="3"/>
            <w:tcBorders>
              <w:top w:val="single" w:sz="8" w:space="0" w:color="000000"/>
            </w:tcBorders>
            <w:shd w:val="clear" w:color="auto" w:fill="FFFFFF"/>
            <w:tcMar>
              <w:top w:w="30" w:type="dxa"/>
              <w:left w:w="135" w:type="dxa"/>
              <w:bottom w:w="30" w:type="dxa"/>
              <w:right w:w="20" w:type="dxa"/>
            </w:tcMar>
            <w:vAlign w:val="bottom"/>
            <w:hideMark/>
          </w:tcPr>
          <w:p w14:paraId="541A37A9" w14:textId="77777777" w:rsidR="00000000" w:rsidRDefault="000A3118">
            <w:pPr>
              <w:rPr>
                <w:rFonts w:eastAsia="Times New Roman"/>
              </w:rPr>
            </w:pPr>
            <w:r>
              <w:rPr>
                <w:rFonts w:eastAsia="Times New Roman"/>
                <w:color w:val="000000"/>
                <w:sz w:val="16"/>
                <w:szCs w:val="16"/>
              </w:rPr>
              <w:t>Asia Pacific</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D64409"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FCC77E" w14:textId="77777777" w:rsidR="00000000" w:rsidRDefault="000A3118">
            <w:pPr>
              <w:jc w:val="right"/>
              <w:rPr>
                <w:rFonts w:eastAsia="Times New Roman"/>
              </w:rPr>
            </w:pPr>
            <w:r>
              <w:rPr>
                <w:rFonts w:eastAsia="Times New Roman"/>
                <w:color w:val="000000"/>
                <w:sz w:val="16"/>
                <w:szCs w:val="16"/>
              </w:rPr>
              <w:t>610.8 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7DE56C"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D72000"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F36995" w14:textId="77777777" w:rsidR="00000000" w:rsidRDefault="000A3118">
            <w:pPr>
              <w:jc w:val="right"/>
              <w:rPr>
                <w:rFonts w:eastAsia="Times New Roman"/>
              </w:rPr>
            </w:pPr>
            <w:r>
              <w:rPr>
                <w:rFonts w:eastAsia="Times New Roman"/>
                <w:color w:val="000000"/>
                <w:sz w:val="16"/>
                <w:szCs w:val="16"/>
              </w:rPr>
              <w:t>1,077.8 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263AD8"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AC2F6A"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A398CC" w14:textId="77777777" w:rsidR="00000000" w:rsidRDefault="000A3118">
            <w:pPr>
              <w:jc w:val="right"/>
              <w:rPr>
                <w:rFonts w:eastAsia="Times New Roman"/>
              </w:rPr>
            </w:pPr>
            <w:r>
              <w:rPr>
                <w:rFonts w:eastAsia="Times New Roman"/>
                <w:color w:val="000000"/>
                <w:sz w:val="16"/>
                <w:szCs w:val="16"/>
              </w:rPr>
              <w:t>2,339.9 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29B927"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B0EE80"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BA7C76" w14:textId="77777777" w:rsidR="00000000" w:rsidRDefault="000A3118">
            <w:pPr>
              <w:jc w:val="right"/>
              <w:rPr>
                <w:rFonts w:eastAsia="Times New Roman"/>
              </w:rPr>
            </w:pPr>
            <w:r>
              <w:rPr>
                <w:rFonts w:eastAsia="Times New Roman"/>
                <w:color w:val="000000"/>
                <w:sz w:val="16"/>
                <w:szCs w:val="16"/>
              </w:rPr>
              <w:t>3,220.4 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45C483" w14:textId="77777777" w:rsidR="00000000" w:rsidRDefault="000A3118">
            <w:pPr>
              <w:jc w:val="right"/>
              <w:rPr>
                <w:rFonts w:eastAsia="Times New Roman"/>
              </w:rPr>
            </w:pPr>
          </w:p>
        </w:tc>
      </w:tr>
      <w:tr w:rsidR="00000000" w14:paraId="41613BAC" w14:textId="77777777">
        <w:trPr>
          <w:divId w:val="1322779201"/>
          <w:trHeight w:val="240"/>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C9B619"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5BD664"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3C9729"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80021F"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DE2D69"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81004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F50D59"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0DC97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F7255D" w14:textId="77777777" w:rsidR="00000000" w:rsidRDefault="000A3118">
            <w:pPr>
              <w:rPr>
                <w:rFonts w:eastAsia="Times New Roman"/>
                <w:sz w:val="20"/>
                <w:szCs w:val="20"/>
              </w:rPr>
            </w:pPr>
          </w:p>
        </w:tc>
      </w:tr>
      <w:tr w:rsidR="00000000" w14:paraId="4EAE8FED" w14:textId="77777777">
        <w:trPr>
          <w:divId w:val="1322779201"/>
        </w:trPr>
        <w:tc>
          <w:tcPr>
            <w:tcW w:w="0" w:type="auto"/>
            <w:gridSpan w:val="3"/>
            <w:shd w:val="clear" w:color="auto" w:fill="FFFFFF"/>
            <w:tcMar>
              <w:top w:w="30" w:type="dxa"/>
              <w:left w:w="20" w:type="dxa"/>
              <w:bottom w:w="30" w:type="dxa"/>
              <w:right w:w="20" w:type="dxa"/>
            </w:tcMar>
            <w:vAlign w:val="bottom"/>
            <w:hideMark/>
          </w:tcPr>
          <w:p w14:paraId="4A3B1BFC" w14:textId="77777777" w:rsidR="00000000" w:rsidRDefault="000A3118">
            <w:pPr>
              <w:rPr>
                <w:rFonts w:eastAsia="Times New Roman"/>
              </w:rPr>
            </w:pPr>
            <w:r>
              <w:rPr>
                <w:rFonts w:eastAsia="Times New Roman"/>
                <w:color w:val="000000"/>
                <w:sz w:val="16"/>
                <w:szCs w:val="16"/>
              </w:rPr>
              <w:t>Aviation</w:t>
            </w:r>
          </w:p>
        </w:tc>
        <w:tc>
          <w:tcPr>
            <w:tcW w:w="0" w:type="auto"/>
            <w:gridSpan w:val="3"/>
            <w:shd w:val="clear" w:color="auto" w:fill="FFFFFF"/>
            <w:tcMar>
              <w:top w:w="0" w:type="dxa"/>
              <w:left w:w="20" w:type="dxa"/>
              <w:bottom w:w="0" w:type="dxa"/>
              <w:right w:w="20" w:type="dxa"/>
            </w:tcMar>
            <w:vAlign w:val="center"/>
            <w:hideMark/>
          </w:tcPr>
          <w:p w14:paraId="58AD7EF8"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ECC391" w14:textId="77777777" w:rsidR="00000000" w:rsidRDefault="000A3118">
            <w:pPr>
              <w:jc w:val="right"/>
              <w:rPr>
                <w:rFonts w:eastAsia="Times New Roman"/>
              </w:rPr>
            </w:pPr>
            <w:r>
              <w:rPr>
                <w:rFonts w:eastAsia="Times New Roman"/>
                <w:color w:val="000000"/>
                <w:sz w:val="16"/>
                <w:szCs w:val="16"/>
              </w:rPr>
              <w:t>346.1 </w:t>
            </w:r>
          </w:p>
        </w:tc>
        <w:tc>
          <w:tcPr>
            <w:tcW w:w="0" w:type="auto"/>
            <w:shd w:val="clear" w:color="auto" w:fill="FFFFFF"/>
            <w:tcMar>
              <w:top w:w="30" w:type="dxa"/>
              <w:left w:w="0" w:type="dxa"/>
              <w:bottom w:w="30" w:type="dxa"/>
              <w:right w:w="20" w:type="dxa"/>
            </w:tcMar>
            <w:vAlign w:val="bottom"/>
            <w:hideMark/>
          </w:tcPr>
          <w:p w14:paraId="2017527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463D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364409" w14:textId="77777777" w:rsidR="00000000" w:rsidRDefault="000A3118">
            <w:pPr>
              <w:jc w:val="right"/>
              <w:rPr>
                <w:rFonts w:eastAsia="Times New Roman"/>
              </w:rPr>
            </w:pPr>
            <w:r>
              <w:rPr>
                <w:rFonts w:eastAsia="Times New Roman"/>
                <w:color w:val="000000"/>
                <w:sz w:val="16"/>
                <w:szCs w:val="16"/>
              </w:rPr>
              <w:t>1,155.3 </w:t>
            </w:r>
          </w:p>
        </w:tc>
        <w:tc>
          <w:tcPr>
            <w:tcW w:w="0" w:type="auto"/>
            <w:shd w:val="clear" w:color="auto" w:fill="FFFFFF"/>
            <w:tcMar>
              <w:top w:w="30" w:type="dxa"/>
              <w:left w:w="0" w:type="dxa"/>
              <w:bottom w:w="30" w:type="dxa"/>
              <w:right w:w="20" w:type="dxa"/>
            </w:tcMar>
            <w:vAlign w:val="bottom"/>
            <w:hideMark/>
          </w:tcPr>
          <w:p w14:paraId="42DCD17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5C343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4C2374" w14:textId="77777777" w:rsidR="00000000" w:rsidRDefault="000A3118">
            <w:pPr>
              <w:jc w:val="right"/>
              <w:rPr>
                <w:rFonts w:eastAsia="Times New Roman"/>
              </w:rPr>
            </w:pPr>
            <w:r>
              <w:rPr>
                <w:rFonts w:eastAsia="Times New Roman"/>
                <w:color w:val="000000"/>
                <w:sz w:val="16"/>
                <w:szCs w:val="16"/>
              </w:rPr>
              <w:t>1,142.8 </w:t>
            </w:r>
          </w:p>
        </w:tc>
        <w:tc>
          <w:tcPr>
            <w:tcW w:w="0" w:type="auto"/>
            <w:shd w:val="clear" w:color="auto" w:fill="FFFFFF"/>
            <w:tcMar>
              <w:top w:w="30" w:type="dxa"/>
              <w:left w:w="0" w:type="dxa"/>
              <w:bottom w:w="30" w:type="dxa"/>
              <w:right w:w="20" w:type="dxa"/>
            </w:tcMar>
            <w:vAlign w:val="bottom"/>
            <w:hideMark/>
          </w:tcPr>
          <w:p w14:paraId="4BF9148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61EE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CF1F6" w14:textId="77777777" w:rsidR="00000000" w:rsidRDefault="000A3118">
            <w:pPr>
              <w:jc w:val="right"/>
              <w:rPr>
                <w:rFonts w:eastAsia="Times New Roman"/>
              </w:rPr>
            </w:pPr>
            <w:r>
              <w:rPr>
                <w:rFonts w:eastAsia="Times New Roman"/>
                <w:color w:val="000000"/>
                <w:sz w:val="16"/>
                <w:szCs w:val="16"/>
              </w:rPr>
              <w:t>2,883.2 </w:t>
            </w:r>
          </w:p>
        </w:tc>
        <w:tc>
          <w:tcPr>
            <w:tcW w:w="0" w:type="auto"/>
            <w:shd w:val="clear" w:color="auto" w:fill="FFFFFF"/>
            <w:tcMar>
              <w:top w:w="30" w:type="dxa"/>
              <w:left w:w="0" w:type="dxa"/>
              <w:bottom w:w="30" w:type="dxa"/>
              <w:right w:w="20" w:type="dxa"/>
            </w:tcMar>
            <w:vAlign w:val="bottom"/>
            <w:hideMark/>
          </w:tcPr>
          <w:p w14:paraId="1E4B6D58" w14:textId="77777777" w:rsidR="00000000" w:rsidRDefault="000A3118">
            <w:pPr>
              <w:jc w:val="right"/>
              <w:rPr>
                <w:rFonts w:eastAsia="Times New Roman"/>
              </w:rPr>
            </w:pPr>
          </w:p>
        </w:tc>
      </w:tr>
      <w:tr w:rsidR="00000000" w14:paraId="53040393" w14:textId="77777777">
        <w:trPr>
          <w:divId w:val="1322779201"/>
        </w:trPr>
        <w:tc>
          <w:tcPr>
            <w:tcW w:w="0" w:type="auto"/>
            <w:gridSpan w:val="3"/>
            <w:shd w:val="clear" w:color="auto" w:fill="CCEEFF"/>
            <w:tcMar>
              <w:top w:w="30" w:type="dxa"/>
              <w:left w:w="20" w:type="dxa"/>
              <w:bottom w:w="30" w:type="dxa"/>
              <w:right w:w="20" w:type="dxa"/>
            </w:tcMar>
            <w:vAlign w:val="bottom"/>
            <w:hideMark/>
          </w:tcPr>
          <w:p w14:paraId="19D45177" w14:textId="77777777" w:rsidR="00000000" w:rsidRDefault="000A3118">
            <w:pPr>
              <w:rPr>
                <w:rFonts w:eastAsia="Times New Roman"/>
              </w:rPr>
            </w:pPr>
            <w:r>
              <w:rPr>
                <w:rFonts w:eastAsia="Times New Roman"/>
                <w:color w:val="000000"/>
                <w:sz w:val="16"/>
                <w:szCs w:val="16"/>
              </w:rPr>
              <w:t>Land</w:t>
            </w:r>
          </w:p>
        </w:tc>
        <w:tc>
          <w:tcPr>
            <w:tcW w:w="0" w:type="auto"/>
            <w:gridSpan w:val="3"/>
            <w:shd w:val="clear" w:color="auto" w:fill="CCEEFF"/>
            <w:tcMar>
              <w:top w:w="0" w:type="dxa"/>
              <w:left w:w="20" w:type="dxa"/>
              <w:bottom w:w="0" w:type="dxa"/>
              <w:right w:w="20" w:type="dxa"/>
            </w:tcMar>
            <w:vAlign w:val="center"/>
            <w:hideMark/>
          </w:tcPr>
          <w:p w14:paraId="0145F7F5"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462E8B" w14:textId="77777777" w:rsidR="00000000" w:rsidRDefault="000A3118">
            <w:pPr>
              <w:jc w:val="right"/>
              <w:rPr>
                <w:rFonts w:eastAsia="Times New Roman"/>
              </w:rPr>
            </w:pPr>
            <w:r>
              <w:rPr>
                <w:rFonts w:eastAsia="Times New Roman"/>
                <w:color w:val="000000"/>
                <w:sz w:val="16"/>
                <w:szCs w:val="16"/>
              </w:rPr>
              <w:t>385.0 </w:t>
            </w:r>
          </w:p>
        </w:tc>
        <w:tc>
          <w:tcPr>
            <w:tcW w:w="0" w:type="auto"/>
            <w:shd w:val="clear" w:color="auto" w:fill="CCEEFF"/>
            <w:tcMar>
              <w:top w:w="30" w:type="dxa"/>
              <w:left w:w="0" w:type="dxa"/>
              <w:bottom w:w="30" w:type="dxa"/>
              <w:right w:w="20" w:type="dxa"/>
            </w:tcMar>
            <w:vAlign w:val="bottom"/>
            <w:hideMark/>
          </w:tcPr>
          <w:p w14:paraId="437481B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0E1D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04837E" w14:textId="77777777" w:rsidR="00000000" w:rsidRDefault="000A3118">
            <w:pPr>
              <w:jc w:val="right"/>
              <w:rPr>
                <w:rFonts w:eastAsia="Times New Roman"/>
              </w:rPr>
            </w:pPr>
            <w:r>
              <w:rPr>
                <w:rFonts w:eastAsia="Times New Roman"/>
                <w:color w:val="000000"/>
                <w:sz w:val="16"/>
                <w:szCs w:val="16"/>
              </w:rPr>
              <w:t>580.9 </w:t>
            </w:r>
          </w:p>
        </w:tc>
        <w:tc>
          <w:tcPr>
            <w:tcW w:w="0" w:type="auto"/>
            <w:shd w:val="clear" w:color="auto" w:fill="CCEEFF"/>
            <w:tcMar>
              <w:top w:w="30" w:type="dxa"/>
              <w:left w:w="0" w:type="dxa"/>
              <w:bottom w:w="30" w:type="dxa"/>
              <w:right w:w="20" w:type="dxa"/>
            </w:tcMar>
            <w:vAlign w:val="bottom"/>
            <w:hideMark/>
          </w:tcPr>
          <w:p w14:paraId="22354DD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72AF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38DA24" w14:textId="77777777" w:rsidR="00000000" w:rsidRDefault="000A3118">
            <w:pPr>
              <w:jc w:val="right"/>
              <w:rPr>
                <w:rFonts w:eastAsia="Times New Roman"/>
              </w:rPr>
            </w:pPr>
            <w:r>
              <w:rPr>
                <w:rFonts w:eastAsia="Times New Roman"/>
                <w:color w:val="000000"/>
                <w:sz w:val="16"/>
                <w:szCs w:val="16"/>
              </w:rPr>
              <w:t>1,317.1 </w:t>
            </w:r>
          </w:p>
        </w:tc>
        <w:tc>
          <w:tcPr>
            <w:tcW w:w="0" w:type="auto"/>
            <w:shd w:val="clear" w:color="auto" w:fill="CCEEFF"/>
            <w:tcMar>
              <w:top w:w="30" w:type="dxa"/>
              <w:left w:w="0" w:type="dxa"/>
              <w:bottom w:w="30" w:type="dxa"/>
              <w:right w:w="20" w:type="dxa"/>
            </w:tcMar>
            <w:vAlign w:val="bottom"/>
            <w:hideMark/>
          </w:tcPr>
          <w:p w14:paraId="4A1573C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6F42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D06C3C" w14:textId="77777777" w:rsidR="00000000" w:rsidRDefault="000A3118">
            <w:pPr>
              <w:jc w:val="right"/>
              <w:rPr>
                <w:rFonts w:eastAsia="Times New Roman"/>
              </w:rPr>
            </w:pPr>
            <w:r>
              <w:rPr>
                <w:rFonts w:eastAsia="Times New Roman"/>
                <w:color w:val="000000"/>
                <w:sz w:val="16"/>
                <w:szCs w:val="16"/>
              </w:rPr>
              <w:t>1,791.1 </w:t>
            </w:r>
          </w:p>
        </w:tc>
        <w:tc>
          <w:tcPr>
            <w:tcW w:w="0" w:type="auto"/>
            <w:shd w:val="clear" w:color="auto" w:fill="CCEEFF"/>
            <w:tcMar>
              <w:top w:w="30" w:type="dxa"/>
              <w:left w:w="0" w:type="dxa"/>
              <w:bottom w:w="30" w:type="dxa"/>
              <w:right w:w="20" w:type="dxa"/>
            </w:tcMar>
            <w:vAlign w:val="bottom"/>
            <w:hideMark/>
          </w:tcPr>
          <w:p w14:paraId="1BD4EFE6" w14:textId="77777777" w:rsidR="00000000" w:rsidRDefault="000A3118">
            <w:pPr>
              <w:jc w:val="right"/>
              <w:rPr>
                <w:rFonts w:eastAsia="Times New Roman"/>
              </w:rPr>
            </w:pPr>
          </w:p>
        </w:tc>
      </w:tr>
      <w:tr w:rsidR="00000000" w14:paraId="23343C03" w14:textId="77777777">
        <w:trPr>
          <w:divId w:val="1322779201"/>
        </w:trPr>
        <w:tc>
          <w:tcPr>
            <w:tcW w:w="0" w:type="auto"/>
            <w:gridSpan w:val="3"/>
            <w:shd w:val="clear" w:color="auto" w:fill="FFFFFF"/>
            <w:tcMar>
              <w:top w:w="30" w:type="dxa"/>
              <w:left w:w="20" w:type="dxa"/>
              <w:bottom w:w="30" w:type="dxa"/>
              <w:right w:w="20" w:type="dxa"/>
            </w:tcMar>
            <w:vAlign w:val="bottom"/>
            <w:hideMark/>
          </w:tcPr>
          <w:p w14:paraId="5C0A0102" w14:textId="77777777" w:rsidR="00000000" w:rsidRDefault="000A3118">
            <w:pPr>
              <w:rPr>
                <w:rFonts w:eastAsia="Times New Roman"/>
              </w:rPr>
            </w:pPr>
            <w:r>
              <w:rPr>
                <w:rFonts w:eastAsia="Times New Roman"/>
                <w:color w:val="000000"/>
                <w:sz w:val="16"/>
                <w:szCs w:val="16"/>
              </w:rPr>
              <w:t>Marine</w:t>
            </w:r>
          </w:p>
        </w:tc>
        <w:tc>
          <w:tcPr>
            <w:tcW w:w="0" w:type="auto"/>
            <w:gridSpan w:val="3"/>
            <w:shd w:val="clear" w:color="auto" w:fill="FFFFFF"/>
            <w:tcMar>
              <w:top w:w="0" w:type="dxa"/>
              <w:left w:w="20" w:type="dxa"/>
              <w:bottom w:w="0" w:type="dxa"/>
              <w:right w:w="20" w:type="dxa"/>
            </w:tcMar>
            <w:vAlign w:val="center"/>
            <w:hideMark/>
          </w:tcPr>
          <w:p w14:paraId="06D5851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5EA0C3" w14:textId="77777777" w:rsidR="00000000" w:rsidRDefault="000A3118">
            <w:pPr>
              <w:jc w:val="right"/>
              <w:rPr>
                <w:rFonts w:eastAsia="Times New Roman"/>
              </w:rPr>
            </w:pPr>
            <w:r>
              <w:rPr>
                <w:rFonts w:eastAsia="Times New Roman"/>
                <w:color w:val="000000"/>
                <w:sz w:val="16"/>
                <w:szCs w:val="16"/>
              </w:rPr>
              <w:t>365.0 </w:t>
            </w:r>
          </w:p>
        </w:tc>
        <w:tc>
          <w:tcPr>
            <w:tcW w:w="0" w:type="auto"/>
            <w:shd w:val="clear" w:color="auto" w:fill="FFFFFF"/>
            <w:tcMar>
              <w:top w:w="30" w:type="dxa"/>
              <w:left w:w="0" w:type="dxa"/>
              <w:bottom w:w="30" w:type="dxa"/>
              <w:right w:w="20" w:type="dxa"/>
            </w:tcMar>
            <w:vAlign w:val="bottom"/>
            <w:hideMark/>
          </w:tcPr>
          <w:p w14:paraId="714A2C8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B597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C4E274" w14:textId="77777777" w:rsidR="00000000" w:rsidRDefault="000A3118">
            <w:pPr>
              <w:jc w:val="right"/>
              <w:rPr>
                <w:rFonts w:eastAsia="Times New Roman"/>
              </w:rPr>
            </w:pPr>
            <w:r>
              <w:rPr>
                <w:rFonts w:eastAsia="Times New Roman"/>
                <w:color w:val="000000"/>
                <w:sz w:val="16"/>
                <w:szCs w:val="16"/>
              </w:rPr>
              <w:t>655.7 </w:t>
            </w:r>
          </w:p>
        </w:tc>
        <w:tc>
          <w:tcPr>
            <w:tcW w:w="0" w:type="auto"/>
            <w:shd w:val="clear" w:color="auto" w:fill="FFFFFF"/>
            <w:tcMar>
              <w:top w:w="30" w:type="dxa"/>
              <w:left w:w="0" w:type="dxa"/>
              <w:bottom w:w="30" w:type="dxa"/>
              <w:right w:w="20" w:type="dxa"/>
            </w:tcMar>
            <w:vAlign w:val="bottom"/>
            <w:hideMark/>
          </w:tcPr>
          <w:p w14:paraId="6330785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6B4A5"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CCF981" w14:textId="77777777" w:rsidR="00000000" w:rsidRDefault="000A3118">
            <w:pPr>
              <w:jc w:val="right"/>
              <w:rPr>
                <w:rFonts w:eastAsia="Times New Roman"/>
              </w:rPr>
            </w:pPr>
            <w:r>
              <w:rPr>
                <w:rFonts w:eastAsia="Times New Roman"/>
                <w:color w:val="000000"/>
                <w:sz w:val="16"/>
                <w:szCs w:val="16"/>
              </w:rPr>
              <w:t>1,261.2 </w:t>
            </w:r>
          </w:p>
        </w:tc>
        <w:tc>
          <w:tcPr>
            <w:tcW w:w="0" w:type="auto"/>
            <w:shd w:val="clear" w:color="auto" w:fill="FFFFFF"/>
            <w:tcMar>
              <w:top w:w="30" w:type="dxa"/>
              <w:left w:w="0" w:type="dxa"/>
              <w:bottom w:w="30" w:type="dxa"/>
              <w:right w:w="20" w:type="dxa"/>
            </w:tcMar>
            <w:vAlign w:val="bottom"/>
            <w:hideMark/>
          </w:tcPr>
          <w:p w14:paraId="718CA25A"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3D446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75872C" w14:textId="77777777" w:rsidR="00000000" w:rsidRDefault="000A3118">
            <w:pPr>
              <w:jc w:val="right"/>
              <w:rPr>
                <w:rFonts w:eastAsia="Times New Roman"/>
              </w:rPr>
            </w:pPr>
            <w:r>
              <w:rPr>
                <w:rFonts w:eastAsia="Times New Roman"/>
                <w:color w:val="000000"/>
                <w:sz w:val="16"/>
                <w:szCs w:val="16"/>
              </w:rPr>
              <w:t>2,046.7 </w:t>
            </w:r>
          </w:p>
        </w:tc>
        <w:tc>
          <w:tcPr>
            <w:tcW w:w="0" w:type="auto"/>
            <w:shd w:val="clear" w:color="auto" w:fill="FFFFFF"/>
            <w:tcMar>
              <w:top w:w="30" w:type="dxa"/>
              <w:left w:w="0" w:type="dxa"/>
              <w:bottom w:w="30" w:type="dxa"/>
              <w:right w:w="20" w:type="dxa"/>
            </w:tcMar>
            <w:vAlign w:val="bottom"/>
            <w:hideMark/>
          </w:tcPr>
          <w:p w14:paraId="0FCF6A78" w14:textId="77777777" w:rsidR="00000000" w:rsidRDefault="000A3118">
            <w:pPr>
              <w:jc w:val="right"/>
              <w:rPr>
                <w:rFonts w:eastAsia="Times New Roman"/>
              </w:rPr>
            </w:pPr>
          </w:p>
        </w:tc>
      </w:tr>
      <w:tr w:rsidR="00000000" w14:paraId="72A87215" w14:textId="77777777">
        <w:trPr>
          <w:divId w:val="1322779201"/>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14:paraId="25EEFE55" w14:textId="77777777" w:rsidR="00000000" w:rsidRDefault="000A3118">
            <w:pPr>
              <w:rPr>
                <w:rFonts w:eastAsia="Times New Roman"/>
              </w:rPr>
            </w:pPr>
            <w:r>
              <w:rPr>
                <w:rFonts w:eastAsia="Times New Roman"/>
                <w:color w:val="000000"/>
                <w:sz w:val="16"/>
                <w:szCs w:val="16"/>
              </w:rPr>
              <w:t>EMEA</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9FC20B"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E3FE8D" w14:textId="77777777" w:rsidR="00000000" w:rsidRDefault="000A3118">
            <w:pPr>
              <w:jc w:val="right"/>
              <w:rPr>
                <w:rFonts w:eastAsia="Times New Roman"/>
              </w:rPr>
            </w:pPr>
            <w:r>
              <w:rPr>
                <w:rFonts w:eastAsia="Times New Roman"/>
                <w:color w:val="000000"/>
                <w:sz w:val="16"/>
                <w:szCs w:val="16"/>
              </w:rPr>
              <w:t>1,096.1 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A97045"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44C315"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FCE96E" w14:textId="77777777" w:rsidR="00000000" w:rsidRDefault="000A3118">
            <w:pPr>
              <w:jc w:val="right"/>
              <w:rPr>
                <w:rFonts w:eastAsia="Times New Roman"/>
              </w:rPr>
            </w:pPr>
            <w:r>
              <w:rPr>
                <w:rFonts w:eastAsia="Times New Roman"/>
                <w:color w:val="000000"/>
                <w:sz w:val="16"/>
                <w:szCs w:val="16"/>
              </w:rPr>
              <w:t>2,391.8 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93D617"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88DB84"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5A2269" w14:textId="77777777" w:rsidR="00000000" w:rsidRDefault="000A3118">
            <w:pPr>
              <w:jc w:val="right"/>
              <w:rPr>
                <w:rFonts w:eastAsia="Times New Roman"/>
              </w:rPr>
            </w:pPr>
            <w:r>
              <w:rPr>
                <w:rFonts w:eastAsia="Times New Roman"/>
                <w:color w:val="000000"/>
                <w:sz w:val="16"/>
                <w:szCs w:val="16"/>
              </w:rPr>
              <w:t>3,721.1 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E6D1B6"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081C77"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38EA0E" w14:textId="77777777" w:rsidR="00000000" w:rsidRDefault="000A3118">
            <w:pPr>
              <w:jc w:val="right"/>
              <w:rPr>
                <w:rFonts w:eastAsia="Times New Roman"/>
              </w:rPr>
            </w:pPr>
            <w:r>
              <w:rPr>
                <w:rFonts w:eastAsia="Times New Roman"/>
                <w:color w:val="000000"/>
                <w:sz w:val="16"/>
                <w:szCs w:val="16"/>
              </w:rPr>
              <w:t>6,721.1 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77F96D" w14:textId="77777777" w:rsidR="00000000" w:rsidRDefault="000A3118">
            <w:pPr>
              <w:jc w:val="right"/>
              <w:rPr>
                <w:rFonts w:eastAsia="Times New Roman"/>
              </w:rPr>
            </w:pPr>
          </w:p>
        </w:tc>
      </w:tr>
      <w:tr w:rsidR="00000000" w14:paraId="222A5250" w14:textId="77777777">
        <w:trPr>
          <w:divId w:val="1322779201"/>
          <w:trHeight w:val="24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32D8545"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45E6DD3"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A8159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51F955"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D70EDD"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621E15"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728F7C0"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B55EC9"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E021D49" w14:textId="77777777" w:rsidR="00000000" w:rsidRDefault="000A3118">
            <w:pPr>
              <w:rPr>
                <w:rFonts w:eastAsia="Times New Roman"/>
                <w:sz w:val="20"/>
                <w:szCs w:val="20"/>
              </w:rPr>
            </w:pPr>
          </w:p>
        </w:tc>
      </w:tr>
      <w:tr w:rsidR="00000000" w14:paraId="7F5D9D4C" w14:textId="77777777">
        <w:trPr>
          <w:divId w:val="1322779201"/>
        </w:trPr>
        <w:tc>
          <w:tcPr>
            <w:tcW w:w="0" w:type="auto"/>
            <w:gridSpan w:val="3"/>
            <w:shd w:val="clear" w:color="auto" w:fill="CCEEFF"/>
            <w:tcMar>
              <w:top w:w="30" w:type="dxa"/>
              <w:left w:w="20" w:type="dxa"/>
              <w:bottom w:w="30" w:type="dxa"/>
              <w:right w:w="20" w:type="dxa"/>
            </w:tcMar>
            <w:vAlign w:val="bottom"/>
            <w:hideMark/>
          </w:tcPr>
          <w:p w14:paraId="4CA483E7" w14:textId="77777777" w:rsidR="00000000" w:rsidRDefault="000A3118">
            <w:pPr>
              <w:rPr>
                <w:rFonts w:eastAsia="Times New Roman"/>
              </w:rPr>
            </w:pPr>
            <w:r>
              <w:rPr>
                <w:rFonts w:eastAsia="Times New Roman"/>
                <w:color w:val="000000"/>
                <w:sz w:val="16"/>
                <w:szCs w:val="16"/>
              </w:rPr>
              <w:t>Aviation</w:t>
            </w:r>
          </w:p>
        </w:tc>
        <w:tc>
          <w:tcPr>
            <w:tcW w:w="0" w:type="auto"/>
            <w:gridSpan w:val="3"/>
            <w:shd w:val="clear" w:color="auto" w:fill="CCEEFF"/>
            <w:tcMar>
              <w:top w:w="0" w:type="dxa"/>
              <w:left w:w="20" w:type="dxa"/>
              <w:bottom w:w="0" w:type="dxa"/>
              <w:right w:w="20" w:type="dxa"/>
            </w:tcMar>
            <w:vAlign w:val="center"/>
            <w:hideMark/>
          </w:tcPr>
          <w:p w14:paraId="5E6521A3"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C8598E" w14:textId="77777777" w:rsidR="00000000" w:rsidRDefault="000A3118">
            <w:pPr>
              <w:jc w:val="right"/>
              <w:rPr>
                <w:rFonts w:eastAsia="Times New Roman"/>
              </w:rPr>
            </w:pPr>
            <w:r>
              <w:rPr>
                <w:rFonts w:eastAsia="Times New Roman"/>
                <w:color w:val="000000"/>
                <w:sz w:val="16"/>
                <w:szCs w:val="16"/>
              </w:rPr>
              <w:t>155.5 </w:t>
            </w:r>
          </w:p>
        </w:tc>
        <w:tc>
          <w:tcPr>
            <w:tcW w:w="0" w:type="auto"/>
            <w:shd w:val="clear" w:color="auto" w:fill="CCEEFF"/>
            <w:tcMar>
              <w:top w:w="30" w:type="dxa"/>
              <w:left w:w="0" w:type="dxa"/>
              <w:bottom w:w="30" w:type="dxa"/>
              <w:right w:w="20" w:type="dxa"/>
            </w:tcMar>
            <w:vAlign w:val="bottom"/>
            <w:hideMark/>
          </w:tcPr>
          <w:p w14:paraId="692099A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B3087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596A11" w14:textId="77777777" w:rsidR="00000000" w:rsidRDefault="000A3118">
            <w:pPr>
              <w:jc w:val="right"/>
              <w:rPr>
                <w:rFonts w:eastAsia="Times New Roman"/>
              </w:rPr>
            </w:pPr>
            <w:r>
              <w:rPr>
                <w:rFonts w:eastAsia="Times New Roman"/>
                <w:color w:val="000000"/>
                <w:sz w:val="16"/>
                <w:szCs w:val="16"/>
              </w:rPr>
              <w:t>579.4 </w:t>
            </w:r>
          </w:p>
        </w:tc>
        <w:tc>
          <w:tcPr>
            <w:tcW w:w="0" w:type="auto"/>
            <w:shd w:val="clear" w:color="auto" w:fill="CCEEFF"/>
            <w:tcMar>
              <w:top w:w="30" w:type="dxa"/>
              <w:left w:w="0" w:type="dxa"/>
              <w:bottom w:w="30" w:type="dxa"/>
              <w:right w:w="20" w:type="dxa"/>
            </w:tcMar>
            <w:vAlign w:val="bottom"/>
            <w:hideMark/>
          </w:tcPr>
          <w:p w14:paraId="0646F308"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6401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3679F2" w14:textId="77777777" w:rsidR="00000000" w:rsidRDefault="000A3118">
            <w:pPr>
              <w:jc w:val="right"/>
              <w:rPr>
                <w:rFonts w:eastAsia="Times New Roman"/>
              </w:rPr>
            </w:pPr>
            <w:r>
              <w:rPr>
                <w:rFonts w:eastAsia="Times New Roman"/>
                <w:color w:val="000000"/>
                <w:sz w:val="16"/>
                <w:szCs w:val="16"/>
              </w:rPr>
              <w:t>812.2 </w:t>
            </w:r>
          </w:p>
        </w:tc>
        <w:tc>
          <w:tcPr>
            <w:tcW w:w="0" w:type="auto"/>
            <w:shd w:val="clear" w:color="auto" w:fill="CCEEFF"/>
            <w:tcMar>
              <w:top w:w="30" w:type="dxa"/>
              <w:left w:w="0" w:type="dxa"/>
              <w:bottom w:w="30" w:type="dxa"/>
              <w:right w:w="20" w:type="dxa"/>
            </w:tcMar>
            <w:vAlign w:val="bottom"/>
            <w:hideMark/>
          </w:tcPr>
          <w:p w14:paraId="2AF0F17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6D013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D41BF5" w14:textId="77777777" w:rsidR="00000000" w:rsidRDefault="000A3118">
            <w:pPr>
              <w:jc w:val="right"/>
              <w:rPr>
                <w:rFonts w:eastAsia="Times New Roman"/>
              </w:rPr>
            </w:pPr>
            <w:r>
              <w:rPr>
                <w:rFonts w:eastAsia="Times New Roman"/>
                <w:color w:val="000000"/>
                <w:sz w:val="16"/>
                <w:szCs w:val="16"/>
              </w:rPr>
              <w:t>1,739.7 </w:t>
            </w:r>
          </w:p>
        </w:tc>
        <w:tc>
          <w:tcPr>
            <w:tcW w:w="0" w:type="auto"/>
            <w:shd w:val="clear" w:color="auto" w:fill="CCEEFF"/>
            <w:tcMar>
              <w:top w:w="30" w:type="dxa"/>
              <w:left w:w="0" w:type="dxa"/>
              <w:bottom w:w="30" w:type="dxa"/>
              <w:right w:w="20" w:type="dxa"/>
            </w:tcMar>
            <w:vAlign w:val="bottom"/>
            <w:hideMark/>
          </w:tcPr>
          <w:p w14:paraId="4C41476A" w14:textId="77777777" w:rsidR="00000000" w:rsidRDefault="000A3118">
            <w:pPr>
              <w:jc w:val="right"/>
              <w:rPr>
                <w:rFonts w:eastAsia="Times New Roman"/>
              </w:rPr>
            </w:pPr>
          </w:p>
        </w:tc>
      </w:tr>
      <w:tr w:rsidR="00000000" w14:paraId="67DB09C1" w14:textId="77777777">
        <w:trPr>
          <w:divId w:val="1322779201"/>
        </w:trPr>
        <w:tc>
          <w:tcPr>
            <w:tcW w:w="0" w:type="auto"/>
            <w:gridSpan w:val="3"/>
            <w:shd w:val="clear" w:color="auto" w:fill="FFFFFF"/>
            <w:tcMar>
              <w:top w:w="30" w:type="dxa"/>
              <w:left w:w="20" w:type="dxa"/>
              <w:bottom w:w="30" w:type="dxa"/>
              <w:right w:w="20" w:type="dxa"/>
            </w:tcMar>
            <w:vAlign w:val="bottom"/>
            <w:hideMark/>
          </w:tcPr>
          <w:p w14:paraId="45686D1D" w14:textId="77777777" w:rsidR="00000000" w:rsidRDefault="000A3118">
            <w:pPr>
              <w:rPr>
                <w:rFonts w:eastAsia="Times New Roman"/>
              </w:rPr>
            </w:pPr>
            <w:r>
              <w:rPr>
                <w:rFonts w:eastAsia="Times New Roman"/>
                <w:color w:val="000000"/>
                <w:sz w:val="16"/>
                <w:szCs w:val="16"/>
              </w:rPr>
              <w:t>Land</w:t>
            </w:r>
          </w:p>
        </w:tc>
        <w:tc>
          <w:tcPr>
            <w:tcW w:w="0" w:type="auto"/>
            <w:gridSpan w:val="3"/>
            <w:shd w:val="clear" w:color="auto" w:fill="FFFFFF"/>
            <w:tcMar>
              <w:top w:w="0" w:type="dxa"/>
              <w:left w:w="20" w:type="dxa"/>
              <w:bottom w:w="0" w:type="dxa"/>
              <w:right w:w="20" w:type="dxa"/>
            </w:tcMar>
            <w:vAlign w:val="center"/>
            <w:hideMark/>
          </w:tcPr>
          <w:p w14:paraId="522EB8CB"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74139E" w14:textId="77777777" w:rsidR="00000000" w:rsidRDefault="000A3118">
            <w:pPr>
              <w:jc w:val="right"/>
              <w:rPr>
                <w:rFonts w:eastAsia="Times New Roman"/>
              </w:rPr>
            </w:pPr>
            <w:r>
              <w:rPr>
                <w:rFonts w:eastAsia="Times New Roman"/>
                <w:color w:val="000000"/>
                <w:sz w:val="16"/>
                <w:szCs w:val="16"/>
              </w:rPr>
              <w:t>112.9 </w:t>
            </w:r>
          </w:p>
        </w:tc>
        <w:tc>
          <w:tcPr>
            <w:tcW w:w="0" w:type="auto"/>
            <w:shd w:val="clear" w:color="auto" w:fill="FFFFFF"/>
            <w:tcMar>
              <w:top w:w="30" w:type="dxa"/>
              <w:left w:w="0" w:type="dxa"/>
              <w:bottom w:w="30" w:type="dxa"/>
              <w:right w:w="20" w:type="dxa"/>
            </w:tcMar>
            <w:vAlign w:val="bottom"/>
            <w:hideMark/>
          </w:tcPr>
          <w:p w14:paraId="3121865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2C823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8B5490" w14:textId="77777777" w:rsidR="00000000" w:rsidRDefault="000A3118">
            <w:pPr>
              <w:jc w:val="right"/>
              <w:rPr>
                <w:rFonts w:eastAsia="Times New Roman"/>
              </w:rPr>
            </w:pPr>
            <w:r>
              <w:rPr>
                <w:rFonts w:eastAsia="Times New Roman"/>
                <w:color w:val="000000"/>
                <w:sz w:val="16"/>
                <w:szCs w:val="16"/>
              </w:rPr>
              <w:t>153.3 </w:t>
            </w:r>
          </w:p>
        </w:tc>
        <w:tc>
          <w:tcPr>
            <w:tcW w:w="0" w:type="auto"/>
            <w:shd w:val="clear" w:color="auto" w:fill="FFFFFF"/>
            <w:tcMar>
              <w:top w:w="30" w:type="dxa"/>
              <w:left w:w="0" w:type="dxa"/>
              <w:bottom w:w="30" w:type="dxa"/>
              <w:right w:w="20" w:type="dxa"/>
            </w:tcMar>
            <w:vAlign w:val="bottom"/>
            <w:hideMark/>
          </w:tcPr>
          <w:p w14:paraId="4837EC2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B9E3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0613E" w14:textId="77777777" w:rsidR="00000000" w:rsidRDefault="000A3118">
            <w:pPr>
              <w:jc w:val="right"/>
              <w:rPr>
                <w:rFonts w:eastAsia="Times New Roman"/>
              </w:rPr>
            </w:pPr>
            <w:r>
              <w:rPr>
                <w:rFonts w:eastAsia="Times New Roman"/>
                <w:color w:val="000000"/>
                <w:sz w:val="16"/>
                <w:szCs w:val="16"/>
              </w:rPr>
              <w:t>319.7 </w:t>
            </w:r>
          </w:p>
        </w:tc>
        <w:tc>
          <w:tcPr>
            <w:tcW w:w="0" w:type="auto"/>
            <w:shd w:val="clear" w:color="auto" w:fill="FFFFFF"/>
            <w:tcMar>
              <w:top w:w="30" w:type="dxa"/>
              <w:left w:w="0" w:type="dxa"/>
              <w:bottom w:w="30" w:type="dxa"/>
              <w:right w:w="20" w:type="dxa"/>
            </w:tcMar>
            <w:vAlign w:val="bottom"/>
            <w:hideMark/>
          </w:tcPr>
          <w:p w14:paraId="56BF5E2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B640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88DE99" w14:textId="77777777" w:rsidR="00000000" w:rsidRDefault="000A3118">
            <w:pPr>
              <w:jc w:val="right"/>
              <w:rPr>
                <w:rFonts w:eastAsia="Times New Roman"/>
              </w:rPr>
            </w:pPr>
            <w:r>
              <w:rPr>
                <w:rFonts w:eastAsia="Times New Roman"/>
                <w:color w:val="000000"/>
                <w:sz w:val="16"/>
                <w:szCs w:val="16"/>
              </w:rPr>
              <w:t>441.8 </w:t>
            </w:r>
          </w:p>
        </w:tc>
        <w:tc>
          <w:tcPr>
            <w:tcW w:w="0" w:type="auto"/>
            <w:shd w:val="clear" w:color="auto" w:fill="FFFFFF"/>
            <w:tcMar>
              <w:top w:w="30" w:type="dxa"/>
              <w:left w:w="0" w:type="dxa"/>
              <w:bottom w:w="30" w:type="dxa"/>
              <w:right w:w="20" w:type="dxa"/>
            </w:tcMar>
            <w:vAlign w:val="bottom"/>
            <w:hideMark/>
          </w:tcPr>
          <w:p w14:paraId="19D051B3" w14:textId="77777777" w:rsidR="00000000" w:rsidRDefault="000A3118">
            <w:pPr>
              <w:jc w:val="right"/>
              <w:rPr>
                <w:rFonts w:eastAsia="Times New Roman"/>
              </w:rPr>
            </w:pPr>
          </w:p>
        </w:tc>
      </w:tr>
      <w:tr w:rsidR="00000000" w14:paraId="31F0B5D4" w14:textId="77777777">
        <w:trPr>
          <w:divId w:val="1322779201"/>
        </w:trPr>
        <w:tc>
          <w:tcPr>
            <w:tcW w:w="0" w:type="auto"/>
            <w:gridSpan w:val="3"/>
            <w:shd w:val="clear" w:color="auto" w:fill="CCEEFF"/>
            <w:tcMar>
              <w:top w:w="30" w:type="dxa"/>
              <w:left w:w="20" w:type="dxa"/>
              <w:bottom w:w="30" w:type="dxa"/>
              <w:right w:w="20" w:type="dxa"/>
            </w:tcMar>
            <w:vAlign w:val="bottom"/>
            <w:hideMark/>
          </w:tcPr>
          <w:p w14:paraId="59122720" w14:textId="77777777" w:rsidR="00000000" w:rsidRDefault="000A3118">
            <w:pPr>
              <w:rPr>
                <w:rFonts w:eastAsia="Times New Roman"/>
              </w:rPr>
            </w:pPr>
            <w:r>
              <w:rPr>
                <w:rFonts w:eastAsia="Times New Roman"/>
                <w:color w:val="000000"/>
                <w:sz w:val="16"/>
                <w:szCs w:val="16"/>
              </w:rPr>
              <w:t>Marine</w:t>
            </w:r>
          </w:p>
        </w:tc>
        <w:tc>
          <w:tcPr>
            <w:tcW w:w="0" w:type="auto"/>
            <w:gridSpan w:val="3"/>
            <w:shd w:val="clear" w:color="auto" w:fill="CCEEFF"/>
            <w:tcMar>
              <w:top w:w="0" w:type="dxa"/>
              <w:left w:w="20" w:type="dxa"/>
              <w:bottom w:w="0" w:type="dxa"/>
              <w:right w:w="20" w:type="dxa"/>
            </w:tcMar>
            <w:vAlign w:val="center"/>
            <w:hideMark/>
          </w:tcPr>
          <w:p w14:paraId="2873D3B0"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8CD156" w14:textId="77777777" w:rsidR="00000000" w:rsidRDefault="000A3118">
            <w:pPr>
              <w:jc w:val="right"/>
              <w:rPr>
                <w:rFonts w:eastAsia="Times New Roman"/>
              </w:rPr>
            </w:pPr>
            <w:r>
              <w:rPr>
                <w:rFonts w:eastAsia="Times New Roman"/>
                <w:color w:val="000000"/>
                <w:sz w:val="16"/>
                <w:szCs w:val="16"/>
              </w:rPr>
              <w:t>86.1 </w:t>
            </w:r>
          </w:p>
        </w:tc>
        <w:tc>
          <w:tcPr>
            <w:tcW w:w="0" w:type="auto"/>
            <w:shd w:val="clear" w:color="auto" w:fill="CCEEFF"/>
            <w:tcMar>
              <w:top w:w="30" w:type="dxa"/>
              <w:left w:w="0" w:type="dxa"/>
              <w:bottom w:w="30" w:type="dxa"/>
              <w:right w:w="20" w:type="dxa"/>
            </w:tcMar>
            <w:vAlign w:val="bottom"/>
            <w:hideMark/>
          </w:tcPr>
          <w:p w14:paraId="7B47DE9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3BEA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258DCB" w14:textId="77777777" w:rsidR="00000000" w:rsidRDefault="000A3118">
            <w:pPr>
              <w:jc w:val="right"/>
              <w:rPr>
                <w:rFonts w:eastAsia="Times New Roman"/>
              </w:rPr>
            </w:pPr>
            <w:r>
              <w:rPr>
                <w:rFonts w:eastAsia="Times New Roman"/>
                <w:color w:val="000000"/>
                <w:sz w:val="16"/>
                <w:szCs w:val="16"/>
              </w:rPr>
              <w:t>136.5 </w:t>
            </w:r>
          </w:p>
        </w:tc>
        <w:tc>
          <w:tcPr>
            <w:tcW w:w="0" w:type="auto"/>
            <w:shd w:val="clear" w:color="auto" w:fill="CCEEFF"/>
            <w:tcMar>
              <w:top w:w="30" w:type="dxa"/>
              <w:left w:w="0" w:type="dxa"/>
              <w:bottom w:w="30" w:type="dxa"/>
              <w:right w:w="20" w:type="dxa"/>
            </w:tcMar>
            <w:vAlign w:val="bottom"/>
            <w:hideMark/>
          </w:tcPr>
          <w:p w14:paraId="6EBD740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18C465"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335C23" w14:textId="77777777" w:rsidR="00000000" w:rsidRDefault="000A3118">
            <w:pPr>
              <w:jc w:val="right"/>
              <w:rPr>
                <w:rFonts w:eastAsia="Times New Roman"/>
              </w:rPr>
            </w:pPr>
            <w:r>
              <w:rPr>
                <w:rFonts w:eastAsia="Times New Roman"/>
                <w:color w:val="000000"/>
                <w:sz w:val="16"/>
                <w:szCs w:val="16"/>
              </w:rPr>
              <w:t>402.5 </w:t>
            </w:r>
          </w:p>
        </w:tc>
        <w:tc>
          <w:tcPr>
            <w:tcW w:w="0" w:type="auto"/>
            <w:shd w:val="clear" w:color="auto" w:fill="CCEEFF"/>
            <w:tcMar>
              <w:top w:w="30" w:type="dxa"/>
              <w:left w:w="0" w:type="dxa"/>
              <w:bottom w:w="30" w:type="dxa"/>
              <w:right w:w="20" w:type="dxa"/>
            </w:tcMar>
            <w:vAlign w:val="bottom"/>
            <w:hideMark/>
          </w:tcPr>
          <w:p w14:paraId="176297E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69ABE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42E28" w14:textId="77777777" w:rsidR="00000000" w:rsidRDefault="000A3118">
            <w:pPr>
              <w:jc w:val="right"/>
              <w:rPr>
                <w:rFonts w:eastAsia="Times New Roman"/>
              </w:rPr>
            </w:pPr>
            <w:r>
              <w:rPr>
                <w:rFonts w:eastAsia="Times New Roman"/>
                <w:color w:val="000000"/>
                <w:sz w:val="16"/>
                <w:szCs w:val="16"/>
              </w:rPr>
              <w:t>471.3 </w:t>
            </w:r>
          </w:p>
        </w:tc>
        <w:tc>
          <w:tcPr>
            <w:tcW w:w="0" w:type="auto"/>
            <w:shd w:val="clear" w:color="auto" w:fill="CCEEFF"/>
            <w:tcMar>
              <w:top w:w="30" w:type="dxa"/>
              <w:left w:w="0" w:type="dxa"/>
              <w:bottom w:w="30" w:type="dxa"/>
              <w:right w:w="20" w:type="dxa"/>
            </w:tcMar>
            <w:vAlign w:val="bottom"/>
            <w:hideMark/>
          </w:tcPr>
          <w:p w14:paraId="7E9B96AF" w14:textId="77777777" w:rsidR="00000000" w:rsidRDefault="000A3118">
            <w:pPr>
              <w:jc w:val="right"/>
              <w:rPr>
                <w:rFonts w:eastAsia="Times New Roman"/>
              </w:rPr>
            </w:pPr>
          </w:p>
        </w:tc>
      </w:tr>
      <w:tr w:rsidR="00000000" w14:paraId="351E0073" w14:textId="77777777">
        <w:trPr>
          <w:divId w:val="1322779201"/>
        </w:trPr>
        <w:tc>
          <w:tcPr>
            <w:tcW w:w="0" w:type="auto"/>
            <w:gridSpan w:val="3"/>
            <w:tcBorders>
              <w:top w:val="single" w:sz="8" w:space="0" w:color="000000"/>
            </w:tcBorders>
            <w:shd w:val="clear" w:color="auto" w:fill="FFFFFF"/>
            <w:tcMar>
              <w:top w:w="30" w:type="dxa"/>
              <w:left w:w="135" w:type="dxa"/>
              <w:bottom w:w="30" w:type="dxa"/>
              <w:right w:w="20" w:type="dxa"/>
            </w:tcMar>
            <w:vAlign w:val="bottom"/>
            <w:hideMark/>
          </w:tcPr>
          <w:p w14:paraId="7A7C6266" w14:textId="77777777" w:rsidR="00000000" w:rsidRDefault="000A3118">
            <w:pPr>
              <w:rPr>
                <w:rFonts w:eastAsia="Times New Roman"/>
              </w:rPr>
            </w:pPr>
            <w:r>
              <w:rPr>
                <w:rFonts w:eastAsia="Times New Roman"/>
                <w:color w:val="000000"/>
                <w:sz w:val="16"/>
                <w:szCs w:val="16"/>
              </w:rPr>
              <w:t>LATAM</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D7E1D6"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FF8F1B" w14:textId="77777777" w:rsidR="00000000" w:rsidRDefault="000A3118">
            <w:pPr>
              <w:jc w:val="right"/>
              <w:rPr>
                <w:rFonts w:eastAsia="Times New Roman"/>
              </w:rPr>
            </w:pPr>
            <w:r>
              <w:rPr>
                <w:rFonts w:eastAsia="Times New Roman"/>
                <w:color w:val="000000"/>
                <w:sz w:val="16"/>
                <w:szCs w:val="16"/>
              </w:rPr>
              <w:t>354.5 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21D9C6"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CAC4809"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546991" w14:textId="77777777" w:rsidR="00000000" w:rsidRDefault="000A3118">
            <w:pPr>
              <w:jc w:val="right"/>
              <w:rPr>
                <w:rFonts w:eastAsia="Times New Roman"/>
              </w:rPr>
            </w:pPr>
            <w:r>
              <w:rPr>
                <w:rFonts w:eastAsia="Times New Roman"/>
                <w:color w:val="000000"/>
                <w:sz w:val="16"/>
                <w:szCs w:val="16"/>
              </w:rPr>
              <w:t>869.2 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62D9E2"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4D96D5"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A03A26" w14:textId="77777777" w:rsidR="00000000" w:rsidRDefault="000A3118">
            <w:pPr>
              <w:jc w:val="right"/>
              <w:rPr>
                <w:rFonts w:eastAsia="Times New Roman"/>
              </w:rPr>
            </w:pPr>
            <w:r>
              <w:rPr>
                <w:rFonts w:eastAsia="Times New Roman"/>
                <w:color w:val="000000"/>
                <w:sz w:val="16"/>
                <w:szCs w:val="16"/>
              </w:rPr>
              <w:t>1,534.4 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E3BCAA"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C99F25"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EB4307" w14:textId="77777777" w:rsidR="00000000" w:rsidRDefault="000A3118">
            <w:pPr>
              <w:jc w:val="right"/>
              <w:rPr>
                <w:rFonts w:eastAsia="Times New Roman"/>
              </w:rPr>
            </w:pPr>
            <w:r>
              <w:rPr>
                <w:rFonts w:eastAsia="Times New Roman"/>
                <w:color w:val="000000"/>
                <w:sz w:val="16"/>
                <w:szCs w:val="16"/>
              </w:rPr>
              <w:t>2,652.8 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7755A9" w14:textId="77777777" w:rsidR="00000000" w:rsidRDefault="000A3118">
            <w:pPr>
              <w:jc w:val="right"/>
              <w:rPr>
                <w:rFonts w:eastAsia="Times New Roman"/>
              </w:rPr>
            </w:pPr>
          </w:p>
        </w:tc>
      </w:tr>
      <w:tr w:rsidR="00000000" w14:paraId="5B7E6C84" w14:textId="77777777">
        <w:trPr>
          <w:divId w:val="1322779201"/>
          <w:trHeight w:val="240"/>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03FD43"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17EA1A"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7CBD77"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7D45C9"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EB1BC3"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950FB0"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87928D"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0E0D3A"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1E5A63" w14:textId="77777777" w:rsidR="00000000" w:rsidRDefault="000A3118">
            <w:pPr>
              <w:rPr>
                <w:rFonts w:eastAsia="Times New Roman"/>
                <w:sz w:val="20"/>
                <w:szCs w:val="20"/>
              </w:rPr>
            </w:pPr>
          </w:p>
        </w:tc>
      </w:tr>
      <w:tr w:rsidR="00000000" w14:paraId="11BF3B22" w14:textId="77777777">
        <w:trPr>
          <w:divId w:val="1322779201"/>
        </w:trPr>
        <w:tc>
          <w:tcPr>
            <w:tcW w:w="0" w:type="auto"/>
            <w:gridSpan w:val="3"/>
            <w:shd w:val="clear" w:color="auto" w:fill="FFFFFF"/>
            <w:tcMar>
              <w:top w:w="30" w:type="dxa"/>
              <w:left w:w="20" w:type="dxa"/>
              <w:bottom w:w="30" w:type="dxa"/>
              <w:right w:w="20" w:type="dxa"/>
            </w:tcMar>
            <w:vAlign w:val="bottom"/>
            <w:hideMark/>
          </w:tcPr>
          <w:p w14:paraId="1C15FB04" w14:textId="77777777" w:rsidR="00000000" w:rsidRDefault="000A3118">
            <w:pPr>
              <w:rPr>
                <w:rFonts w:eastAsia="Times New Roman"/>
              </w:rPr>
            </w:pPr>
            <w:r>
              <w:rPr>
                <w:rFonts w:eastAsia="Times New Roman"/>
                <w:color w:val="000000"/>
                <w:sz w:val="16"/>
                <w:szCs w:val="16"/>
              </w:rPr>
              <w:t>Aviation</w:t>
            </w:r>
          </w:p>
        </w:tc>
        <w:tc>
          <w:tcPr>
            <w:tcW w:w="0" w:type="auto"/>
            <w:gridSpan w:val="3"/>
            <w:shd w:val="clear" w:color="auto" w:fill="FFFFFF"/>
            <w:tcMar>
              <w:top w:w="0" w:type="dxa"/>
              <w:left w:w="20" w:type="dxa"/>
              <w:bottom w:w="0" w:type="dxa"/>
              <w:right w:w="20" w:type="dxa"/>
            </w:tcMar>
            <w:vAlign w:val="center"/>
            <w:hideMark/>
          </w:tcPr>
          <w:p w14:paraId="124B93FC"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78E19E" w14:textId="77777777" w:rsidR="00000000" w:rsidRDefault="000A3118">
            <w:pPr>
              <w:jc w:val="right"/>
              <w:rPr>
                <w:rFonts w:eastAsia="Times New Roman"/>
              </w:rPr>
            </w:pPr>
            <w:r>
              <w:rPr>
                <w:rFonts w:eastAsia="Times New Roman"/>
                <w:color w:val="000000"/>
                <w:sz w:val="16"/>
                <w:szCs w:val="16"/>
              </w:rPr>
              <w:t>910.3 </w:t>
            </w:r>
          </w:p>
        </w:tc>
        <w:tc>
          <w:tcPr>
            <w:tcW w:w="0" w:type="auto"/>
            <w:shd w:val="clear" w:color="auto" w:fill="FFFFFF"/>
            <w:tcMar>
              <w:top w:w="30" w:type="dxa"/>
              <w:left w:w="0" w:type="dxa"/>
              <w:bottom w:w="30" w:type="dxa"/>
              <w:right w:w="20" w:type="dxa"/>
            </w:tcMar>
            <w:vAlign w:val="bottom"/>
            <w:hideMark/>
          </w:tcPr>
          <w:p w14:paraId="507457A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3287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450B32" w14:textId="77777777" w:rsidR="00000000" w:rsidRDefault="000A3118">
            <w:pPr>
              <w:jc w:val="right"/>
              <w:rPr>
                <w:rFonts w:eastAsia="Times New Roman"/>
              </w:rPr>
            </w:pPr>
            <w:r>
              <w:rPr>
                <w:rFonts w:eastAsia="Times New Roman"/>
                <w:color w:val="000000"/>
                <w:sz w:val="16"/>
                <w:szCs w:val="16"/>
              </w:rPr>
              <w:t>2,689.7 </w:t>
            </w:r>
          </w:p>
        </w:tc>
        <w:tc>
          <w:tcPr>
            <w:tcW w:w="0" w:type="auto"/>
            <w:shd w:val="clear" w:color="auto" w:fill="FFFFFF"/>
            <w:tcMar>
              <w:top w:w="30" w:type="dxa"/>
              <w:left w:w="0" w:type="dxa"/>
              <w:bottom w:w="30" w:type="dxa"/>
              <w:right w:w="20" w:type="dxa"/>
            </w:tcMar>
            <w:vAlign w:val="bottom"/>
            <w:hideMark/>
          </w:tcPr>
          <w:p w14:paraId="0ACB311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7147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4963FA" w14:textId="77777777" w:rsidR="00000000" w:rsidRDefault="000A3118">
            <w:pPr>
              <w:jc w:val="right"/>
              <w:rPr>
                <w:rFonts w:eastAsia="Times New Roman"/>
              </w:rPr>
            </w:pPr>
            <w:r>
              <w:rPr>
                <w:rFonts w:eastAsia="Times New Roman"/>
                <w:color w:val="000000"/>
                <w:sz w:val="16"/>
                <w:szCs w:val="16"/>
              </w:rPr>
              <w:t>3,517.4 </w:t>
            </w:r>
          </w:p>
        </w:tc>
        <w:tc>
          <w:tcPr>
            <w:tcW w:w="0" w:type="auto"/>
            <w:shd w:val="clear" w:color="auto" w:fill="FFFFFF"/>
            <w:tcMar>
              <w:top w:w="30" w:type="dxa"/>
              <w:left w:w="0" w:type="dxa"/>
              <w:bottom w:w="30" w:type="dxa"/>
              <w:right w:w="20" w:type="dxa"/>
            </w:tcMar>
            <w:vAlign w:val="bottom"/>
            <w:hideMark/>
          </w:tcPr>
          <w:p w14:paraId="288D4C5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697F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EFFFCC" w14:textId="77777777" w:rsidR="00000000" w:rsidRDefault="000A3118">
            <w:pPr>
              <w:jc w:val="right"/>
              <w:rPr>
                <w:rFonts w:eastAsia="Times New Roman"/>
              </w:rPr>
            </w:pPr>
            <w:r>
              <w:rPr>
                <w:rFonts w:eastAsia="Times New Roman"/>
                <w:color w:val="000000"/>
                <w:sz w:val="16"/>
                <w:szCs w:val="16"/>
              </w:rPr>
              <w:t>8,166.3 </w:t>
            </w:r>
          </w:p>
        </w:tc>
        <w:tc>
          <w:tcPr>
            <w:tcW w:w="0" w:type="auto"/>
            <w:shd w:val="clear" w:color="auto" w:fill="FFFFFF"/>
            <w:tcMar>
              <w:top w:w="30" w:type="dxa"/>
              <w:left w:w="0" w:type="dxa"/>
              <w:bottom w:w="30" w:type="dxa"/>
              <w:right w:w="20" w:type="dxa"/>
            </w:tcMar>
            <w:vAlign w:val="bottom"/>
            <w:hideMark/>
          </w:tcPr>
          <w:p w14:paraId="543509A1" w14:textId="77777777" w:rsidR="00000000" w:rsidRDefault="000A3118">
            <w:pPr>
              <w:jc w:val="right"/>
              <w:rPr>
                <w:rFonts w:eastAsia="Times New Roman"/>
              </w:rPr>
            </w:pPr>
          </w:p>
        </w:tc>
      </w:tr>
      <w:tr w:rsidR="00000000" w14:paraId="792A8F5D" w14:textId="77777777">
        <w:trPr>
          <w:divId w:val="1322779201"/>
        </w:trPr>
        <w:tc>
          <w:tcPr>
            <w:tcW w:w="0" w:type="auto"/>
            <w:gridSpan w:val="3"/>
            <w:shd w:val="clear" w:color="auto" w:fill="CCEEFF"/>
            <w:tcMar>
              <w:top w:w="30" w:type="dxa"/>
              <w:left w:w="20" w:type="dxa"/>
              <w:bottom w:w="30" w:type="dxa"/>
              <w:right w:w="20" w:type="dxa"/>
            </w:tcMar>
            <w:vAlign w:val="bottom"/>
            <w:hideMark/>
          </w:tcPr>
          <w:p w14:paraId="704C526D" w14:textId="77777777" w:rsidR="00000000" w:rsidRDefault="000A3118">
            <w:pPr>
              <w:rPr>
                <w:rFonts w:eastAsia="Times New Roman"/>
              </w:rPr>
            </w:pPr>
            <w:r>
              <w:rPr>
                <w:rFonts w:eastAsia="Times New Roman"/>
                <w:color w:val="000000"/>
                <w:sz w:val="16"/>
                <w:szCs w:val="16"/>
              </w:rPr>
              <w:t>Land</w:t>
            </w:r>
          </w:p>
        </w:tc>
        <w:tc>
          <w:tcPr>
            <w:tcW w:w="0" w:type="auto"/>
            <w:gridSpan w:val="3"/>
            <w:shd w:val="clear" w:color="auto" w:fill="CCEEFF"/>
            <w:tcMar>
              <w:top w:w="0" w:type="dxa"/>
              <w:left w:w="20" w:type="dxa"/>
              <w:bottom w:w="0" w:type="dxa"/>
              <w:right w:w="20" w:type="dxa"/>
            </w:tcMar>
            <w:vAlign w:val="center"/>
            <w:hideMark/>
          </w:tcPr>
          <w:p w14:paraId="3B031FF3"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ED8CF7" w14:textId="77777777" w:rsidR="00000000" w:rsidRDefault="000A3118">
            <w:pPr>
              <w:jc w:val="right"/>
              <w:rPr>
                <w:rFonts w:eastAsia="Times New Roman"/>
              </w:rPr>
            </w:pPr>
            <w:r>
              <w:rPr>
                <w:rFonts w:eastAsia="Times New Roman"/>
                <w:color w:val="000000"/>
                <w:sz w:val="16"/>
                <w:szCs w:val="16"/>
              </w:rPr>
              <w:t>1,143.5 </w:t>
            </w:r>
          </w:p>
        </w:tc>
        <w:tc>
          <w:tcPr>
            <w:tcW w:w="0" w:type="auto"/>
            <w:shd w:val="clear" w:color="auto" w:fill="CCEEFF"/>
            <w:tcMar>
              <w:top w:w="30" w:type="dxa"/>
              <w:left w:w="0" w:type="dxa"/>
              <w:bottom w:w="30" w:type="dxa"/>
              <w:right w:w="20" w:type="dxa"/>
            </w:tcMar>
            <w:vAlign w:val="bottom"/>
            <w:hideMark/>
          </w:tcPr>
          <w:p w14:paraId="1145917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B0CE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AD601" w14:textId="77777777" w:rsidR="00000000" w:rsidRDefault="000A3118">
            <w:pPr>
              <w:jc w:val="right"/>
              <w:rPr>
                <w:rFonts w:eastAsia="Times New Roman"/>
              </w:rPr>
            </w:pPr>
            <w:r>
              <w:rPr>
                <w:rFonts w:eastAsia="Times New Roman"/>
                <w:color w:val="000000"/>
                <w:sz w:val="16"/>
                <w:szCs w:val="16"/>
              </w:rPr>
              <w:t>1,787.3 </w:t>
            </w:r>
          </w:p>
        </w:tc>
        <w:tc>
          <w:tcPr>
            <w:tcW w:w="0" w:type="auto"/>
            <w:shd w:val="clear" w:color="auto" w:fill="CCEEFF"/>
            <w:tcMar>
              <w:top w:w="30" w:type="dxa"/>
              <w:left w:w="0" w:type="dxa"/>
              <w:bottom w:w="30" w:type="dxa"/>
              <w:right w:w="20" w:type="dxa"/>
            </w:tcMar>
            <w:vAlign w:val="bottom"/>
            <w:hideMark/>
          </w:tcPr>
          <w:p w14:paraId="0FD0C74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972E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3A5478" w14:textId="77777777" w:rsidR="00000000" w:rsidRDefault="000A3118">
            <w:pPr>
              <w:jc w:val="right"/>
              <w:rPr>
                <w:rFonts w:eastAsia="Times New Roman"/>
              </w:rPr>
            </w:pPr>
            <w:r>
              <w:rPr>
                <w:rFonts w:eastAsia="Times New Roman"/>
                <w:color w:val="000000"/>
                <w:sz w:val="16"/>
                <w:szCs w:val="16"/>
              </w:rPr>
              <w:t>3,277.8 </w:t>
            </w:r>
          </w:p>
        </w:tc>
        <w:tc>
          <w:tcPr>
            <w:tcW w:w="0" w:type="auto"/>
            <w:shd w:val="clear" w:color="auto" w:fill="CCEEFF"/>
            <w:tcMar>
              <w:top w:w="30" w:type="dxa"/>
              <w:left w:w="0" w:type="dxa"/>
              <w:bottom w:w="30" w:type="dxa"/>
              <w:right w:w="20" w:type="dxa"/>
            </w:tcMar>
            <w:vAlign w:val="bottom"/>
            <w:hideMark/>
          </w:tcPr>
          <w:p w14:paraId="7DC77B2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CC4EC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F7DAD4" w14:textId="77777777" w:rsidR="00000000" w:rsidRDefault="000A3118">
            <w:pPr>
              <w:jc w:val="right"/>
              <w:rPr>
                <w:rFonts w:eastAsia="Times New Roman"/>
              </w:rPr>
            </w:pPr>
            <w:r>
              <w:rPr>
                <w:rFonts w:eastAsia="Times New Roman"/>
                <w:color w:val="000000"/>
                <w:sz w:val="16"/>
                <w:szCs w:val="16"/>
              </w:rPr>
              <w:t>5,306.3 </w:t>
            </w:r>
          </w:p>
        </w:tc>
        <w:tc>
          <w:tcPr>
            <w:tcW w:w="0" w:type="auto"/>
            <w:shd w:val="clear" w:color="auto" w:fill="CCEEFF"/>
            <w:tcMar>
              <w:top w:w="30" w:type="dxa"/>
              <w:left w:w="0" w:type="dxa"/>
              <w:bottom w:w="30" w:type="dxa"/>
              <w:right w:w="20" w:type="dxa"/>
            </w:tcMar>
            <w:vAlign w:val="bottom"/>
            <w:hideMark/>
          </w:tcPr>
          <w:p w14:paraId="3F92AE03" w14:textId="77777777" w:rsidR="00000000" w:rsidRDefault="000A3118">
            <w:pPr>
              <w:jc w:val="right"/>
              <w:rPr>
                <w:rFonts w:eastAsia="Times New Roman"/>
              </w:rPr>
            </w:pPr>
          </w:p>
        </w:tc>
      </w:tr>
      <w:tr w:rsidR="00000000" w14:paraId="3A8ED188" w14:textId="77777777">
        <w:trPr>
          <w:divId w:val="1322779201"/>
        </w:trPr>
        <w:tc>
          <w:tcPr>
            <w:tcW w:w="0" w:type="auto"/>
            <w:gridSpan w:val="3"/>
            <w:shd w:val="clear" w:color="auto" w:fill="FFFFFF"/>
            <w:tcMar>
              <w:top w:w="30" w:type="dxa"/>
              <w:left w:w="20" w:type="dxa"/>
              <w:bottom w:w="30" w:type="dxa"/>
              <w:right w:w="20" w:type="dxa"/>
            </w:tcMar>
            <w:vAlign w:val="bottom"/>
            <w:hideMark/>
          </w:tcPr>
          <w:p w14:paraId="70CAEC20" w14:textId="77777777" w:rsidR="00000000" w:rsidRDefault="000A3118">
            <w:pPr>
              <w:rPr>
                <w:rFonts w:eastAsia="Times New Roman"/>
              </w:rPr>
            </w:pPr>
            <w:r>
              <w:rPr>
                <w:rFonts w:eastAsia="Times New Roman"/>
                <w:color w:val="000000"/>
                <w:sz w:val="16"/>
                <w:szCs w:val="16"/>
              </w:rPr>
              <w:t>Marine</w:t>
            </w:r>
          </w:p>
        </w:tc>
        <w:tc>
          <w:tcPr>
            <w:tcW w:w="0" w:type="auto"/>
            <w:gridSpan w:val="3"/>
            <w:shd w:val="clear" w:color="auto" w:fill="FFFFFF"/>
            <w:tcMar>
              <w:top w:w="0" w:type="dxa"/>
              <w:left w:w="20" w:type="dxa"/>
              <w:bottom w:w="0" w:type="dxa"/>
              <w:right w:w="20" w:type="dxa"/>
            </w:tcMar>
            <w:vAlign w:val="center"/>
            <w:hideMark/>
          </w:tcPr>
          <w:p w14:paraId="33D185E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09E521" w14:textId="77777777" w:rsidR="00000000" w:rsidRDefault="000A3118">
            <w:pPr>
              <w:jc w:val="right"/>
              <w:rPr>
                <w:rFonts w:eastAsia="Times New Roman"/>
              </w:rPr>
            </w:pPr>
            <w:r>
              <w:rPr>
                <w:rFonts w:eastAsia="Times New Roman"/>
                <w:color w:val="000000"/>
                <w:sz w:val="16"/>
                <w:szCs w:val="16"/>
              </w:rPr>
              <w:t>206.6 </w:t>
            </w:r>
          </w:p>
        </w:tc>
        <w:tc>
          <w:tcPr>
            <w:tcW w:w="0" w:type="auto"/>
            <w:shd w:val="clear" w:color="auto" w:fill="FFFFFF"/>
            <w:tcMar>
              <w:top w:w="30" w:type="dxa"/>
              <w:left w:w="0" w:type="dxa"/>
              <w:bottom w:w="30" w:type="dxa"/>
              <w:right w:w="20" w:type="dxa"/>
            </w:tcMar>
            <w:vAlign w:val="bottom"/>
            <w:hideMark/>
          </w:tcPr>
          <w:p w14:paraId="7EA7D50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4C75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80EF75" w14:textId="77777777" w:rsidR="00000000" w:rsidRDefault="000A3118">
            <w:pPr>
              <w:jc w:val="right"/>
              <w:rPr>
                <w:rFonts w:eastAsia="Times New Roman"/>
              </w:rPr>
            </w:pPr>
            <w:r>
              <w:rPr>
                <w:rFonts w:eastAsia="Times New Roman"/>
                <w:color w:val="000000"/>
                <w:sz w:val="16"/>
                <w:szCs w:val="16"/>
              </w:rPr>
              <w:t>397.4 </w:t>
            </w:r>
          </w:p>
        </w:tc>
        <w:tc>
          <w:tcPr>
            <w:tcW w:w="0" w:type="auto"/>
            <w:shd w:val="clear" w:color="auto" w:fill="FFFFFF"/>
            <w:tcMar>
              <w:top w:w="30" w:type="dxa"/>
              <w:left w:w="0" w:type="dxa"/>
              <w:bottom w:w="30" w:type="dxa"/>
              <w:right w:w="20" w:type="dxa"/>
            </w:tcMar>
            <w:vAlign w:val="bottom"/>
            <w:hideMark/>
          </w:tcPr>
          <w:p w14:paraId="086F4FF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AB4B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D43E26" w14:textId="77777777" w:rsidR="00000000" w:rsidRDefault="000A3118">
            <w:pPr>
              <w:jc w:val="right"/>
              <w:rPr>
                <w:rFonts w:eastAsia="Times New Roman"/>
              </w:rPr>
            </w:pPr>
            <w:r>
              <w:rPr>
                <w:rFonts w:eastAsia="Times New Roman"/>
                <w:color w:val="000000"/>
                <w:sz w:val="16"/>
                <w:szCs w:val="16"/>
              </w:rPr>
              <w:t>683.0 </w:t>
            </w:r>
          </w:p>
        </w:tc>
        <w:tc>
          <w:tcPr>
            <w:tcW w:w="0" w:type="auto"/>
            <w:shd w:val="clear" w:color="auto" w:fill="FFFFFF"/>
            <w:tcMar>
              <w:top w:w="30" w:type="dxa"/>
              <w:left w:w="0" w:type="dxa"/>
              <w:bottom w:w="30" w:type="dxa"/>
              <w:right w:w="20" w:type="dxa"/>
            </w:tcMar>
            <w:vAlign w:val="bottom"/>
            <w:hideMark/>
          </w:tcPr>
          <w:p w14:paraId="0C613E4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FEB9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1E9F21" w14:textId="77777777" w:rsidR="00000000" w:rsidRDefault="000A3118">
            <w:pPr>
              <w:jc w:val="right"/>
              <w:rPr>
                <w:rFonts w:eastAsia="Times New Roman"/>
              </w:rPr>
            </w:pPr>
            <w:r>
              <w:rPr>
                <w:rFonts w:eastAsia="Times New Roman"/>
                <w:color w:val="000000"/>
                <w:sz w:val="16"/>
                <w:szCs w:val="16"/>
              </w:rPr>
              <w:t>1,079.8 </w:t>
            </w:r>
          </w:p>
        </w:tc>
        <w:tc>
          <w:tcPr>
            <w:tcW w:w="0" w:type="auto"/>
            <w:shd w:val="clear" w:color="auto" w:fill="FFFFFF"/>
            <w:tcMar>
              <w:top w:w="30" w:type="dxa"/>
              <w:left w:w="0" w:type="dxa"/>
              <w:bottom w:w="30" w:type="dxa"/>
              <w:right w:w="20" w:type="dxa"/>
            </w:tcMar>
            <w:vAlign w:val="bottom"/>
            <w:hideMark/>
          </w:tcPr>
          <w:p w14:paraId="4CCB9E90" w14:textId="77777777" w:rsidR="00000000" w:rsidRDefault="000A3118">
            <w:pPr>
              <w:jc w:val="right"/>
              <w:rPr>
                <w:rFonts w:eastAsia="Times New Roman"/>
              </w:rPr>
            </w:pPr>
          </w:p>
        </w:tc>
      </w:tr>
      <w:tr w:rsidR="00000000" w14:paraId="334BE620" w14:textId="77777777">
        <w:trPr>
          <w:divId w:val="1322779201"/>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14:paraId="1409125F" w14:textId="77777777" w:rsidR="00000000" w:rsidRDefault="000A3118">
            <w:pPr>
              <w:rPr>
                <w:rFonts w:eastAsia="Times New Roman"/>
              </w:rPr>
            </w:pPr>
            <w:r>
              <w:rPr>
                <w:rFonts w:eastAsia="Times New Roman"/>
                <w:color w:val="000000"/>
                <w:sz w:val="16"/>
                <w:szCs w:val="16"/>
              </w:rPr>
              <w:t>North America</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127053"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6BE144" w14:textId="77777777" w:rsidR="00000000" w:rsidRDefault="000A3118">
            <w:pPr>
              <w:jc w:val="right"/>
              <w:rPr>
                <w:rFonts w:eastAsia="Times New Roman"/>
              </w:rPr>
            </w:pPr>
            <w:r>
              <w:rPr>
                <w:rFonts w:eastAsia="Times New Roman"/>
                <w:color w:val="000000"/>
                <w:sz w:val="16"/>
                <w:szCs w:val="16"/>
              </w:rPr>
              <w:t>2,260.5 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ADC1A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E9DB63"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922AA5" w14:textId="77777777" w:rsidR="00000000" w:rsidRDefault="000A3118">
            <w:pPr>
              <w:jc w:val="right"/>
              <w:rPr>
                <w:rFonts w:eastAsia="Times New Roman"/>
              </w:rPr>
            </w:pPr>
            <w:r>
              <w:rPr>
                <w:rFonts w:eastAsia="Times New Roman"/>
                <w:color w:val="000000"/>
                <w:sz w:val="16"/>
                <w:szCs w:val="16"/>
              </w:rPr>
              <w:t>4,874.5 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7AF94C"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BAAE06"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B31F15" w14:textId="77777777" w:rsidR="00000000" w:rsidRDefault="000A3118">
            <w:pPr>
              <w:jc w:val="right"/>
              <w:rPr>
                <w:rFonts w:eastAsia="Times New Roman"/>
              </w:rPr>
            </w:pPr>
            <w:r>
              <w:rPr>
                <w:rFonts w:eastAsia="Times New Roman"/>
                <w:color w:val="000000"/>
                <w:sz w:val="16"/>
                <w:szCs w:val="16"/>
              </w:rPr>
              <w:t>7,478.1 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BC289D"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6F13E1"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5AA0E4" w14:textId="77777777" w:rsidR="00000000" w:rsidRDefault="000A3118">
            <w:pPr>
              <w:jc w:val="right"/>
              <w:rPr>
                <w:rFonts w:eastAsia="Times New Roman"/>
              </w:rPr>
            </w:pPr>
            <w:r>
              <w:rPr>
                <w:rFonts w:eastAsia="Times New Roman"/>
                <w:color w:val="000000"/>
                <w:sz w:val="16"/>
                <w:szCs w:val="16"/>
              </w:rPr>
              <w:t>14,552.4 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DB11F0" w14:textId="77777777" w:rsidR="00000000" w:rsidRDefault="000A3118">
            <w:pPr>
              <w:jc w:val="right"/>
              <w:rPr>
                <w:rFonts w:eastAsia="Times New Roman"/>
              </w:rPr>
            </w:pPr>
          </w:p>
        </w:tc>
      </w:tr>
      <w:tr w:rsidR="00000000" w14:paraId="1EFDA72B" w14:textId="77777777">
        <w:trPr>
          <w:divId w:val="1322779201"/>
          <w:trHeight w:val="24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C82D79"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85383F"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CBB90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873BB5"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0A5EA0"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DD1217"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10BE0C3"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BA5B9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58F6B6" w14:textId="77777777" w:rsidR="00000000" w:rsidRDefault="000A3118">
            <w:pPr>
              <w:rPr>
                <w:rFonts w:eastAsia="Times New Roman"/>
                <w:sz w:val="20"/>
                <w:szCs w:val="20"/>
              </w:rPr>
            </w:pPr>
          </w:p>
        </w:tc>
      </w:tr>
      <w:tr w:rsidR="00000000" w14:paraId="5F35E783" w14:textId="77777777">
        <w:trPr>
          <w:divId w:val="1322779201"/>
        </w:trPr>
        <w:tc>
          <w:tcPr>
            <w:tcW w:w="0" w:type="auto"/>
            <w:gridSpan w:val="3"/>
            <w:shd w:val="clear" w:color="auto" w:fill="CCEEFF"/>
            <w:tcMar>
              <w:top w:w="30" w:type="dxa"/>
              <w:left w:w="20" w:type="dxa"/>
              <w:bottom w:w="30" w:type="dxa"/>
              <w:right w:w="20" w:type="dxa"/>
            </w:tcMar>
            <w:vAlign w:val="bottom"/>
            <w:hideMark/>
          </w:tcPr>
          <w:p w14:paraId="0402EAA0" w14:textId="77777777" w:rsidR="00000000" w:rsidRDefault="000A3118">
            <w:pPr>
              <w:divId w:val="212696547"/>
              <w:rPr>
                <w:rFonts w:eastAsia="Times New Roman"/>
              </w:rPr>
            </w:pPr>
            <w:r>
              <w:rPr>
                <w:rFonts w:eastAsia="Times New Roman"/>
                <w:color w:val="000000"/>
                <w:sz w:val="16"/>
                <w:szCs w:val="16"/>
              </w:rPr>
              <w:t>Other revenues (excluded from ASC 606)</w:t>
            </w:r>
            <w:r>
              <w:rPr>
                <w:rFonts w:eastAsia="Times New Roman"/>
                <w:color w:val="000000"/>
                <w:sz w:val="16"/>
                <w:szCs w:val="16"/>
              </w:rPr>
              <w:t xml:space="preserve"> </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7EEFB2F8"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B1D2CC" w14:textId="77777777" w:rsidR="00000000" w:rsidRDefault="000A3118">
            <w:pPr>
              <w:jc w:val="right"/>
              <w:rPr>
                <w:rFonts w:eastAsia="Times New Roman"/>
              </w:rPr>
            </w:pPr>
            <w:r>
              <w:rPr>
                <w:rFonts w:eastAsia="Times New Roman"/>
                <w:color w:val="000000"/>
                <w:sz w:val="16"/>
                <w:szCs w:val="16"/>
              </w:rPr>
              <w:t>160.8 </w:t>
            </w:r>
          </w:p>
        </w:tc>
        <w:tc>
          <w:tcPr>
            <w:tcW w:w="0" w:type="auto"/>
            <w:shd w:val="clear" w:color="auto" w:fill="CCEEFF"/>
            <w:tcMar>
              <w:top w:w="30" w:type="dxa"/>
              <w:left w:w="0" w:type="dxa"/>
              <w:bottom w:w="30" w:type="dxa"/>
              <w:right w:w="20" w:type="dxa"/>
            </w:tcMar>
            <w:vAlign w:val="bottom"/>
            <w:hideMark/>
          </w:tcPr>
          <w:p w14:paraId="5CF0BBF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66F29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5E6EB" w14:textId="77777777" w:rsidR="00000000" w:rsidRDefault="000A3118">
            <w:pPr>
              <w:jc w:val="right"/>
              <w:rPr>
                <w:rFonts w:eastAsia="Times New Roman"/>
              </w:rPr>
            </w:pPr>
            <w:r>
              <w:rPr>
                <w:rFonts w:eastAsia="Times New Roman"/>
                <w:color w:val="000000"/>
                <w:sz w:val="16"/>
                <w:szCs w:val="16"/>
              </w:rPr>
              <w:t>109.4 </w:t>
            </w:r>
          </w:p>
        </w:tc>
        <w:tc>
          <w:tcPr>
            <w:tcW w:w="0" w:type="auto"/>
            <w:shd w:val="clear" w:color="auto" w:fill="CCEEFF"/>
            <w:tcMar>
              <w:top w:w="30" w:type="dxa"/>
              <w:left w:w="0" w:type="dxa"/>
              <w:bottom w:w="30" w:type="dxa"/>
              <w:right w:w="20" w:type="dxa"/>
            </w:tcMar>
            <w:vAlign w:val="bottom"/>
            <w:hideMark/>
          </w:tcPr>
          <w:p w14:paraId="1828B19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0EC9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F1C37C" w14:textId="77777777" w:rsidR="00000000" w:rsidRDefault="000A3118">
            <w:pPr>
              <w:jc w:val="right"/>
              <w:rPr>
                <w:rFonts w:eastAsia="Times New Roman"/>
              </w:rPr>
            </w:pPr>
            <w:r>
              <w:rPr>
                <w:rFonts w:eastAsia="Times New Roman"/>
                <w:color w:val="000000"/>
                <w:sz w:val="16"/>
                <w:szCs w:val="16"/>
              </w:rPr>
              <w:t>582.8 </w:t>
            </w:r>
          </w:p>
        </w:tc>
        <w:tc>
          <w:tcPr>
            <w:tcW w:w="0" w:type="auto"/>
            <w:shd w:val="clear" w:color="auto" w:fill="CCEEFF"/>
            <w:tcMar>
              <w:top w:w="30" w:type="dxa"/>
              <w:left w:w="0" w:type="dxa"/>
              <w:bottom w:w="30" w:type="dxa"/>
              <w:right w:w="20" w:type="dxa"/>
            </w:tcMar>
            <w:vAlign w:val="bottom"/>
            <w:hideMark/>
          </w:tcPr>
          <w:p w14:paraId="74E5497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0E0E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01DE02" w14:textId="77777777" w:rsidR="00000000" w:rsidRDefault="000A3118">
            <w:pPr>
              <w:jc w:val="right"/>
              <w:rPr>
                <w:rFonts w:eastAsia="Times New Roman"/>
              </w:rPr>
            </w:pPr>
            <w:r>
              <w:rPr>
                <w:rFonts w:eastAsia="Times New Roman"/>
                <w:color w:val="000000"/>
                <w:sz w:val="16"/>
                <w:szCs w:val="16"/>
              </w:rPr>
              <w:t>314.2 </w:t>
            </w:r>
          </w:p>
        </w:tc>
        <w:tc>
          <w:tcPr>
            <w:tcW w:w="0" w:type="auto"/>
            <w:shd w:val="clear" w:color="auto" w:fill="CCEEFF"/>
            <w:tcMar>
              <w:top w:w="30" w:type="dxa"/>
              <w:left w:w="0" w:type="dxa"/>
              <w:bottom w:w="30" w:type="dxa"/>
              <w:right w:w="20" w:type="dxa"/>
            </w:tcMar>
            <w:vAlign w:val="bottom"/>
            <w:hideMark/>
          </w:tcPr>
          <w:p w14:paraId="19AEBA83" w14:textId="77777777" w:rsidR="00000000" w:rsidRDefault="000A3118">
            <w:pPr>
              <w:jc w:val="right"/>
              <w:rPr>
                <w:rFonts w:eastAsia="Times New Roman"/>
              </w:rPr>
            </w:pPr>
          </w:p>
        </w:tc>
      </w:tr>
      <w:tr w:rsidR="00000000" w14:paraId="586049D8" w14:textId="77777777">
        <w:trPr>
          <w:divId w:val="1322779201"/>
          <w:trHeight w:val="240"/>
        </w:trPr>
        <w:tc>
          <w:tcPr>
            <w:tcW w:w="0" w:type="auto"/>
            <w:gridSpan w:val="3"/>
            <w:shd w:val="clear" w:color="auto" w:fill="FFFFFF"/>
            <w:tcMar>
              <w:top w:w="0" w:type="dxa"/>
              <w:left w:w="20" w:type="dxa"/>
              <w:bottom w:w="0" w:type="dxa"/>
              <w:right w:w="20" w:type="dxa"/>
            </w:tcMar>
            <w:vAlign w:val="center"/>
            <w:hideMark/>
          </w:tcPr>
          <w:p w14:paraId="31FF8813" w14:textId="77777777" w:rsidR="00000000" w:rsidRDefault="000A311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140191"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8CE827"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B2D6C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E6ED2F"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25E9D5"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886E57"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FDD0E7"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440AD5" w14:textId="77777777" w:rsidR="00000000" w:rsidRDefault="000A3118">
            <w:pPr>
              <w:rPr>
                <w:rFonts w:eastAsia="Times New Roman"/>
                <w:sz w:val="20"/>
                <w:szCs w:val="20"/>
              </w:rPr>
            </w:pPr>
          </w:p>
        </w:tc>
      </w:tr>
      <w:tr w:rsidR="00000000" w14:paraId="69A3F25C" w14:textId="77777777">
        <w:trPr>
          <w:divId w:val="1322779201"/>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0FDD3B7" w14:textId="77777777" w:rsidR="00000000" w:rsidRDefault="000A3118">
            <w:pPr>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4AFCAB4"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00303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465E46" w14:textId="77777777" w:rsidR="00000000" w:rsidRDefault="000A3118">
            <w:pPr>
              <w:jc w:val="right"/>
              <w:rPr>
                <w:rFonts w:eastAsia="Times New Roman"/>
              </w:rPr>
            </w:pPr>
            <w:r>
              <w:rPr>
                <w:rFonts w:eastAsia="Times New Roman"/>
                <w:color w:val="000000"/>
                <w:sz w:val="16"/>
                <w:szCs w:val="16"/>
              </w:rPr>
              <w:t>4,482.7 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9B6CAB"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8A4DE63"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F43A6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7080D8" w14:textId="77777777" w:rsidR="00000000" w:rsidRDefault="000A3118">
            <w:pPr>
              <w:jc w:val="right"/>
              <w:rPr>
                <w:rFonts w:eastAsia="Times New Roman"/>
              </w:rPr>
            </w:pPr>
            <w:r>
              <w:rPr>
                <w:rFonts w:eastAsia="Times New Roman"/>
                <w:color w:val="000000"/>
                <w:sz w:val="16"/>
                <w:szCs w:val="16"/>
              </w:rPr>
              <w:t>9,322.7 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0B9DA3"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AAB2E68"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2054D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630509" w14:textId="77777777" w:rsidR="00000000" w:rsidRDefault="000A3118">
            <w:pPr>
              <w:jc w:val="right"/>
              <w:rPr>
                <w:rFonts w:eastAsia="Times New Roman"/>
              </w:rPr>
            </w:pPr>
            <w:r>
              <w:rPr>
                <w:rFonts w:eastAsia="Times New Roman"/>
                <w:color w:val="000000"/>
                <w:sz w:val="16"/>
                <w:szCs w:val="16"/>
              </w:rPr>
              <w:t>15,656.2 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C4F0B3"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A52F956"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34514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1DEB80" w14:textId="77777777" w:rsidR="00000000" w:rsidRDefault="000A3118">
            <w:pPr>
              <w:jc w:val="right"/>
              <w:rPr>
                <w:rFonts w:eastAsia="Times New Roman"/>
              </w:rPr>
            </w:pPr>
            <w:r>
              <w:rPr>
                <w:rFonts w:eastAsia="Times New Roman"/>
                <w:color w:val="000000"/>
                <w:sz w:val="16"/>
                <w:szCs w:val="16"/>
              </w:rPr>
              <w:t>27,460.9 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E072E1" w14:textId="77777777" w:rsidR="00000000" w:rsidRDefault="000A3118">
            <w:pPr>
              <w:jc w:val="right"/>
              <w:rPr>
                <w:rFonts w:eastAsia="Times New Roman"/>
              </w:rPr>
            </w:pPr>
          </w:p>
        </w:tc>
      </w:tr>
    </w:tbl>
    <w:p w14:paraId="51959E58" w14:textId="77777777" w:rsidR="00000000" w:rsidRDefault="000A3118">
      <w:pPr>
        <w:jc w:val="both"/>
        <w:divId w:val="1888488510"/>
        <w:rPr>
          <w:rFonts w:eastAsia="Times New Roman"/>
        </w:rPr>
      </w:pPr>
      <w:r>
        <w:rPr>
          <w:rFonts w:eastAsia="Times New Roman"/>
          <w:color w:val="000000"/>
          <w:sz w:val="16"/>
          <w:szCs w:val="16"/>
        </w:rPr>
        <w:t>   </w:t>
      </w:r>
      <w:r>
        <w:rPr>
          <w:rFonts w:eastAsia="Times New Roman"/>
          <w:color w:val="000000"/>
          <w:sz w:val="16"/>
          <w:szCs w:val="16"/>
        </w:rPr>
        <w:t> </w:t>
      </w: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Includes revenue from leases and other transactions that we account for under separate guidance.</w:t>
      </w:r>
    </w:p>
    <w:p w14:paraId="73E87786" w14:textId="77777777" w:rsidR="00000000" w:rsidRDefault="000A3118">
      <w:pPr>
        <w:ind w:firstLine="360"/>
        <w:jc w:val="both"/>
        <w:rPr>
          <w:rFonts w:eastAsia="Times New Roman"/>
        </w:rPr>
      </w:pPr>
    </w:p>
    <w:p w14:paraId="383E3C8D" w14:textId="77777777" w:rsidR="00000000" w:rsidRDefault="000A3118">
      <w:pPr>
        <w:jc w:val="center"/>
        <w:divId w:val="719090252"/>
        <w:rPr>
          <w:rFonts w:eastAsia="Times New Roman"/>
        </w:rPr>
      </w:pPr>
      <w:r>
        <w:rPr>
          <w:rFonts w:eastAsia="Times New Roman"/>
          <w:color w:val="000000"/>
          <w:sz w:val="20"/>
          <w:szCs w:val="20"/>
        </w:rPr>
        <w:t>20</w:t>
      </w:r>
    </w:p>
    <w:p w14:paraId="46A5C437" w14:textId="77777777" w:rsidR="00000000" w:rsidRDefault="000A3118">
      <w:pPr>
        <w:rPr>
          <w:rFonts w:eastAsia="Times New Roman"/>
        </w:rPr>
      </w:pPr>
      <w:r>
        <w:rPr>
          <w:rFonts w:eastAsia="Times New Roman"/>
        </w:rPr>
        <w:pict w14:anchorId="12B6D21B">
          <v:rect id="_x0000_i1048" style="width:0;height:1.5pt" o:hralign="center" o:hrstd="t" o:hr="t" fillcolor="#a0a0a0" stroked="f"/>
        </w:pict>
      </w:r>
    </w:p>
    <w:p w14:paraId="60654766" w14:textId="77777777" w:rsidR="00000000" w:rsidRDefault="000A3118">
      <w:pPr>
        <w:divId w:val="1496191500"/>
        <w:rPr>
          <w:rFonts w:eastAsia="Times New Roman"/>
        </w:rPr>
      </w:pPr>
    </w:p>
    <w:p w14:paraId="2870F098" w14:textId="77777777" w:rsidR="00000000" w:rsidRDefault="000A3118">
      <w:pPr>
        <w:ind w:firstLine="360"/>
        <w:jc w:val="both"/>
        <w:rPr>
          <w:rFonts w:eastAsia="Times New Roman"/>
        </w:rPr>
      </w:pPr>
      <w:r>
        <w:rPr>
          <w:rFonts w:eastAsia="Times New Roman"/>
          <w:color w:val="000000"/>
          <w:sz w:val="20"/>
          <w:szCs w:val="20"/>
        </w:rPr>
        <w:t>The nature of the receivables related to revenue from contracts with customers and Other revenues (excluded from ASC 606) are substantially similar, as they are both generated from transactions with the same type of counterparties (e.g., separate fuel sale</w:t>
      </w:r>
      <w:r>
        <w:rPr>
          <w:rFonts w:eastAsia="Times New Roman"/>
          <w:color w:val="000000"/>
          <w:sz w:val="20"/>
          <w:szCs w:val="20"/>
        </w:rPr>
        <w:t xml:space="preserve">s and storage lease with the same counterparty) and are entered into utilizing the same credit approval and monitoring procedures for all customers. As such, we believe the risk associated with the cash flows from the different types of receivables is not </w:t>
      </w:r>
      <w:r>
        <w:rPr>
          <w:rFonts w:eastAsia="Times New Roman"/>
          <w:color w:val="000000"/>
          <w:sz w:val="20"/>
          <w:szCs w:val="20"/>
        </w:rPr>
        <w:t xml:space="preserve">meaningful to separately disaggregate the accounts receivable balance presented on our Consolidated Balance Sheet. Furthermore, as of September 30, 2020 and </w:t>
      </w:r>
      <w:r>
        <w:rPr>
          <w:rFonts w:eastAsia="Times New Roman"/>
          <w:color w:val="000000"/>
          <w:sz w:val="20"/>
          <w:szCs w:val="20"/>
          <w:shd w:val="clear" w:color="auto" w:fill="FFFFFF"/>
        </w:rPr>
        <w:t>December 31, 2019</w:t>
      </w:r>
      <w:r>
        <w:rPr>
          <w:rFonts w:eastAsia="Times New Roman"/>
          <w:color w:val="000000"/>
          <w:sz w:val="20"/>
          <w:szCs w:val="20"/>
        </w:rPr>
        <w:t xml:space="preserve">, the contract assets and contract liabilities recognized by the Company were not </w:t>
      </w:r>
      <w:r>
        <w:rPr>
          <w:rFonts w:eastAsia="Times New Roman"/>
          <w:color w:val="000000"/>
          <w:sz w:val="20"/>
          <w:szCs w:val="20"/>
        </w:rPr>
        <w:t>material.</w:t>
      </w:r>
    </w:p>
    <w:p w14:paraId="0FCAB736" w14:textId="77777777" w:rsidR="00000000" w:rsidRDefault="000A3118">
      <w:pPr>
        <w:ind w:firstLine="360"/>
        <w:jc w:val="both"/>
        <w:rPr>
          <w:rFonts w:eastAsia="Times New Roman"/>
        </w:rPr>
      </w:pPr>
    </w:p>
    <w:p w14:paraId="6EE34ABC" w14:textId="77777777" w:rsidR="00000000" w:rsidRDefault="000A3118">
      <w:pPr>
        <w:ind w:firstLine="360"/>
        <w:jc w:val="both"/>
        <w:rPr>
          <w:rFonts w:eastAsia="Times New Roman"/>
        </w:rPr>
      </w:pPr>
    </w:p>
    <w:p w14:paraId="20B71060" w14:textId="77777777" w:rsidR="00000000" w:rsidRDefault="000A3118">
      <w:pPr>
        <w:divId w:val="1297446463"/>
        <w:rPr>
          <w:rFonts w:eastAsia="Times New Roman"/>
        </w:rPr>
      </w:pPr>
      <w:r>
        <w:rPr>
          <w:rFonts w:eastAsia="Times New Roman"/>
          <w:b/>
          <w:bCs/>
          <w:color w:val="000000"/>
          <w:sz w:val="20"/>
          <w:szCs w:val="20"/>
        </w:rPr>
        <w:t>10. Business Segments</w:t>
      </w:r>
    </w:p>
    <w:p w14:paraId="29FBF2F1" w14:textId="77777777" w:rsidR="00000000" w:rsidRDefault="000A3118">
      <w:pPr>
        <w:ind w:firstLine="720"/>
        <w:divId w:val="1780757458"/>
        <w:rPr>
          <w:rFonts w:eastAsia="Times New Roman"/>
        </w:rPr>
      </w:pPr>
      <w:r>
        <w:rPr>
          <w:rFonts w:eastAsia="Times New Roman"/>
          <w:color w:val="000000"/>
          <w:sz w:val="20"/>
          <w:szCs w:val="20"/>
        </w:rPr>
        <w:t> </w:t>
      </w:r>
    </w:p>
    <w:p w14:paraId="41A3C6A4" w14:textId="77777777" w:rsidR="00000000" w:rsidRDefault="000A3118">
      <w:pPr>
        <w:ind w:firstLine="360"/>
        <w:jc w:val="both"/>
        <w:rPr>
          <w:rFonts w:eastAsia="Times New Roman"/>
        </w:rPr>
      </w:pPr>
      <w:r>
        <w:rPr>
          <w:rFonts w:eastAsia="Times New Roman"/>
          <w:color w:val="000000"/>
          <w:sz w:val="20"/>
          <w:szCs w:val="20"/>
        </w:rPr>
        <w:t xml:space="preserve">We operate in three </w:t>
      </w:r>
      <w:r>
        <w:rPr>
          <w:rFonts w:eastAsia="Times New Roman"/>
          <w:color w:val="000000"/>
          <w:sz w:val="20"/>
          <w:szCs w:val="20"/>
        </w:rPr>
        <w:t>reportable segments consisting of aviation, land and marine. Corporate expenses are allocated to the segments based on usage, where possible, or on other factors according to the nature of the activity. Our operating segments are determined based on the di</w:t>
      </w:r>
      <w:r>
        <w:rPr>
          <w:rFonts w:eastAsia="Times New Roman"/>
          <w:color w:val="000000"/>
          <w:sz w:val="20"/>
          <w:szCs w:val="20"/>
        </w:rPr>
        <w:t>fferent markets in which we provide products and services, which are defined primarily by the customers and the products and services provided to those customers. Accordingly, our aviation, land and marine segments are organized based on the specific marke</w:t>
      </w:r>
      <w:r>
        <w:rPr>
          <w:rFonts w:eastAsia="Times New Roman"/>
          <w:color w:val="000000"/>
          <w:sz w:val="20"/>
          <w:szCs w:val="20"/>
        </w:rPr>
        <w:t>ts their functional business components serve, which are primarily businesses and governmental customers operating in those respective markets.</w:t>
      </w:r>
    </w:p>
    <w:p w14:paraId="4308592B" w14:textId="77777777" w:rsidR="00000000" w:rsidRDefault="000A3118">
      <w:pPr>
        <w:ind w:firstLine="720"/>
        <w:divId w:val="361974470"/>
        <w:rPr>
          <w:rFonts w:eastAsia="Times New Roman"/>
        </w:rPr>
      </w:pPr>
    </w:p>
    <w:p w14:paraId="3251AD6D" w14:textId="77777777" w:rsidR="00000000" w:rsidRDefault="000A3118">
      <w:pPr>
        <w:ind w:firstLine="360"/>
        <w:jc w:val="both"/>
        <w:rPr>
          <w:rFonts w:eastAsia="Times New Roman"/>
        </w:rPr>
      </w:pPr>
      <w:r>
        <w:rPr>
          <w:rFonts w:eastAsia="Times New Roman"/>
          <w:color w:val="000000"/>
          <w:sz w:val="20"/>
          <w:szCs w:val="20"/>
        </w:rPr>
        <w:t xml:space="preserve">In our aviation segment, we offer fuel and related products and services to major commercial airlines, second </w:t>
      </w:r>
      <w:r>
        <w:rPr>
          <w:rFonts w:eastAsia="Times New Roman"/>
          <w:color w:val="000000"/>
          <w:sz w:val="20"/>
          <w:szCs w:val="20"/>
        </w:rPr>
        <w:t>and third-tier airlines, cargo carriers, regional and low cost carriers, airports, fixed based operators, corporate fleets, fractional operators, private aircraft. In addition, we supply products and services to U.S. and foreign government, intergovernment</w:t>
      </w:r>
      <w:r>
        <w:rPr>
          <w:rFonts w:eastAsia="Times New Roman"/>
          <w:color w:val="000000"/>
          <w:sz w:val="20"/>
          <w:szCs w:val="20"/>
        </w:rPr>
        <w:t>al and military customers, such as the North Atlantic Treaty Organization (NATO) and the U.S. Defense Logistics Agency.</w:t>
      </w:r>
    </w:p>
    <w:p w14:paraId="0276EA2B" w14:textId="77777777" w:rsidR="00000000" w:rsidRDefault="000A3118">
      <w:pPr>
        <w:ind w:firstLine="360"/>
        <w:jc w:val="both"/>
        <w:rPr>
          <w:rFonts w:eastAsia="Times New Roman"/>
        </w:rPr>
      </w:pPr>
    </w:p>
    <w:p w14:paraId="2702369C" w14:textId="77777777" w:rsidR="00000000" w:rsidRDefault="000A3118">
      <w:pPr>
        <w:ind w:firstLine="360"/>
        <w:jc w:val="both"/>
        <w:rPr>
          <w:rFonts w:eastAsia="Times New Roman"/>
        </w:rPr>
      </w:pPr>
      <w:r>
        <w:rPr>
          <w:rFonts w:eastAsia="Times New Roman"/>
          <w:color w:val="000000"/>
          <w:sz w:val="20"/>
          <w:szCs w:val="20"/>
        </w:rPr>
        <w:t>In our land segment, we offer fuel, lubricants, power and natural gas solutions through World Kinect Energy Services, our global energ</w:t>
      </w:r>
      <w:r>
        <w:rPr>
          <w:rFonts w:eastAsia="Times New Roman"/>
          <w:color w:val="000000"/>
          <w:sz w:val="20"/>
          <w:szCs w:val="20"/>
        </w:rPr>
        <w:t>y management brand, our energy management services platform, and related products and services to customers including petroleum distributors operating in the land transportation market, retail petroleum operators, and industrial, commercial, residential an</w:t>
      </w:r>
      <w:r>
        <w:rPr>
          <w:rFonts w:eastAsia="Times New Roman"/>
          <w:color w:val="000000"/>
          <w:sz w:val="20"/>
          <w:szCs w:val="20"/>
        </w:rPr>
        <w:t>d government customers.</w:t>
      </w:r>
    </w:p>
    <w:p w14:paraId="1AF5C0FD" w14:textId="77777777" w:rsidR="00000000" w:rsidRDefault="000A3118">
      <w:pPr>
        <w:ind w:firstLine="360"/>
        <w:jc w:val="both"/>
        <w:rPr>
          <w:rFonts w:eastAsia="Times New Roman"/>
        </w:rPr>
      </w:pPr>
    </w:p>
    <w:p w14:paraId="60F96ADF" w14:textId="77777777" w:rsidR="00000000" w:rsidRDefault="000A3118">
      <w:pPr>
        <w:ind w:firstLine="360"/>
        <w:jc w:val="both"/>
        <w:rPr>
          <w:rFonts w:eastAsia="Times New Roman"/>
        </w:rPr>
      </w:pPr>
      <w:r>
        <w:rPr>
          <w:rFonts w:eastAsia="Times New Roman"/>
          <w:color w:val="000000"/>
          <w:sz w:val="20"/>
          <w:szCs w:val="20"/>
        </w:rPr>
        <w:t>Our marine segment product and service offerings include fuel, lubricants and related products and services to a broad base of customers, including international container and tanker fleets, commercial cruise lines, yachts and tim</w:t>
      </w:r>
      <w:r>
        <w:rPr>
          <w:rFonts w:eastAsia="Times New Roman"/>
          <w:color w:val="000000"/>
          <w:sz w:val="20"/>
          <w:szCs w:val="20"/>
        </w:rPr>
        <w:t xml:space="preserve">e charter operators, offshore rig owners and operators, the U.S. and foreign governments as well as other fuel suppliers. </w:t>
      </w:r>
    </w:p>
    <w:p w14:paraId="5B85D95B" w14:textId="77777777" w:rsidR="00000000" w:rsidRDefault="000A3118">
      <w:pPr>
        <w:ind w:firstLine="360"/>
        <w:jc w:val="both"/>
        <w:rPr>
          <w:rFonts w:eastAsia="Times New Roman"/>
        </w:rPr>
      </w:pPr>
    </w:p>
    <w:p w14:paraId="38F06AED" w14:textId="77777777" w:rsidR="00000000" w:rsidRDefault="000A3118">
      <w:pPr>
        <w:ind w:firstLine="360"/>
        <w:jc w:val="both"/>
        <w:rPr>
          <w:rFonts w:eastAsia="Times New Roman"/>
        </w:rPr>
      </w:pPr>
      <w:r>
        <w:rPr>
          <w:rFonts w:eastAsia="Times New Roman"/>
          <w:color w:val="000000"/>
          <w:sz w:val="20"/>
          <w:szCs w:val="20"/>
        </w:rPr>
        <w:t>Within each of our segments, we may enter into derivative contracts to mitigate the risk of market price fluctuations and also to o</w:t>
      </w:r>
      <w:r>
        <w:rPr>
          <w:rFonts w:eastAsia="Times New Roman"/>
          <w:color w:val="000000"/>
          <w:sz w:val="20"/>
          <w:szCs w:val="20"/>
        </w:rPr>
        <w:t>ffer our customers fuel pricing alternatives to meet their needs.</w:t>
      </w:r>
    </w:p>
    <w:p w14:paraId="7A42CB07" w14:textId="77777777" w:rsidR="00000000" w:rsidRDefault="000A3118">
      <w:pPr>
        <w:ind w:firstLine="720"/>
        <w:divId w:val="927424116"/>
        <w:rPr>
          <w:rFonts w:eastAsia="Times New Roman"/>
        </w:rPr>
      </w:pPr>
      <w:r>
        <w:rPr>
          <w:rFonts w:eastAsia="Times New Roman"/>
          <w:color w:val="000000"/>
          <w:sz w:val="20"/>
          <w:szCs w:val="20"/>
        </w:rPr>
        <w:t> </w:t>
      </w:r>
    </w:p>
    <w:p w14:paraId="6F73CFF0" w14:textId="77777777" w:rsidR="00000000" w:rsidRDefault="000A3118">
      <w:pPr>
        <w:jc w:val="center"/>
        <w:divId w:val="556864339"/>
        <w:rPr>
          <w:rFonts w:eastAsia="Times New Roman"/>
        </w:rPr>
      </w:pPr>
      <w:r>
        <w:rPr>
          <w:rFonts w:eastAsia="Times New Roman"/>
          <w:color w:val="000000"/>
          <w:sz w:val="20"/>
          <w:szCs w:val="20"/>
        </w:rPr>
        <w:t>21</w:t>
      </w:r>
    </w:p>
    <w:p w14:paraId="48FD28E4" w14:textId="77777777" w:rsidR="00000000" w:rsidRDefault="000A3118">
      <w:pPr>
        <w:rPr>
          <w:rFonts w:eastAsia="Times New Roman"/>
        </w:rPr>
      </w:pPr>
      <w:r>
        <w:rPr>
          <w:rFonts w:eastAsia="Times New Roman"/>
        </w:rPr>
        <w:pict w14:anchorId="0AA70624">
          <v:rect id="_x0000_i1049" style="width:0;height:1.5pt" o:hralign="center" o:hrstd="t" o:hr="t" fillcolor="#a0a0a0" stroked="f"/>
        </w:pict>
      </w:r>
    </w:p>
    <w:p w14:paraId="331692AA" w14:textId="77777777" w:rsidR="00000000" w:rsidRDefault="000A3118">
      <w:pPr>
        <w:divId w:val="1664968117"/>
        <w:rPr>
          <w:rFonts w:eastAsia="Times New Roman"/>
        </w:rPr>
      </w:pPr>
    </w:p>
    <w:p w14:paraId="04054373" w14:textId="77777777" w:rsidR="00000000" w:rsidRDefault="000A3118">
      <w:pPr>
        <w:ind w:firstLine="360"/>
        <w:jc w:val="both"/>
        <w:divId w:val="458185526"/>
        <w:rPr>
          <w:rFonts w:eastAsia="Times New Roman"/>
        </w:rPr>
      </w:pPr>
      <w:r>
        <w:rPr>
          <w:rFonts w:eastAsia="Times New Roman"/>
          <w:color w:val="000000"/>
          <w:sz w:val="20"/>
          <w:szCs w:val="20"/>
        </w:rPr>
        <w:t>Information concerning our revenue, gross profit and income from operations by reportable segment is as follows for the three and nine months ende</w:t>
      </w:r>
      <w:r>
        <w:rPr>
          <w:rFonts w:eastAsia="Times New Roman"/>
          <w:color w:val="000000"/>
          <w:sz w:val="20"/>
          <w:szCs w:val="20"/>
        </w:rPr>
        <w:t xml:space="preserve">d September 30, 2020 and </w:t>
      </w:r>
      <w:r>
        <w:rPr>
          <w:rFonts w:eastAsia="Times New Roman"/>
          <w:color w:val="000000"/>
          <w:sz w:val="20"/>
          <w:szCs w:val="20"/>
          <w:shd w:val="clear" w:color="auto" w:fill="FFFFFF"/>
        </w:rPr>
        <w:t>2019</w:t>
      </w:r>
      <w:r>
        <w:rPr>
          <w:rFonts w:eastAsia="Times New Roman"/>
          <w:color w:val="000000"/>
          <w:sz w:val="20"/>
          <w:szCs w:val="20"/>
        </w:rPr>
        <w:t xml:space="preserve">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276"/>
        <w:gridCol w:w="37"/>
        <w:gridCol w:w="36"/>
        <w:gridCol w:w="36"/>
        <w:gridCol w:w="36"/>
        <w:gridCol w:w="100"/>
        <w:gridCol w:w="740"/>
        <w:gridCol w:w="36"/>
        <w:gridCol w:w="36"/>
        <w:gridCol w:w="36"/>
        <w:gridCol w:w="36"/>
        <w:gridCol w:w="100"/>
        <w:gridCol w:w="753"/>
        <w:gridCol w:w="36"/>
        <w:gridCol w:w="36"/>
        <w:gridCol w:w="36"/>
        <w:gridCol w:w="36"/>
        <w:gridCol w:w="100"/>
        <w:gridCol w:w="742"/>
        <w:gridCol w:w="36"/>
        <w:gridCol w:w="36"/>
        <w:gridCol w:w="36"/>
        <w:gridCol w:w="36"/>
        <w:gridCol w:w="100"/>
        <w:gridCol w:w="742"/>
        <w:gridCol w:w="36"/>
      </w:tblGrid>
      <w:tr w:rsidR="00000000" w14:paraId="58FA67D5" w14:textId="77777777">
        <w:trPr>
          <w:divId w:val="2064597721"/>
        </w:trPr>
        <w:tc>
          <w:tcPr>
            <w:tcW w:w="50" w:type="pct"/>
            <w:vAlign w:val="center"/>
            <w:hideMark/>
          </w:tcPr>
          <w:p w14:paraId="58F95563" w14:textId="77777777" w:rsidR="00000000" w:rsidRDefault="000A3118">
            <w:pPr>
              <w:ind w:firstLine="360"/>
              <w:jc w:val="both"/>
              <w:rPr>
                <w:rFonts w:eastAsia="Times New Roman"/>
              </w:rPr>
            </w:pPr>
          </w:p>
        </w:tc>
        <w:tc>
          <w:tcPr>
            <w:tcW w:w="2598" w:type="pct"/>
            <w:vAlign w:val="center"/>
            <w:hideMark/>
          </w:tcPr>
          <w:p w14:paraId="704DA329" w14:textId="77777777" w:rsidR="00000000" w:rsidRDefault="000A3118">
            <w:pPr>
              <w:rPr>
                <w:rFonts w:eastAsia="Times New Roman"/>
                <w:sz w:val="20"/>
                <w:szCs w:val="20"/>
              </w:rPr>
            </w:pPr>
          </w:p>
        </w:tc>
        <w:tc>
          <w:tcPr>
            <w:tcW w:w="5" w:type="pct"/>
            <w:vAlign w:val="center"/>
            <w:hideMark/>
          </w:tcPr>
          <w:p w14:paraId="6D7940D2" w14:textId="77777777" w:rsidR="00000000" w:rsidRDefault="000A3118">
            <w:pPr>
              <w:rPr>
                <w:rFonts w:eastAsia="Times New Roman"/>
                <w:sz w:val="20"/>
                <w:szCs w:val="20"/>
              </w:rPr>
            </w:pPr>
          </w:p>
        </w:tc>
        <w:tc>
          <w:tcPr>
            <w:tcW w:w="5" w:type="pct"/>
            <w:vAlign w:val="center"/>
            <w:hideMark/>
          </w:tcPr>
          <w:p w14:paraId="5FB8ABE7" w14:textId="77777777" w:rsidR="00000000" w:rsidRDefault="000A3118">
            <w:pPr>
              <w:rPr>
                <w:rFonts w:eastAsia="Times New Roman"/>
                <w:sz w:val="20"/>
                <w:szCs w:val="20"/>
              </w:rPr>
            </w:pPr>
          </w:p>
        </w:tc>
        <w:tc>
          <w:tcPr>
            <w:tcW w:w="26" w:type="pct"/>
            <w:vAlign w:val="center"/>
            <w:hideMark/>
          </w:tcPr>
          <w:p w14:paraId="4AA7A13F" w14:textId="77777777" w:rsidR="00000000" w:rsidRDefault="000A3118">
            <w:pPr>
              <w:rPr>
                <w:rFonts w:eastAsia="Times New Roman"/>
                <w:sz w:val="20"/>
                <w:szCs w:val="20"/>
              </w:rPr>
            </w:pPr>
          </w:p>
        </w:tc>
        <w:tc>
          <w:tcPr>
            <w:tcW w:w="5" w:type="pct"/>
            <w:vAlign w:val="center"/>
            <w:hideMark/>
          </w:tcPr>
          <w:p w14:paraId="1BE1D00C" w14:textId="77777777" w:rsidR="00000000" w:rsidRDefault="000A3118">
            <w:pPr>
              <w:rPr>
                <w:rFonts w:eastAsia="Times New Roman"/>
                <w:sz w:val="20"/>
                <w:szCs w:val="20"/>
              </w:rPr>
            </w:pPr>
          </w:p>
        </w:tc>
        <w:tc>
          <w:tcPr>
            <w:tcW w:w="50" w:type="pct"/>
            <w:vAlign w:val="center"/>
            <w:hideMark/>
          </w:tcPr>
          <w:p w14:paraId="40F70DE3" w14:textId="77777777" w:rsidR="00000000" w:rsidRDefault="000A3118">
            <w:pPr>
              <w:rPr>
                <w:rFonts w:eastAsia="Times New Roman"/>
                <w:sz w:val="20"/>
                <w:szCs w:val="20"/>
              </w:rPr>
            </w:pPr>
          </w:p>
        </w:tc>
        <w:tc>
          <w:tcPr>
            <w:tcW w:w="493" w:type="pct"/>
            <w:vAlign w:val="center"/>
            <w:hideMark/>
          </w:tcPr>
          <w:p w14:paraId="60DC99C6" w14:textId="77777777" w:rsidR="00000000" w:rsidRDefault="000A3118">
            <w:pPr>
              <w:rPr>
                <w:rFonts w:eastAsia="Times New Roman"/>
                <w:sz w:val="20"/>
                <w:szCs w:val="20"/>
              </w:rPr>
            </w:pPr>
          </w:p>
        </w:tc>
        <w:tc>
          <w:tcPr>
            <w:tcW w:w="5" w:type="pct"/>
            <w:vAlign w:val="center"/>
            <w:hideMark/>
          </w:tcPr>
          <w:p w14:paraId="0A0438BE" w14:textId="77777777" w:rsidR="00000000" w:rsidRDefault="000A3118">
            <w:pPr>
              <w:rPr>
                <w:rFonts w:eastAsia="Times New Roman"/>
                <w:sz w:val="20"/>
                <w:szCs w:val="20"/>
              </w:rPr>
            </w:pPr>
          </w:p>
        </w:tc>
        <w:tc>
          <w:tcPr>
            <w:tcW w:w="5" w:type="pct"/>
            <w:vAlign w:val="center"/>
            <w:hideMark/>
          </w:tcPr>
          <w:p w14:paraId="5F019582" w14:textId="77777777" w:rsidR="00000000" w:rsidRDefault="000A3118">
            <w:pPr>
              <w:rPr>
                <w:rFonts w:eastAsia="Times New Roman"/>
                <w:sz w:val="20"/>
                <w:szCs w:val="20"/>
              </w:rPr>
            </w:pPr>
          </w:p>
        </w:tc>
        <w:tc>
          <w:tcPr>
            <w:tcW w:w="26" w:type="pct"/>
            <w:vAlign w:val="center"/>
            <w:hideMark/>
          </w:tcPr>
          <w:p w14:paraId="5AD176D0" w14:textId="77777777" w:rsidR="00000000" w:rsidRDefault="000A3118">
            <w:pPr>
              <w:rPr>
                <w:rFonts w:eastAsia="Times New Roman"/>
                <w:sz w:val="20"/>
                <w:szCs w:val="20"/>
              </w:rPr>
            </w:pPr>
          </w:p>
        </w:tc>
        <w:tc>
          <w:tcPr>
            <w:tcW w:w="5" w:type="pct"/>
            <w:vAlign w:val="center"/>
            <w:hideMark/>
          </w:tcPr>
          <w:p w14:paraId="30C7FA8E" w14:textId="77777777" w:rsidR="00000000" w:rsidRDefault="000A3118">
            <w:pPr>
              <w:rPr>
                <w:rFonts w:eastAsia="Times New Roman"/>
                <w:sz w:val="20"/>
                <w:szCs w:val="20"/>
              </w:rPr>
            </w:pPr>
          </w:p>
        </w:tc>
        <w:tc>
          <w:tcPr>
            <w:tcW w:w="50" w:type="pct"/>
            <w:vAlign w:val="center"/>
            <w:hideMark/>
          </w:tcPr>
          <w:p w14:paraId="02E3F022" w14:textId="77777777" w:rsidR="00000000" w:rsidRDefault="000A3118">
            <w:pPr>
              <w:rPr>
                <w:rFonts w:eastAsia="Times New Roman"/>
                <w:sz w:val="20"/>
                <w:szCs w:val="20"/>
              </w:rPr>
            </w:pPr>
          </w:p>
        </w:tc>
        <w:tc>
          <w:tcPr>
            <w:tcW w:w="500" w:type="pct"/>
            <w:vAlign w:val="center"/>
            <w:hideMark/>
          </w:tcPr>
          <w:p w14:paraId="7D7FF3F5" w14:textId="77777777" w:rsidR="00000000" w:rsidRDefault="000A3118">
            <w:pPr>
              <w:rPr>
                <w:rFonts w:eastAsia="Times New Roman"/>
                <w:sz w:val="20"/>
                <w:szCs w:val="20"/>
              </w:rPr>
            </w:pPr>
          </w:p>
        </w:tc>
        <w:tc>
          <w:tcPr>
            <w:tcW w:w="5" w:type="pct"/>
            <w:vAlign w:val="center"/>
            <w:hideMark/>
          </w:tcPr>
          <w:p w14:paraId="30BEF345" w14:textId="77777777" w:rsidR="00000000" w:rsidRDefault="000A3118">
            <w:pPr>
              <w:rPr>
                <w:rFonts w:eastAsia="Times New Roman"/>
                <w:sz w:val="20"/>
                <w:szCs w:val="20"/>
              </w:rPr>
            </w:pPr>
          </w:p>
        </w:tc>
        <w:tc>
          <w:tcPr>
            <w:tcW w:w="5" w:type="pct"/>
            <w:vAlign w:val="center"/>
            <w:hideMark/>
          </w:tcPr>
          <w:p w14:paraId="288772D0" w14:textId="77777777" w:rsidR="00000000" w:rsidRDefault="000A3118">
            <w:pPr>
              <w:rPr>
                <w:rFonts w:eastAsia="Times New Roman"/>
                <w:sz w:val="20"/>
                <w:szCs w:val="20"/>
              </w:rPr>
            </w:pPr>
          </w:p>
        </w:tc>
        <w:tc>
          <w:tcPr>
            <w:tcW w:w="26" w:type="pct"/>
            <w:vAlign w:val="center"/>
            <w:hideMark/>
          </w:tcPr>
          <w:p w14:paraId="6F4C59BF" w14:textId="77777777" w:rsidR="00000000" w:rsidRDefault="000A3118">
            <w:pPr>
              <w:rPr>
                <w:rFonts w:eastAsia="Times New Roman"/>
                <w:sz w:val="20"/>
                <w:szCs w:val="20"/>
              </w:rPr>
            </w:pPr>
          </w:p>
        </w:tc>
        <w:tc>
          <w:tcPr>
            <w:tcW w:w="5" w:type="pct"/>
            <w:vAlign w:val="center"/>
            <w:hideMark/>
          </w:tcPr>
          <w:p w14:paraId="5F1BD977" w14:textId="77777777" w:rsidR="00000000" w:rsidRDefault="000A3118">
            <w:pPr>
              <w:rPr>
                <w:rFonts w:eastAsia="Times New Roman"/>
                <w:sz w:val="20"/>
                <w:szCs w:val="20"/>
              </w:rPr>
            </w:pPr>
          </w:p>
        </w:tc>
        <w:tc>
          <w:tcPr>
            <w:tcW w:w="50" w:type="pct"/>
            <w:vAlign w:val="center"/>
            <w:hideMark/>
          </w:tcPr>
          <w:p w14:paraId="4A72856B" w14:textId="77777777" w:rsidR="00000000" w:rsidRDefault="000A3118">
            <w:pPr>
              <w:rPr>
                <w:rFonts w:eastAsia="Times New Roman"/>
                <w:sz w:val="20"/>
                <w:szCs w:val="20"/>
              </w:rPr>
            </w:pPr>
          </w:p>
        </w:tc>
        <w:tc>
          <w:tcPr>
            <w:tcW w:w="493" w:type="pct"/>
            <w:vAlign w:val="center"/>
            <w:hideMark/>
          </w:tcPr>
          <w:p w14:paraId="267535E3" w14:textId="77777777" w:rsidR="00000000" w:rsidRDefault="000A3118">
            <w:pPr>
              <w:rPr>
                <w:rFonts w:eastAsia="Times New Roman"/>
                <w:sz w:val="20"/>
                <w:szCs w:val="20"/>
              </w:rPr>
            </w:pPr>
          </w:p>
        </w:tc>
        <w:tc>
          <w:tcPr>
            <w:tcW w:w="5" w:type="pct"/>
            <w:vAlign w:val="center"/>
            <w:hideMark/>
          </w:tcPr>
          <w:p w14:paraId="79A0FB09" w14:textId="77777777" w:rsidR="00000000" w:rsidRDefault="000A3118">
            <w:pPr>
              <w:rPr>
                <w:rFonts w:eastAsia="Times New Roman"/>
                <w:sz w:val="20"/>
                <w:szCs w:val="20"/>
              </w:rPr>
            </w:pPr>
          </w:p>
        </w:tc>
        <w:tc>
          <w:tcPr>
            <w:tcW w:w="5" w:type="pct"/>
            <w:vAlign w:val="center"/>
            <w:hideMark/>
          </w:tcPr>
          <w:p w14:paraId="2FCB839A" w14:textId="77777777" w:rsidR="00000000" w:rsidRDefault="000A3118">
            <w:pPr>
              <w:rPr>
                <w:rFonts w:eastAsia="Times New Roman"/>
                <w:sz w:val="20"/>
                <w:szCs w:val="20"/>
              </w:rPr>
            </w:pPr>
          </w:p>
        </w:tc>
        <w:tc>
          <w:tcPr>
            <w:tcW w:w="26" w:type="pct"/>
            <w:vAlign w:val="center"/>
            <w:hideMark/>
          </w:tcPr>
          <w:p w14:paraId="2D848430" w14:textId="77777777" w:rsidR="00000000" w:rsidRDefault="000A3118">
            <w:pPr>
              <w:rPr>
                <w:rFonts w:eastAsia="Times New Roman"/>
                <w:sz w:val="20"/>
                <w:szCs w:val="20"/>
              </w:rPr>
            </w:pPr>
          </w:p>
        </w:tc>
        <w:tc>
          <w:tcPr>
            <w:tcW w:w="5" w:type="pct"/>
            <w:vAlign w:val="center"/>
            <w:hideMark/>
          </w:tcPr>
          <w:p w14:paraId="4FCFE5BA" w14:textId="77777777" w:rsidR="00000000" w:rsidRDefault="000A3118">
            <w:pPr>
              <w:rPr>
                <w:rFonts w:eastAsia="Times New Roman"/>
                <w:sz w:val="20"/>
                <w:szCs w:val="20"/>
              </w:rPr>
            </w:pPr>
          </w:p>
        </w:tc>
        <w:tc>
          <w:tcPr>
            <w:tcW w:w="50" w:type="pct"/>
            <w:vAlign w:val="center"/>
            <w:hideMark/>
          </w:tcPr>
          <w:p w14:paraId="75ACE490" w14:textId="77777777" w:rsidR="00000000" w:rsidRDefault="000A3118">
            <w:pPr>
              <w:rPr>
                <w:rFonts w:eastAsia="Times New Roman"/>
                <w:sz w:val="20"/>
                <w:szCs w:val="20"/>
              </w:rPr>
            </w:pPr>
          </w:p>
        </w:tc>
        <w:tc>
          <w:tcPr>
            <w:tcW w:w="493" w:type="pct"/>
            <w:vAlign w:val="center"/>
            <w:hideMark/>
          </w:tcPr>
          <w:p w14:paraId="04C959E8" w14:textId="77777777" w:rsidR="00000000" w:rsidRDefault="000A3118">
            <w:pPr>
              <w:rPr>
                <w:rFonts w:eastAsia="Times New Roman"/>
                <w:sz w:val="20"/>
                <w:szCs w:val="20"/>
              </w:rPr>
            </w:pPr>
          </w:p>
        </w:tc>
        <w:tc>
          <w:tcPr>
            <w:tcW w:w="5" w:type="pct"/>
            <w:vAlign w:val="center"/>
            <w:hideMark/>
          </w:tcPr>
          <w:p w14:paraId="3B8ADAD8" w14:textId="77777777" w:rsidR="00000000" w:rsidRDefault="000A3118">
            <w:pPr>
              <w:rPr>
                <w:rFonts w:eastAsia="Times New Roman"/>
                <w:sz w:val="20"/>
                <w:szCs w:val="20"/>
              </w:rPr>
            </w:pPr>
          </w:p>
        </w:tc>
      </w:tr>
      <w:tr w:rsidR="00000000" w14:paraId="2405D4DE" w14:textId="77777777">
        <w:trPr>
          <w:divId w:val="2064597721"/>
        </w:trPr>
        <w:tc>
          <w:tcPr>
            <w:tcW w:w="0" w:type="auto"/>
            <w:gridSpan w:val="3"/>
            <w:tcMar>
              <w:top w:w="0" w:type="dxa"/>
              <w:left w:w="20" w:type="dxa"/>
              <w:bottom w:w="0" w:type="dxa"/>
              <w:right w:w="20" w:type="dxa"/>
            </w:tcMar>
            <w:vAlign w:val="center"/>
            <w:hideMark/>
          </w:tcPr>
          <w:p w14:paraId="196E4EA4"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37CBB183"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center"/>
            <w:hideMark/>
          </w:tcPr>
          <w:p w14:paraId="1C65B074" w14:textId="77777777" w:rsidR="00000000" w:rsidRDefault="000A3118">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14:paraId="042F1F05" w14:textId="77777777" w:rsidR="00000000" w:rsidRDefault="000A3118">
            <w:pPr>
              <w:jc w:val="center"/>
              <w:rPr>
                <w:rFonts w:eastAsia="Times New Roman"/>
              </w:rPr>
            </w:pPr>
          </w:p>
        </w:tc>
        <w:tc>
          <w:tcPr>
            <w:tcW w:w="0" w:type="auto"/>
            <w:gridSpan w:val="9"/>
            <w:tcMar>
              <w:top w:w="30" w:type="dxa"/>
              <w:left w:w="20" w:type="dxa"/>
              <w:bottom w:w="30" w:type="dxa"/>
              <w:right w:w="20" w:type="dxa"/>
            </w:tcMar>
            <w:vAlign w:val="center"/>
            <w:hideMark/>
          </w:tcPr>
          <w:p w14:paraId="1EC5C43B" w14:textId="77777777" w:rsidR="00000000" w:rsidRDefault="000A3118">
            <w:pPr>
              <w:jc w:val="center"/>
              <w:rPr>
                <w:rFonts w:eastAsia="Times New Roman"/>
              </w:rPr>
            </w:pPr>
            <w:r>
              <w:rPr>
                <w:rFonts w:eastAsia="Times New Roman"/>
                <w:b/>
                <w:bCs/>
                <w:color w:val="000000"/>
                <w:sz w:val="16"/>
                <w:szCs w:val="16"/>
              </w:rPr>
              <w:t>For the Nine Months Ended</w:t>
            </w:r>
          </w:p>
        </w:tc>
      </w:tr>
      <w:tr w:rsidR="00000000" w14:paraId="154CEA42" w14:textId="77777777">
        <w:trPr>
          <w:divId w:val="2064597721"/>
        </w:trPr>
        <w:tc>
          <w:tcPr>
            <w:tcW w:w="0" w:type="auto"/>
            <w:gridSpan w:val="3"/>
            <w:tcMar>
              <w:top w:w="0" w:type="dxa"/>
              <w:left w:w="20" w:type="dxa"/>
              <w:bottom w:w="0" w:type="dxa"/>
              <w:right w:w="20" w:type="dxa"/>
            </w:tcMar>
            <w:vAlign w:val="center"/>
            <w:hideMark/>
          </w:tcPr>
          <w:p w14:paraId="0EC3FC6D"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0FB7A8C8"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center"/>
            <w:hideMark/>
          </w:tcPr>
          <w:p w14:paraId="13D2C991"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188B690A" w14:textId="77777777" w:rsidR="00000000" w:rsidRDefault="000A3118">
            <w:pPr>
              <w:jc w:val="center"/>
              <w:rPr>
                <w:rFonts w:eastAsia="Times New Roman"/>
              </w:rPr>
            </w:pPr>
          </w:p>
        </w:tc>
        <w:tc>
          <w:tcPr>
            <w:tcW w:w="0" w:type="auto"/>
            <w:gridSpan w:val="9"/>
            <w:tcMar>
              <w:top w:w="30" w:type="dxa"/>
              <w:left w:w="20" w:type="dxa"/>
              <w:bottom w:w="30" w:type="dxa"/>
              <w:right w:w="20" w:type="dxa"/>
            </w:tcMar>
            <w:vAlign w:val="center"/>
            <w:hideMark/>
          </w:tcPr>
          <w:p w14:paraId="3749624D" w14:textId="77777777" w:rsidR="00000000" w:rsidRDefault="000A3118">
            <w:pPr>
              <w:jc w:val="center"/>
              <w:rPr>
                <w:rFonts w:eastAsia="Times New Roman"/>
              </w:rPr>
            </w:pPr>
            <w:r>
              <w:rPr>
                <w:rFonts w:eastAsia="Times New Roman"/>
                <w:b/>
                <w:bCs/>
                <w:color w:val="000000"/>
                <w:sz w:val="16"/>
                <w:szCs w:val="16"/>
              </w:rPr>
              <w:t>September 30,</w:t>
            </w:r>
          </w:p>
        </w:tc>
      </w:tr>
      <w:tr w:rsidR="00000000" w14:paraId="195D0641" w14:textId="77777777">
        <w:trPr>
          <w:divId w:val="2064597721"/>
        </w:trPr>
        <w:tc>
          <w:tcPr>
            <w:tcW w:w="0" w:type="auto"/>
            <w:gridSpan w:val="3"/>
            <w:tcBorders>
              <w:top w:val="single" w:sz="8" w:space="0" w:color="000000"/>
            </w:tcBorders>
            <w:tcMar>
              <w:top w:w="30" w:type="dxa"/>
              <w:left w:w="20" w:type="dxa"/>
              <w:bottom w:w="30" w:type="dxa"/>
              <w:right w:w="20" w:type="dxa"/>
            </w:tcMar>
            <w:vAlign w:val="bottom"/>
            <w:hideMark/>
          </w:tcPr>
          <w:p w14:paraId="42C3A7FD" w14:textId="77777777" w:rsidR="00000000" w:rsidRDefault="000A3118">
            <w:pPr>
              <w:rPr>
                <w:rFonts w:eastAsia="Times New Roman"/>
              </w:rPr>
            </w:pPr>
            <w:r>
              <w:rPr>
                <w:rFonts w:eastAsia="Times New Roman"/>
                <w:color w:val="000000"/>
                <w:sz w:val="16"/>
                <w:szCs w:val="16"/>
              </w:rPr>
              <w:t>Revenue:</w:t>
            </w:r>
          </w:p>
        </w:tc>
        <w:tc>
          <w:tcPr>
            <w:tcW w:w="0" w:type="auto"/>
            <w:gridSpan w:val="3"/>
            <w:tcBorders>
              <w:top w:val="single" w:sz="8" w:space="0" w:color="000000"/>
            </w:tcBorders>
            <w:tcMar>
              <w:top w:w="0" w:type="dxa"/>
              <w:left w:w="20" w:type="dxa"/>
              <w:bottom w:w="0" w:type="dxa"/>
              <w:right w:w="20" w:type="dxa"/>
            </w:tcMar>
            <w:vAlign w:val="center"/>
            <w:hideMark/>
          </w:tcPr>
          <w:p w14:paraId="67106FB9" w14:textId="77777777" w:rsidR="00000000" w:rsidRDefault="000A311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9AEBBD"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E52A233"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257823"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6F7EA8FC"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25B651"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6D03B7B"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86D9C3" w14:textId="77777777" w:rsidR="00000000" w:rsidRDefault="000A3118">
            <w:pPr>
              <w:jc w:val="center"/>
              <w:rPr>
                <w:rFonts w:eastAsia="Times New Roman"/>
              </w:rPr>
            </w:pPr>
            <w:r>
              <w:rPr>
                <w:rFonts w:eastAsia="Times New Roman"/>
                <w:b/>
                <w:bCs/>
                <w:color w:val="000000"/>
                <w:sz w:val="16"/>
                <w:szCs w:val="16"/>
              </w:rPr>
              <w:t>2019</w:t>
            </w:r>
          </w:p>
        </w:tc>
      </w:tr>
      <w:tr w:rsidR="00000000" w14:paraId="365A62A8" w14:textId="77777777">
        <w:trPr>
          <w:divId w:val="2064597721"/>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14:paraId="20C59B1F" w14:textId="77777777" w:rsidR="00000000" w:rsidRDefault="000A3118">
            <w:pPr>
              <w:rPr>
                <w:rFonts w:eastAsia="Times New Roman"/>
              </w:rPr>
            </w:pPr>
            <w:r>
              <w:rPr>
                <w:rFonts w:eastAsia="Times New Roman"/>
                <w:color w:val="000000"/>
                <w:sz w:val="16"/>
                <w:szCs w:val="16"/>
              </w:rPr>
              <w:t>Aviation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DCADE1"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0784B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7BB44D" w14:textId="77777777" w:rsidR="00000000" w:rsidRDefault="000A3118">
            <w:pPr>
              <w:jc w:val="right"/>
              <w:rPr>
                <w:rFonts w:eastAsia="Times New Roman"/>
              </w:rPr>
            </w:pPr>
            <w:r>
              <w:rPr>
                <w:rFonts w:eastAsia="Times New Roman"/>
                <w:color w:val="000000"/>
                <w:sz w:val="16"/>
                <w:szCs w:val="16"/>
              </w:rPr>
              <w:t>1,596.2 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C0DAEC"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9B4741"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09794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7F865E" w14:textId="77777777" w:rsidR="00000000" w:rsidRDefault="000A3118">
            <w:pPr>
              <w:jc w:val="right"/>
              <w:rPr>
                <w:rFonts w:eastAsia="Times New Roman"/>
              </w:rPr>
            </w:pPr>
            <w:r>
              <w:rPr>
                <w:rFonts w:eastAsia="Times New Roman"/>
                <w:color w:val="000000"/>
                <w:sz w:val="16"/>
                <w:szCs w:val="16"/>
              </w:rPr>
              <w:t>4,743.0 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52A6AE"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D13594"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015CD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535111" w14:textId="77777777" w:rsidR="00000000" w:rsidRDefault="000A3118">
            <w:pPr>
              <w:jc w:val="right"/>
              <w:rPr>
                <w:rFonts w:eastAsia="Times New Roman"/>
              </w:rPr>
            </w:pPr>
            <w:r>
              <w:rPr>
                <w:rFonts w:eastAsia="Times New Roman"/>
                <w:color w:val="000000"/>
                <w:sz w:val="16"/>
                <w:szCs w:val="16"/>
              </w:rPr>
              <w:t>6,381.0 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59AC0C"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2A555F"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1A180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18510E" w14:textId="77777777" w:rsidR="00000000" w:rsidRDefault="000A3118">
            <w:pPr>
              <w:jc w:val="right"/>
              <w:rPr>
                <w:rFonts w:eastAsia="Times New Roman"/>
              </w:rPr>
            </w:pPr>
            <w:r>
              <w:rPr>
                <w:rFonts w:eastAsia="Times New Roman"/>
                <w:color w:val="000000"/>
                <w:sz w:val="16"/>
                <w:szCs w:val="16"/>
              </w:rPr>
              <w:t>13,780.8 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EA6CBD" w14:textId="77777777" w:rsidR="00000000" w:rsidRDefault="000A3118">
            <w:pPr>
              <w:jc w:val="right"/>
              <w:rPr>
                <w:rFonts w:eastAsia="Times New Roman"/>
              </w:rPr>
            </w:pPr>
          </w:p>
        </w:tc>
      </w:tr>
      <w:tr w:rsidR="00000000" w14:paraId="4A1CB1EB" w14:textId="77777777">
        <w:trPr>
          <w:divId w:val="2064597721"/>
        </w:trPr>
        <w:tc>
          <w:tcPr>
            <w:tcW w:w="0" w:type="auto"/>
            <w:gridSpan w:val="3"/>
            <w:shd w:val="clear" w:color="auto" w:fill="FFFFFF"/>
            <w:tcMar>
              <w:top w:w="30" w:type="dxa"/>
              <w:left w:w="135" w:type="dxa"/>
              <w:bottom w:w="30" w:type="dxa"/>
              <w:right w:w="20" w:type="dxa"/>
            </w:tcMar>
            <w:vAlign w:val="bottom"/>
            <w:hideMark/>
          </w:tcPr>
          <w:p w14:paraId="44879242" w14:textId="77777777" w:rsidR="00000000" w:rsidRDefault="000A3118">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14:paraId="2002D5E8"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D4D649" w14:textId="77777777" w:rsidR="00000000" w:rsidRDefault="000A3118">
            <w:pPr>
              <w:jc w:val="right"/>
              <w:rPr>
                <w:rFonts w:eastAsia="Times New Roman"/>
              </w:rPr>
            </w:pPr>
            <w:r>
              <w:rPr>
                <w:rFonts w:eastAsia="Times New Roman"/>
                <w:color w:val="000000"/>
                <w:sz w:val="16"/>
                <w:szCs w:val="16"/>
              </w:rPr>
              <w:t>1,645.2 </w:t>
            </w:r>
          </w:p>
        </w:tc>
        <w:tc>
          <w:tcPr>
            <w:tcW w:w="0" w:type="auto"/>
            <w:shd w:val="clear" w:color="auto" w:fill="FFFFFF"/>
            <w:tcMar>
              <w:top w:w="30" w:type="dxa"/>
              <w:left w:w="0" w:type="dxa"/>
              <w:bottom w:w="30" w:type="dxa"/>
              <w:right w:w="20" w:type="dxa"/>
            </w:tcMar>
            <w:vAlign w:val="bottom"/>
            <w:hideMark/>
          </w:tcPr>
          <w:p w14:paraId="2B2D806B"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450C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BCB0B3" w14:textId="77777777" w:rsidR="00000000" w:rsidRDefault="000A3118">
            <w:pPr>
              <w:jc w:val="right"/>
              <w:rPr>
                <w:rFonts w:eastAsia="Times New Roman"/>
              </w:rPr>
            </w:pPr>
            <w:r>
              <w:rPr>
                <w:rFonts w:eastAsia="Times New Roman"/>
                <w:color w:val="000000"/>
                <w:sz w:val="16"/>
                <w:szCs w:val="16"/>
              </w:rPr>
              <w:t>2,555.8 </w:t>
            </w:r>
          </w:p>
        </w:tc>
        <w:tc>
          <w:tcPr>
            <w:tcW w:w="0" w:type="auto"/>
            <w:shd w:val="clear" w:color="auto" w:fill="FFFFFF"/>
            <w:tcMar>
              <w:top w:w="30" w:type="dxa"/>
              <w:left w:w="0" w:type="dxa"/>
              <w:bottom w:w="30" w:type="dxa"/>
              <w:right w:w="20" w:type="dxa"/>
            </w:tcMar>
            <w:vAlign w:val="bottom"/>
            <w:hideMark/>
          </w:tcPr>
          <w:p w14:paraId="16D38FE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478B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D70E18" w14:textId="77777777" w:rsidR="00000000" w:rsidRDefault="000A3118">
            <w:pPr>
              <w:jc w:val="right"/>
              <w:rPr>
                <w:rFonts w:eastAsia="Times New Roman"/>
              </w:rPr>
            </w:pPr>
            <w:r>
              <w:rPr>
                <w:rFonts w:eastAsia="Times New Roman"/>
                <w:color w:val="000000"/>
                <w:sz w:val="16"/>
                <w:szCs w:val="16"/>
              </w:rPr>
              <w:t>4,948.8 </w:t>
            </w:r>
          </w:p>
        </w:tc>
        <w:tc>
          <w:tcPr>
            <w:tcW w:w="0" w:type="auto"/>
            <w:shd w:val="clear" w:color="auto" w:fill="FFFFFF"/>
            <w:tcMar>
              <w:top w:w="30" w:type="dxa"/>
              <w:left w:w="0" w:type="dxa"/>
              <w:bottom w:w="30" w:type="dxa"/>
              <w:right w:w="20" w:type="dxa"/>
            </w:tcMar>
            <w:vAlign w:val="bottom"/>
            <w:hideMark/>
          </w:tcPr>
          <w:p w14:paraId="134488D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3271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3FFFB6" w14:textId="77777777" w:rsidR="00000000" w:rsidRDefault="000A3118">
            <w:pPr>
              <w:jc w:val="right"/>
              <w:rPr>
                <w:rFonts w:eastAsia="Times New Roman"/>
              </w:rPr>
            </w:pPr>
            <w:r>
              <w:rPr>
                <w:rFonts w:eastAsia="Times New Roman"/>
                <w:color w:val="000000"/>
                <w:sz w:val="16"/>
                <w:szCs w:val="16"/>
              </w:rPr>
              <w:t>7,712.4 </w:t>
            </w:r>
          </w:p>
        </w:tc>
        <w:tc>
          <w:tcPr>
            <w:tcW w:w="0" w:type="auto"/>
            <w:shd w:val="clear" w:color="auto" w:fill="FFFFFF"/>
            <w:tcMar>
              <w:top w:w="30" w:type="dxa"/>
              <w:left w:w="0" w:type="dxa"/>
              <w:bottom w:w="30" w:type="dxa"/>
              <w:right w:w="20" w:type="dxa"/>
            </w:tcMar>
            <w:vAlign w:val="bottom"/>
            <w:hideMark/>
          </w:tcPr>
          <w:p w14:paraId="1041DF35" w14:textId="77777777" w:rsidR="00000000" w:rsidRDefault="000A3118">
            <w:pPr>
              <w:jc w:val="right"/>
              <w:rPr>
                <w:rFonts w:eastAsia="Times New Roman"/>
              </w:rPr>
            </w:pPr>
          </w:p>
        </w:tc>
      </w:tr>
      <w:tr w:rsidR="00000000" w14:paraId="651C8F72" w14:textId="77777777">
        <w:trPr>
          <w:divId w:val="2064597721"/>
        </w:trPr>
        <w:tc>
          <w:tcPr>
            <w:tcW w:w="0" w:type="auto"/>
            <w:gridSpan w:val="3"/>
            <w:shd w:val="clear" w:color="auto" w:fill="CCEEFF"/>
            <w:tcMar>
              <w:top w:w="30" w:type="dxa"/>
              <w:left w:w="135" w:type="dxa"/>
              <w:bottom w:w="30" w:type="dxa"/>
              <w:right w:w="20" w:type="dxa"/>
            </w:tcMar>
            <w:vAlign w:val="bottom"/>
            <w:hideMark/>
          </w:tcPr>
          <w:p w14:paraId="49E27104" w14:textId="77777777" w:rsidR="00000000" w:rsidRDefault="000A3118">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14:paraId="0F168ED5"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7235D3" w14:textId="77777777" w:rsidR="00000000" w:rsidRDefault="000A3118">
            <w:pPr>
              <w:jc w:val="right"/>
              <w:rPr>
                <w:rFonts w:eastAsia="Times New Roman"/>
              </w:rPr>
            </w:pPr>
            <w:r>
              <w:rPr>
                <w:rFonts w:eastAsia="Times New Roman"/>
                <w:color w:val="000000"/>
                <w:sz w:val="16"/>
                <w:szCs w:val="16"/>
              </w:rPr>
              <w:t>1,241.2 </w:t>
            </w:r>
          </w:p>
        </w:tc>
        <w:tc>
          <w:tcPr>
            <w:tcW w:w="0" w:type="auto"/>
            <w:shd w:val="clear" w:color="auto" w:fill="CCEEFF"/>
            <w:tcMar>
              <w:top w:w="30" w:type="dxa"/>
              <w:left w:w="0" w:type="dxa"/>
              <w:bottom w:w="30" w:type="dxa"/>
              <w:right w:w="20" w:type="dxa"/>
            </w:tcMar>
            <w:vAlign w:val="bottom"/>
            <w:hideMark/>
          </w:tcPr>
          <w:p w14:paraId="0B87E58D"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E1C79"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174E62" w14:textId="77777777" w:rsidR="00000000" w:rsidRDefault="000A3118">
            <w:pPr>
              <w:jc w:val="right"/>
              <w:rPr>
                <w:rFonts w:eastAsia="Times New Roman"/>
              </w:rPr>
            </w:pPr>
            <w:r>
              <w:rPr>
                <w:rFonts w:eastAsia="Times New Roman"/>
                <w:color w:val="000000"/>
                <w:sz w:val="16"/>
                <w:szCs w:val="16"/>
              </w:rPr>
              <w:t>2,023.9 </w:t>
            </w:r>
          </w:p>
        </w:tc>
        <w:tc>
          <w:tcPr>
            <w:tcW w:w="0" w:type="auto"/>
            <w:shd w:val="clear" w:color="auto" w:fill="CCEEFF"/>
            <w:tcMar>
              <w:top w:w="30" w:type="dxa"/>
              <w:left w:w="0" w:type="dxa"/>
              <w:bottom w:w="30" w:type="dxa"/>
              <w:right w:w="20" w:type="dxa"/>
            </w:tcMar>
            <w:vAlign w:val="bottom"/>
            <w:hideMark/>
          </w:tcPr>
          <w:p w14:paraId="6526EC5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452D7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EE8ECA" w14:textId="77777777" w:rsidR="00000000" w:rsidRDefault="000A3118">
            <w:pPr>
              <w:jc w:val="right"/>
              <w:rPr>
                <w:rFonts w:eastAsia="Times New Roman"/>
              </w:rPr>
            </w:pPr>
            <w:r>
              <w:rPr>
                <w:rFonts w:eastAsia="Times New Roman"/>
                <w:color w:val="000000"/>
                <w:sz w:val="16"/>
                <w:szCs w:val="16"/>
              </w:rPr>
              <w:t>4,326.4 </w:t>
            </w:r>
          </w:p>
        </w:tc>
        <w:tc>
          <w:tcPr>
            <w:tcW w:w="0" w:type="auto"/>
            <w:shd w:val="clear" w:color="auto" w:fill="CCEEFF"/>
            <w:tcMar>
              <w:top w:w="30" w:type="dxa"/>
              <w:left w:w="0" w:type="dxa"/>
              <w:bottom w:w="30" w:type="dxa"/>
              <w:right w:w="20" w:type="dxa"/>
            </w:tcMar>
            <w:vAlign w:val="bottom"/>
            <w:hideMark/>
          </w:tcPr>
          <w:p w14:paraId="5BE8C3A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7E46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F2C087" w14:textId="77777777" w:rsidR="00000000" w:rsidRDefault="000A3118">
            <w:pPr>
              <w:jc w:val="right"/>
              <w:rPr>
                <w:rFonts w:eastAsia="Times New Roman"/>
              </w:rPr>
            </w:pPr>
            <w:r>
              <w:rPr>
                <w:rFonts w:eastAsia="Times New Roman"/>
                <w:color w:val="000000"/>
                <w:sz w:val="16"/>
                <w:szCs w:val="16"/>
              </w:rPr>
              <w:t>5,967.7 </w:t>
            </w:r>
          </w:p>
        </w:tc>
        <w:tc>
          <w:tcPr>
            <w:tcW w:w="0" w:type="auto"/>
            <w:shd w:val="clear" w:color="auto" w:fill="CCEEFF"/>
            <w:tcMar>
              <w:top w:w="30" w:type="dxa"/>
              <w:left w:w="0" w:type="dxa"/>
              <w:bottom w:w="30" w:type="dxa"/>
              <w:right w:w="20" w:type="dxa"/>
            </w:tcMar>
            <w:vAlign w:val="bottom"/>
            <w:hideMark/>
          </w:tcPr>
          <w:p w14:paraId="75D0C4D8" w14:textId="77777777" w:rsidR="00000000" w:rsidRDefault="000A3118">
            <w:pPr>
              <w:jc w:val="right"/>
              <w:rPr>
                <w:rFonts w:eastAsia="Times New Roman"/>
              </w:rPr>
            </w:pPr>
          </w:p>
        </w:tc>
      </w:tr>
      <w:tr w:rsidR="00000000" w14:paraId="52B3D488" w14:textId="77777777">
        <w:trPr>
          <w:divId w:val="2064597721"/>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B807B8"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0CE8A0" w14:textId="77777777" w:rsidR="00000000" w:rsidRDefault="000A3118">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45003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271440" w14:textId="77777777" w:rsidR="00000000" w:rsidRDefault="000A3118">
            <w:pPr>
              <w:jc w:val="right"/>
              <w:rPr>
                <w:rFonts w:eastAsia="Times New Roman"/>
              </w:rPr>
            </w:pPr>
            <w:r>
              <w:rPr>
                <w:rFonts w:eastAsia="Times New Roman"/>
                <w:color w:val="000000"/>
                <w:sz w:val="16"/>
                <w:szCs w:val="16"/>
              </w:rPr>
              <w:t>4,482.7 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40D144"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A8D466"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E93DD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F5894A" w14:textId="77777777" w:rsidR="00000000" w:rsidRDefault="000A3118">
            <w:pPr>
              <w:jc w:val="right"/>
              <w:rPr>
                <w:rFonts w:eastAsia="Times New Roman"/>
              </w:rPr>
            </w:pPr>
            <w:r>
              <w:rPr>
                <w:rFonts w:eastAsia="Times New Roman"/>
                <w:color w:val="000000"/>
                <w:sz w:val="16"/>
                <w:szCs w:val="16"/>
              </w:rPr>
              <w:t>9,322.7 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A0BA38"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14C41E"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B4A19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A71C62" w14:textId="77777777" w:rsidR="00000000" w:rsidRDefault="000A3118">
            <w:pPr>
              <w:jc w:val="right"/>
              <w:rPr>
                <w:rFonts w:eastAsia="Times New Roman"/>
              </w:rPr>
            </w:pPr>
            <w:r>
              <w:rPr>
                <w:rFonts w:eastAsia="Times New Roman"/>
                <w:color w:val="000000"/>
                <w:sz w:val="16"/>
                <w:szCs w:val="16"/>
              </w:rPr>
              <w:t>15,656.2 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F893DF"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4DBBAA"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525209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5FB3F9" w14:textId="77777777" w:rsidR="00000000" w:rsidRDefault="000A3118">
            <w:pPr>
              <w:jc w:val="right"/>
              <w:rPr>
                <w:rFonts w:eastAsia="Times New Roman"/>
              </w:rPr>
            </w:pPr>
            <w:r>
              <w:rPr>
                <w:rFonts w:eastAsia="Times New Roman"/>
                <w:color w:val="000000"/>
                <w:sz w:val="16"/>
                <w:szCs w:val="16"/>
              </w:rPr>
              <w:t>27,460.9 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8801A4" w14:textId="77777777" w:rsidR="00000000" w:rsidRDefault="000A3118">
            <w:pPr>
              <w:jc w:val="right"/>
              <w:rPr>
                <w:rFonts w:eastAsia="Times New Roman"/>
              </w:rPr>
            </w:pPr>
          </w:p>
        </w:tc>
      </w:tr>
      <w:tr w:rsidR="00000000" w14:paraId="1C2FC04C" w14:textId="77777777">
        <w:trPr>
          <w:divId w:val="2064597721"/>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ED4B15"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5665120"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1431311"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53F2FDF"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1C366F"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9611D0C"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DA40BFC"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6C85F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35CDA4F" w14:textId="77777777" w:rsidR="00000000" w:rsidRDefault="000A3118">
            <w:pPr>
              <w:rPr>
                <w:rFonts w:eastAsia="Times New Roman"/>
                <w:sz w:val="20"/>
                <w:szCs w:val="20"/>
              </w:rPr>
            </w:pPr>
          </w:p>
        </w:tc>
      </w:tr>
      <w:tr w:rsidR="00000000" w14:paraId="0D964FA2" w14:textId="77777777">
        <w:trPr>
          <w:divId w:val="2064597721"/>
        </w:trPr>
        <w:tc>
          <w:tcPr>
            <w:tcW w:w="0" w:type="auto"/>
            <w:gridSpan w:val="3"/>
            <w:shd w:val="clear" w:color="auto" w:fill="FFFFFF"/>
            <w:tcMar>
              <w:top w:w="30" w:type="dxa"/>
              <w:left w:w="20" w:type="dxa"/>
              <w:bottom w:w="30" w:type="dxa"/>
              <w:right w:w="20" w:type="dxa"/>
            </w:tcMar>
            <w:vAlign w:val="bottom"/>
            <w:hideMark/>
          </w:tcPr>
          <w:p w14:paraId="6EF0F4E7" w14:textId="77777777" w:rsidR="00000000" w:rsidRDefault="000A3118">
            <w:pPr>
              <w:rPr>
                <w:rFonts w:eastAsia="Times New Roman"/>
              </w:rPr>
            </w:pPr>
            <w:r>
              <w:rPr>
                <w:rFonts w:eastAsia="Times New Roman"/>
                <w:color w:val="000000"/>
                <w:sz w:val="16"/>
                <w:szCs w:val="16"/>
              </w:rPr>
              <w:t>Gross profit:</w:t>
            </w:r>
          </w:p>
        </w:tc>
        <w:tc>
          <w:tcPr>
            <w:tcW w:w="0" w:type="auto"/>
            <w:gridSpan w:val="3"/>
            <w:shd w:val="clear" w:color="auto" w:fill="FFFFFF"/>
            <w:tcMar>
              <w:top w:w="0" w:type="dxa"/>
              <w:left w:w="20" w:type="dxa"/>
              <w:bottom w:w="0" w:type="dxa"/>
              <w:right w:w="20" w:type="dxa"/>
            </w:tcMar>
            <w:vAlign w:val="center"/>
            <w:hideMark/>
          </w:tcPr>
          <w:p w14:paraId="2CF04532"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B4BA2"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B14FBC"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4C9684"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37412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CAA6DE"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70739C"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0FDCCC" w14:textId="77777777" w:rsidR="00000000" w:rsidRDefault="000A3118">
            <w:pPr>
              <w:rPr>
                <w:rFonts w:eastAsia="Times New Roman"/>
                <w:sz w:val="20"/>
                <w:szCs w:val="20"/>
              </w:rPr>
            </w:pPr>
          </w:p>
        </w:tc>
      </w:tr>
      <w:tr w:rsidR="00000000" w14:paraId="4C1461B9" w14:textId="77777777">
        <w:trPr>
          <w:divId w:val="2064597721"/>
        </w:trPr>
        <w:tc>
          <w:tcPr>
            <w:tcW w:w="0" w:type="auto"/>
            <w:gridSpan w:val="3"/>
            <w:shd w:val="clear" w:color="auto" w:fill="CCEEFF"/>
            <w:tcMar>
              <w:top w:w="30" w:type="dxa"/>
              <w:left w:w="135" w:type="dxa"/>
              <w:bottom w:w="30" w:type="dxa"/>
              <w:right w:w="20" w:type="dxa"/>
            </w:tcMar>
            <w:vAlign w:val="bottom"/>
            <w:hideMark/>
          </w:tcPr>
          <w:p w14:paraId="5A79C54E" w14:textId="77777777" w:rsidR="00000000" w:rsidRDefault="000A3118">
            <w:pPr>
              <w:rPr>
                <w:rFonts w:eastAsia="Times New Roman"/>
              </w:rPr>
            </w:pPr>
            <w:r>
              <w:rPr>
                <w:rFonts w:eastAsia="Times New Roman"/>
                <w:color w:val="000000"/>
                <w:sz w:val="16"/>
                <w:szCs w:val="16"/>
              </w:rPr>
              <w:t>Aviation segment</w:t>
            </w:r>
          </w:p>
        </w:tc>
        <w:tc>
          <w:tcPr>
            <w:tcW w:w="0" w:type="auto"/>
            <w:gridSpan w:val="3"/>
            <w:shd w:val="clear" w:color="auto" w:fill="CCEEFF"/>
            <w:tcMar>
              <w:top w:w="0" w:type="dxa"/>
              <w:left w:w="20" w:type="dxa"/>
              <w:bottom w:w="0" w:type="dxa"/>
              <w:right w:w="20" w:type="dxa"/>
            </w:tcMar>
            <w:vAlign w:val="center"/>
            <w:hideMark/>
          </w:tcPr>
          <w:p w14:paraId="0C9317CF" w14:textId="77777777" w:rsidR="00000000" w:rsidRDefault="000A3118">
            <w:pPr>
              <w:rPr>
                <w:rFonts w:eastAsia="Times New Roman"/>
              </w:rPr>
            </w:pPr>
          </w:p>
        </w:tc>
        <w:tc>
          <w:tcPr>
            <w:tcW w:w="0" w:type="auto"/>
            <w:shd w:val="clear" w:color="auto" w:fill="CCEEFF"/>
            <w:tcMar>
              <w:top w:w="30" w:type="dxa"/>
              <w:left w:w="20" w:type="dxa"/>
              <w:bottom w:w="30" w:type="dxa"/>
              <w:right w:w="0" w:type="dxa"/>
            </w:tcMar>
            <w:vAlign w:val="bottom"/>
            <w:hideMark/>
          </w:tcPr>
          <w:p w14:paraId="020504D8"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5977F21" w14:textId="77777777" w:rsidR="00000000" w:rsidRDefault="000A3118">
            <w:pPr>
              <w:jc w:val="right"/>
              <w:rPr>
                <w:rFonts w:eastAsia="Times New Roman"/>
              </w:rPr>
            </w:pPr>
            <w:r>
              <w:rPr>
                <w:rFonts w:eastAsia="Times New Roman"/>
                <w:color w:val="000000"/>
                <w:sz w:val="16"/>
                <w:szCs w:val="16"/>
              </w:rPr>
              <w:t>97.6 </w:t>
            </w:r>
          </w:p>
        </w:tc>
        <w:tc>
          <w:tcPr>
            <w:tcW w:w="0" w:type="auto"/>
            <w:shd w:val="clear" w:color="auto" w:fill="CCEEFF"/>
            <w:tcMar>
              <w:top w:w="30" w:type="dxa"/>
              <w:left w:w="0" w:type="dxa"/>
              <w:bottom w:w="30" w:type="dxa"/>
              <w:right w:w="20" w:type="dxa"/>
            </w:tcMar>
            <w:vAlign w:val="bottom"/>
            <w:hideMark/>
          </w:tcPr>
          <w:p w14:paraId="6FF4D25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6D4D6"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8FDF3F"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27454FF" w14:textId="77777777" w:rsidR="00000000" w:rsidRDefault="000A3118">
            <w:pPr>
              <w:jc w:val="right"/>
              <w:rPr>
                <w:rFonts w:eastAsia="Times New Roman"/>
              </w:rPr>
            </w:pPr>
            <w:r>
              <w:rPr>
                <w:rFonts w:eastAsia="Times New Roman"/>
                <w:color w:val="000000"/>
                <w:sz w:val="16"/>
                <w:szCs w:val="16"/>
              </w:rPr>
              <w:t>156.9 </w:t>
            </w:r>
          </w:p>
        </w:tc>
        <w:tc>
          <w:tcPr>
            <w:tcW w:w="0" w:type="auto"/>
            <w:shd w:val="clear" w:color="auto" w:fill="CCEEFF"/>
            <w:tcMar>
              <w:top w:w="30" w:type="dxa"/>
              <w:left w:w="0" w:type="dxa"/>
              <w:bottom w:w="30" w:type="dxa"/>
              <w:right w:w="20" w:type="dxa"/>
            </w:tcMar>
            <w:vAlign w:val="bottom"/>
            <w:hideMark/>
          </w:tcPr>
          <w:p w14:paraId="43ED7DB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C0550"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648AE7"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731ACA3" w14:textId="77777777" w:rsidR="00000000" w:rsidRDefault="000A3118">
            <w:pPr>
              <w:jc w:val="right"/>
              <w:rPr>
                <w:rFonts w:eastAsia="Times New Roman"/>
              </w:rPr>
            </w:pPr>
            <w:r>
              <w:rPr>
                <w:rFonts w:eastAsia="Times New Roman"/>
                <w:color w:val="000000"/>
                <w:sz w:val="16"/>
                <w:szCs w:val="16"/>
              </w:rPr>
              <w:t>282.6 </w:t>
            </w:r>
          </w:p>
        </w:tc>
        <w:tc>
          <w:tcPr>
            <w:tcW w:w="0" w:type="auto"/>
            <w:shd w:val="clear" w:color="auto" w:fill="CCEEFF"/>
            <w:tcMar>
              <w:top w:w="30" w:type="dxa"/>
              <w:left w:w="0" w:type="dxa"/>
              <w:bottom w:w="30" w:type="dxa"/>
              <w:right w:w="20" w:type="dxa"/>
            </w:tcMar>
            <w:vAlign w:val="bottom"/>
            <w:hideMark/>
          </w:tcPr>
          <w:p w14:paraId="47B8D88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8BCCB"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4F7F39"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0D0B8DA" w14:textId="77777777" w:rsidR="00000000" w:rsidRDefault="000A3118">
            <w:pPr>
              <w:jc w:val="right"/>
              <w:rPr>
                <w:rFonts w:eastAsia="Times New Roman"/>
              </w:rPr>
            </w:pPr>
            <w:r>
              <w:rPr>
                <w:rFonts w:eastAsia="Times New Roman"/>
                <w:color w:val="000000"/>
                <w:sz w:val="16"/>
                <w:szCs w:val="16"/>
              </w:rPr>
              <w:t>411.7 </w:t>
            </w:r>
          </w:p>
        </w:tc>
        <w:tc>
          <w:tcPr>
            <w:tcW w:w="0" w:type="auto"/>
            <w:shd w:val="clear" w:color="auto" w:fill="CCEEFF"/>
            <w:tcMar>
              <w:top w:w="30" w:type="dxa"/>
              <w:left w:w="0" w:type="dxa"/>
              <w:bottom w:w="30" w:type="dxa"/>
              <w:right w:w="20" w:type="dxa"/>
            </w:tcMar>
            <w:vAlign w:val="bottom"/>
            <w:hideMark/>
          </w:tcPr>
          <w:p w14:paraId="32504283" w14:textId="77777777" w:rsidR="00000000" w:rsidRDefault="000A3118">
            <w:pPr>
              <w:jc w:val="right"/>
              <w:rPr>
                <w:rFonts w:eastAsia="Times New Roman"/>
              </w:rPr>
            </w:pPr>
          </w:p>
        </w:tc>
      </w:tr>
      <w:tr w:rsidR="00000000" w14:paraId="575B2D3F" w14:textId="77777777">
        <w:trPr>
          <w:divId w:val="2064597721"/>
        </w:trPr>
        <w:tc>
          <w:tcPr>
            <w:tcW w:w="0" w:type="auto"/>
            <w:gridSpan w:val="3"/>
            <w:shd w:val="clear" w:color="auto" w:fill="FFFFFF"/>
            <w:tcMar>
              <w:top w:w="30" w:type="dxa"/>
              <w:left w:w="135" w:type="dxa"/>
              <w:bottom w:w="30" w:type="dxa"/>
              <w:right w:w="20" w:type="dxa"/>
            </w:tcMar>
            <w:vAlign w:val="bottom"/>
            <w:hideMark/>
          </w:tcPr>
          <w:p w14:paraId="44F5D0A5" w14:textId="77777777" w:rsidR="00000000" w:rsidRDefault="000A3118">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14:paraId="25522D00"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95116B" w14:textId="77777777" w:rsidR="00000000" w:rsidRDefault="000A3118">
            <w:pPr>
              <w:jc w:val="right"/>
              <w:rPr>
                <w:rFonts w:eastAsia="Times New Roman"/>
              </w:rPr>
            </w:pPr>
            <w:r>
              <w:rPr>
                <w:rFonts w:eastAsia="Times New Roman"/>
                <w:color w:val="000000"/>
                <w:sz w:val="16"/>
                <w:szCs w:val="16"/>
              </w:rPr>
              <w:t>84.3 </w:t>
            </w:r>
          </w:p>
        </w:tc>
        <w:tc>
          <w:tcPr>
            <w:tcW w:w="0" w:type="auto"/>
            <w:shd w:val="clear" w:color="auto" w:fill="FFFFFF"/>
            <w:tcMar>
              <w:top w:w="30" w:type="dxa"/>
              <w:left w:w="0" w:type="dxa"/>
              <w:bottom w:w="30" w:type="dxa"/>
              <w:right w:w="20" w:type="dxa"/>
            </w:tcMar>
            <w:vAlign w:val="bottom"/>
            <w:hideMark/>
          </w:tcPr>
          <w:p w14:paraId="5DCA2D7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EB773"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10775D" w14:textId="77777777" w:rsidR="00000000" w:rsidRDefault="000A3118">
            <w:pPr>
              <w:jc w:val="right"/>
              <w:rPr>
                <w:rFonts w:eastAsia="Times New Roman"/>
              </w:rPr>
            </w:pPr>
            <w:r>
              <w:rPr>
                <w:rFonts w:eastAsia="Times New Roman"/>
                <w:color w:val="000000"/>
                <w:sz w:val="16"/>
                <w:szCs w:val="16"/>
              </w:rPr>
              <w:t>95.4 </w:t>
            </w:r>
          </w:p>
        </w:tc>
        <w:tc>
          <w:tcPr>
            <w:tcW w:w="0" w:type="auto"/>
            <w:shd w:val="clear" w:color="auto" w:fill="FFFFFF"/>
            <w:tcMar>
              <w:top w:w="30" w:type="dxa"/>
              <w:left w:w="0" w:type="dxa"/>
              <w:bottom w:w="30" w:type="dxa"/>
              <w:right w:w="20" w:type="dxa"/>
            </w:tcMar>
            <w:vAlign w:val="bottom"/>
            <w:hideMark/>
          </w:tcPr>
          <w:p w14:paraId="1FC01AA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B59D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2CA3A" w14:textId="77777777" w:rsidR="00000000" w:rsidRDefault="000A3118">
            <w:pPr>
              <w:jc w:val="right"/>
              <w:rPr>
                <w:rFonts w:eastAsia="Times New Roman"/>
              </w:rPr>
            </w:pPr>
            <w:r>
              <w:rPr>
                <w:rFonts w:eastAsia="Times New Roman"/>
                <w:color w:val="000000"/>
                <w:sz w:val="16"/>
                <w:szCs w:val="16"/>
              </w:rPr>
              <w:t>275.4 </w:t>
            </w:r>
          </w:p>
        </w:tc>
        <w:tc>
          <w:tcPr>
            <w:tcW w:w="0" w:type="auto"/>
            <w:shd w:val="clear" w:color="auto" w:fill="FFFFFF"/>
            <w:tcMar>
              <w:top w:w="30" w:type="dxa"/>
              <w:left w:w="0" w:type="dxa"/>
              <w:bottom w:w="30" w:type="dxa"/>
              <w:right w:w="20" w:type="dxa"/>
            </w:tcMar>
            <w:vAlign w:val="bottom"/>
            <w:hideMark/>
          </w:tcPr>
          <w:p w14:paraId="0054D83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81C02"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576AFF" w14:textId="77777777" w:rsidR="00000000" w:rsidRDefault="000A3118">
            <w:pPr>
              <w:jc w:val="right"/>
              <w:rPr>
                <w:rFonts w:eastAsia="Times New Roman"/>
              </w:rPr>
            </w:pPr>
            <w:r>
              <w:rPr>
                <w:rFonts w:eastAsia="Times New Roman"/>
                <w:color w:val="000000"/>
                <w:sz w:val="16"/>
                <w:szCs w:val="16"/>
              </w:rPr>
              <w:t>288.6 </w:t>
            </w:r>
          </w:p>
        </w:tc>
        <w:tc>
          <w:tcPr>
            <w:tcW w:w="0" w:type="auto"/>
            <w:shd w:val="clear" w:color="auto" w:fill="FFFFFF"/>
            <w:tcMar>
              <w:top w:w="30" w:type="dxa"/>
              <w:left w:w="0" w:type="dxa"/>
              <w:bottom w:w="30" w:type="dxa"/>
              <w:right w:w="20" w:type="dxa"/>
            </w:tcMar>
            <w:vAlign w:val="bottom"/>
            <w:hideMark/>
          </w:tcPr>
          <w:p w14:paraId="52B07A93" w14:textId="77777777" w:rsidR="00000000" w:rsidRDefault="000A3118">
            <w:pPr>
              <w:jc w:val="right"/>
              <w:rPr>
                <w:rFonts w:eastAsia="Times New Roman"/>
              </w:rPr>
            </w:pPr>
          </w:p>
        </w:tc>
      </w:tr>
      <w:tr w:rsidR="00000000" w14:paraId="5ACCDA4F" w14:textId="77777777">
        <w:trPr>
          <w:divId w:val="2064597721"/>
        </w:trPr>
        <w:tc>
          <w:tcPr>
            <w:tcW w:w="0" w:type="auto"/>
            <w:gridSpan w:val="3"/>
            <w:shd w:val="clear" w:color="auto" w:fill="CCEEFF"/>
            <w:tcMar>
              <w:top w:w="30" w:type="dxa"/>
              <w:left w:w="135" w:type="dxa"/>
              <w:bottom w:w="30" w:type="dxa"/>
              <w:right w:w="20" w:type="dxa"/>
            </w:tcMar>
            <w:vAlign w:val="bottom"/>
            <w:hideMark/>
          </w:tcPr>
          <w:p w14:paraId="5FE3AD8A" w14:textId="77777777" w:rsidR="00000000" w:rsidRDefault="000A3118">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14:paraId="3C85774D"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3E9B96" w14:textId="77777777" w:rsidR="00000000" w:rsidRDefault="000A3118">
            <w:pPr>
              <w:jc w:val="right"/>
              <w:rPr>
                <w:rFonts w:eastAsia="Times New Roman"/>
              </w:rPr>
            </w:pPr>
            <w:r>
              <w:rPr>
                <w:rFonts w:eastAsia="Times New Roman"/>
                <w:color w:val="000000"/>
                <w:sz w:val="16"/>
                <w:szCs w:val="16"/>
              </w:rPr>
              <w:t>32.0 </w:t>
            </w:r>
          </w:p>
        </w:tc>
        <w:tc>
          <w:tcPr>
            <w:tcW w:w="0" w:type="auto"/>
            <w:shd w:val="clear" w:color="auto" w:fill="CCEEFF"/>
            <w:tcMar>
              <w:top w:w="30" w:type="dxa"/>
              <w:left w:w="0" w:type="dxa"/>
              <w:bottom w:w="30" w:type="dxa"/>
              <w:right w:w="20" w:type="dxa"/>
            </w:tcMar>
            <w:vAlign w:val="bottom"/>
            <w:hideMark/>
          </w:tcPr>
          <w:p w14:paraId="67E3C8C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B04E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175CF1" w14:textId="77777777" w:rsidR="00000000" w:rsidRDefault="000A3118">
            <w:pPr>
              <w:jc w:val="right"/>
              <w:rPr>
                <w:rFonts w:eastAsia="Times New Roman"/>
              </w:rPr>
            </w:pPr>
            <w:r>
              <w:rPr>
                <w:rFonts w:eastAsia="Times New Roman"/>
                <w:color w:val="000000"/>
                <w:sz w:val="16"/>
                <w:szCs w:val="16"/>
              </w:rPr>
              <w:t>53.4 </w:t>
            </w:r>
          </w:p>
        </w:tc>
        <w:tc>
          <w:tcPr>
            <w:tcW w:w="0" w:type="auto"/>
            <w:shd w:val="clear" w:color="auto" w:fill="CCEEFF"/>
            <w:tcMar>
              <w:top w:w="30" w:type="dxa"/>
              <w:left w:w="0" w:type="dxa"/>
              <w:bottom w:w="30" w:type="dxa"/>
              <w:right w:w="20" w:type="dxa"/>
            </w:tcMar>
            <w:vAlign w:val="bottom"/>
            <w:hideMark/>
          </w:tcPr>
          <w:p w14:paraId="415579A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87E9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8D43EB" w14:textId="77777777" w:rsidR="00000000" w:rsidRDefault="000A3118">
            <w:pPr>
              <w:jc w:val="right"/>
              <w:rPr>
                <w:rFonts w:eastAsia="Times New Roman"/>
              </w:rPr>
            </w:pPr>
            <w:r>
              <w:rPr>
                <w:rFonts w:eastAsia="Times New Roman"/>
                <w:color w:val="000000"/>
                <w:sz w:val="16"/>
                <w:szCs w:val="16"/>
              </w:rPr>
              <w:t>128.6 </w:t>
            </w:r>
          </w:p>
        </w:tc>
        <w:tc>
          <w:tcPr>
            <w:tcW w:w="0" w:type="auto"/>
            <w:shd w:val="clear" w:color="auto" w:fill="CCEEFF"/>
            <w:tcMar>
              <w:top w:w="30" w:type="dxa"/>
              <w:left w:w="0" w:type="dxa"/>
              <w:bottom w:w="30" w:type="dxa"/>
              <w:right w:w="20" w:type="dxa"/>
            </w:tcMar>
            <w:vAlign w:val="bottom"/>
            <w:hideMark/>
          </w:tcPr>
          <w:p w14:paraId="417358C6"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18BEF"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0207CB" w14:textId="77777777" w:rsidR="00000000" w:rsidRDefault="000A3118">
            <w:pPr>
              <w:jc w:val="right"/>
              <w:rPr>
                <w:rFonts w:eastAsia="Times New Roman"/>
              </w:rPr>
            </w:pPr>
            <w:r>
              <w:rPr>
                <w:rFonts w:eastAsia="Times New Roman"/>
                <w:color w:val="000000"/>
                <w:sz w:val="16"/>
                <w:szCs w:val="16"/>
              </w:rPr>
              <w:t>125.0 </w:t>
            </w:r>
          </w:p>
        </w:tc>
        <w:tc>
          <w:tcPr>
            <w:tcW w:w="0" w:type="auto"/>
            <w:shd w:val="clear" w:color="auto" w:fill="CCEEFF"/>
            <w:tcMar>
              <w:top w:w="30" w:type="dxa"/>
              <w:left w:w="0" w:type="dxa"/>
              <w:bottom w:w="30" w:type="dxa"/>
              <w:right w:w="20" w:type="dxa"/>
            </w:tcMar>
            <w:vAlign w:val="bottom"/>
            <w:hideMark/>
          </w:tcPr>
          <w:p w14:paraId="0BF1EAE4" w14:textId="77777777" w:rsidR="00000000" w:rsidRDefault="000A3118">
            <w:pPr>
              <w:jc w:val="right"/>
              <w:rPr>
                <w:rFonts w:eastAsia="Times New Roman"/>
              </w:rPr>
            </w:pPr>
          </w:p>
        </w:tc>
      </w:tr>
      <w:tr w:rsidR="00000000" w14:paraId="15678312" w14:textId="77777777">
        <w:trPr>
          <w:divId w:val="2064597721"/>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DFEC5A"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7B28DD" w14:textId="77777777" w:rsidR="00000000" w:rsidRDefault="000A3118">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DB7CF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5662BB" w14:textId="77777777" w:rsidR="00000000" w:rsidRDefault="000A3118">
            <w:pPr>
              <w:jc w:val="right"/>
              <w:rPr>
                <w:rFonts w:eastAsia="Times New Roman"/>
              </w:rPr>
            </w:pPr>
            <w:r>
              <w:rPr>
                <w:rFonts w:eastAsia="Times New Roman"/>
                <w:color w:val="000000"/>
                <w:sz w:val="16"/>
                <w:szCs w:val="16"/>
              </w:rPr>
              <w:t>214.0 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166697"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6A93B6"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B1737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EA7D84C" w14:textId="77777777" w:rsidR="00000000" w:rsidRDefault="000A3118">
            <w:pPr>
              <w:jc w:val="right"/>
              <w:rPr>
                <w:rFonts w:eastAsia="Times New Roman"/>
              </w:rPr>
            </w:pPr>
            <w:r>
              <w:rPr>
                <w:rFonts w:eastAsia="Times New Roman"/>
                <w:color w:val="000000"/>
                <w:sz w:val="16"/>
                <w:szCs w:val="16"/>
              </w:rPr>
              <w:t>305.7 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21D8AB"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81D1BE"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5833A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C2480A" w14:textId="77777777" w:rsidR="00000000" w:rsidRDefault="000A3118">
            <w:pPr>
              <w:jc w:val="right"/>
              <w:rPr>
                <w:rFonts w:eastAsia="Times New Roman"/>
              </w:rPr>
            </w:pPr>
            <w:r>
              <w:rPr>
                <w:rFonts w:eastAsia="Times New Roman"/>
                <w:color w:val="000000"/>
                <w:sz w:val="16"/>
                <w:szCs w:val="16"/>
              </w:rPr>
              <w:t>686.6 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526E37"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5B11DE" w14:textId="77777777" w:rsidR="00000000" w:rsidRDefault="000A311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C93BF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0EC6DA" w14:textId="77777777" w:rsidR="00000000" w:rsidRDefault="000A3118">
            <w:pPr>
              <w:jc w:val="right"/>
              <w:rPr>
                <w:rFonts w:eastAsia="Times New Roman"/>
              </w:rPr>
            </w:pPr>
            <w:r>
              <w:rPr>
                <w:rFonts w:eastAsia="Times New Roman"/>
                <w:color w:val="000000"/>
                <w:sz w:val="16"/>
                <w:szCs w:val="16"/>
              </w:rPr>
              <w:t>825.3 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EF7BA8" w14:textId="77777777" w:rsidR="00000000" w:rsidRDefault="000A3118">
            <w:pPr>
              <w:jc w:val="right"/>
              <w:rPr>
                <w:rFonts w:eastAsia="Times New Roman"/>
              </w:rPr>
            </w:pPr>
          </w:p>
        </w:tc>
      </w:tr>
      <w:tr w:rsidR="00000000" w14:paraId="293CB602" w14:textId="77777777">
        <w:trPr>
          <w:divId w:val="2064597721"/>
        </w:trPr>
        <w:tc>
          <w:tcPr>
            <w:tcW w:w="0" w:type="auto"/>
            <w:gridSpan w:val="3"/>
            <w:vAlign w:val="center"/>
            <w:hideMark/>
          </w:tcPr>
          <w:p w14:paraId="3F1C155E" w14:textId="77777777" w:rsidR="00000000" w:rsidRDefault="000A3118">
            <w:pPr>
              <w:jc w:val="right"/>
              <w:rPr>
                <w:rFonts w:eastAsia="Times New Roman"/>
                <w:sz w:val="20"/>
                <w:szCs w:val="20"/>
              </w:rPr>
            </w:pPr>
          </w:p>
        </w:tc>
        <w:tc>
          <w:tcPr>
            <w:tcW w:w="0" w:type="auto"/>
            <w:gridSpan w:val="3"/>
            <w:vAlign w:val="center"/>
            <w:hideMark/>
          </w:tcPr>
          <w:p w14:paraId="336C8A18" w14:textId="77777777" w:rsidR="00000000" w:rsidRDefault="000A3118">
            <w:pPr>
              <w:rPr>
                <w:rFonts w:eastAsia="Times New Roman"/>
                <w:sz w:val="20"/>
                <w:szCs w:val="20"/>
              </w:rPr>
            </w:pPr>
          </w:p>
        </w:tc>
        <w:tc>
          <w:tcPr>
            <w:tcW w:w="0" w:type="auto"/>
            <w:gridSpan w:val="3"/>
            <w:vAlign w:val="center"/>
            <w:hideMark/>
          </w:tcPr>
          <w:p w14:paraId="65FA977A" w14:textId="77777777" w:rsidR="00000000" w:rsidRDefault="000A3118">
            <w:pPr>
              <w:rPr>
                <w:rFonts w:eastAsia="Times New Roman"/>
                <w:sz w:val="20"/>
                <w:szCs w:val="20"/>
              </w:rPr>
            </w:pPr>
          </w:p>
        </w:tc>
        <w:tc>
          <w:tcPr>
            <w:tcW w:w="0" w:type="auto"/>
            <w:gridSpan w:val="3"/>
            <w:vAlign w:val="center"/>
            <w:hideMark/>
          </w:tcPr>
          <w:p w14:paraId="59921E93" w14:textId="77777777" w:rsidR="00000000" w:rsidRDefault="000A3118">
            <w:pPr>
              <w:rPr>
                <w:rFonts w:eastAsia="Times New Roman"/>
                <w:sz w:val="20"/>
                <w:szCs w:val="20"/>
              </w:rPr>
            </w:pPr>
          </w:p>
        </w:tc>
        <w:tc>
          <w:tcPr>
            <w:tcW w:w="0" w:type="auto"/>
            <w:gridSpan w:val="3"/>
            <w:vAlign w:val="center"/>
            <w:hideMark/>
          </w:tcPr>
          <w:p w14:paraId="55ABE5E3" w14:textId="77777777" w:rsidR="00000000" w:rsidRDefault="000A3118">
            <w:pPr>
              <w:rPr>
                <w:rFonts w:eastAsia="Times New Roman"/>
                <w:sz w:val="20"/>
                <w:szCs w:val="20"/>
              </w:rPr>
            </w:pPr>
          </w:p>
        </w:tc>
        <w:tc>
          <w:tcPr>
            <w:tcW w:w="0" w:type="auto"/>
            <w:gridSpan w:val="3"/>
            <w:vAlign w:val="center"/>
            <w:hideMark/>
          </w:tcPr>
          <w:p w14:paraId="3E9F124D" w14:textId="77777777" w:rsidR="00000000" w:rsidRDefault="000A3118">
            <w:pPr>
              <w:rPr>
                <w:rFonts w:eastAsia="Times New Roman"/>
                <w:sz w:val="20"/>
                <w:szCs w:val="20"/>
              </w:rPr>
            </w:pPr>
          </w:p>
        </w:tc>
        <w:tc>
          <w:tcPr>
            <w:tcW w:w="0" w:type="auto"/>
            <w:gridSpan w:val="3"/>
            <w:vAlign w:val="center"/>
            <w:hideMark/>
          </w:tcPr>
          <w:p w14:paraId="778DEFD5" w14:textId="77777777" w:rsidR="00000000" w:rsidRDefault="000A3118">
            <w:pPr>
              <w:rPr>
                <w:rFonts w:eastAsia="Times New Roman"/>
                <w:sz w:val="20"/>
                <w:szCs w:val="20"/>
              </w:rPr>
            </w:pPr>
          </w:p>
        </w:tc>
        <w:tc>
          <w:tcPr>
            <w:tcW w:w="0" w:type="auto"/>
            <w:gridSpan w:val="3"/>
            <w:vAlign w:val="center"/>
            <w:hideMark/>
          </w:tcPr>
          <w:p w14:paraId="1B36B2BF" w14:textId="77777777" w:rsidR="00000000" w:rsidRDefault="000A3118">
            <w:pPr>
              <w:rPr>
                <w:rFonts w:eastAsia="Times New Roman"/>
                <w:sz w:val="20"/>
                <w:szCs w:val="20"/>
              </w:rPr>
            </w:pPr>
          </w:p>
        </w:tc>
        <w:tc>
          <w:tcPr>
            <w:tcW w:w="0" w:type="auto"/>
            <w:gridSpan w:val="3"/>
            <w:vAlign w:val="center"/>
            <w:hideMark/>
          </w:tcPr>
          <w:p w14:paraId="1C740050" w14:textId="77777777" w:rsidR="00000000" w:rsidRDefault="000A3118">
            <w:pPr>
              <w:rPr>
                <w:rFonts w:eastAsia="Times New Roman"/>
                <w:sz w:val="20"/>
                <w:szCs w:val="20"/>
              </w:rPr>
            </w:pPr>
          </w:p>
        </w:tc>
      </w:tr>
      <w:tr w:rsidR="00000000" w14:paraId="07AF12E4" w14:textId="77777777">
        <w:trPr>
          <w:divId w:val="2064597721"/>
        </w:trPr>
        <w:tc>
          <w:tcPr>
            <w:tcW w:w="0" w:type="auto"/>
            <w:gridSpan w:val="3"/>
            <w:vAlign w:val="center"/>
            <w:hideMark/>
          </w:tcPr>
          <w:p w14:paraId="191F465E" w14:textId="77777777" w:rsidR="00000000" w:rsidRDefault="000A3118">
            <w:pPr>
              <w:rPr>
                <w:rFonts w:eastAsia="Times New Roman"/>
                <w:sz w:val="20"/>
                <w:szCs w:val="20"/>
              </w:rPr>
            </w:pPr>
          </w:p>
        </w:tc>
        <w:tc>
          <w:tcPr>
            <w:tcW w:w="0" w:type="auto"/>
            <w:gridSpan w:val="3"/>
            <w:vAlign w:val="center"/>
            <w:hideMark/>
          </w:tcPr>
          <w:p w14:paraId="5FDB3D3E" w14:textId="77777777" w:rsidR="00000000" w:rsidRDefault="000A3118">
            <w:pPr>
              <w:rPr>
                <w:rFonts w:eastAsia="Times New Roman"/>
                <w:sz w:val="20"/>
                <w:szCs w:val="20"/>
              </w:rPr>
            </w:pPr>
          </w:p>
        </w:tc>
        <w:tc>
          <w:tcPr>
            <w:tcW w:w="0" w:type="auto"/>
            <w:gridSpan w:val="3"/>
            <w:vAlign w:val="center"/>
            <w:hideMark/>
          </w:tcPr>
          <w:p w14:paraId="78C95D18" w14:textId="77777777" w:rsidR="00000000" w:rsidRDefault="000A3118">
            <w:pPr>
              <w:rPr>
                <w:rFonts w:eastAsia="Times New Roman"/>
                <w:sz w:val="20"/>
                <w:szCs w:val="20"/>
              </w:rPr>
            </w:pPr>
          </w:p>
        </w:tc>
        <w:tc>
          <w:tcPr>
            <w:tcW w:w="0" w:type="auto"/>
            <w:gridSpan w:val="3"/>
            <w:vAlign w:val="center"/>
            <w:hideMark/>
          </w:tcPr>
          <w:p w14:paraId="60055F4C" w14:textId="77777777" w:rsidR="00000000" w:rsidRDefault="000A3118">
            <w:pPr>
              <w:rPr>
                <w:rFonts w:eastAsia="Times New Roman"/>
                <w:sz w:val="20"/>
                <w:szCs w:val="20"/>
              </w:rPr>
            </w:pPr>
          </w:p>
        </w:tc>
        <w:tc>
          <w:tcPr>
            <w:tcW w:w="0" w:type="auto"/>
            <w:gridSpan w:val="3"/>
            <w:vAlign w:val="center"/>
            <w:hideMark/>
          </w:tcPr>
          <w:p w14:paraId="4925D0EF" w14:textId="77777777" w:rsidR="00000000" w:rsidRDefault="000A3118">
            <w:pPr>
              <w:rPr>
                <w:rFonts w:eastAsia="Times New Roman"/>
                <w:sz w:val="20"/>
                <w:szCs w:val="20"/>
              </w:rPr>
            </w:pPr>
          </w:p>
        </w:tc>
        <w:tc>
          <w:tcPr>
            <w:tcW w:w="0" w:type="auto"/>
            <w:gridSpan w:val="3"/>
            <w:vAlign w:val="center"/>
            <w:hideMark/>
          </w:tcPr>
          <w:p w14:paraId="4ACD30FF" w14:textId="77777777" w:rsidR="00000000" w:rsidRDefault="000A3118">
            <w:pPr>
              <w:rPr>
                <w:rFonts w:eastAsia="Times New Roman"/>
                <w:sz w:val="20"/>
                <w:szCs w:val="20"/>
              </w:rPr>
            </w:pPr>
          </w:p>
        </w:tc>
        <w:tc>
          <w:tcPr>
            <w:tcW w:w="0" w:type="auto"/>
            <w:gridSpan w:val="3"/>
            <w:vAlign w:val="center"/>
            <w:hideMark/>
          </w:tcPr>
          <w:p w14:paraId="3CDD8E1D" w14:textId="77777777" w:rsidR="00000000" w:rsidRDefault="000A3118">
            <w:pPr>
              <w:rPr>
                <w:rFonts w:eastAsia="Times New Roman"/>
                <w:sz w:val="20"/>
                <w:szCs w:val="20"/>
              </w:rPr>
            </w:pPr>
          </w:p>
        </w:tc>
        <w:tc>
          <w:tcPr>
            <w:tcW w:w="0" w:type="auto"/>
            <w:gridSpan w:val="3"/>
            <w:vAlign w:val="center"/>
            <w:hideMark/>
          </w:tcPr>
          <w:p w14:paraId="1AA1C275" w14:textId="77777777" w:rsidR="00000000" w:rsidRDefault="000A3118">
            <w:pPr>
              <w:rPr>
                <w:rFonts w:eastAsia="Times New Roman"/>
                <w:sz w:val="20"/>
                <w:szCs w:val="20"/>
              </w:rPr>
            </w:pPr>
          </w:p>
        </w:tc>
        <w:tc>
          <w:tcPr>
            <w:tcW w:w="0" w:type="auto"/>
            <w:gridSpan w:val="3"/>
            <w:vAlign w:val="center"/>
            <w:hideMark/>
          </w:tcPr>
          <w:p w14:paraId="4AADC6C3" w14:textId="77777777" w:rsidR="00000000" w:rsidRDefault="000A3118">
            <w:pPr>
              <w:rPr>
                <w:rFonts w:eastAsia="Times New Roman"/>
                <w:sz w:val="20"/>
                <w:szCs w:val="20"/>
              </w:rPr>
            </w:pPr>
          </w:p>
        </w:tc>
      </w:tr>
      <w:tr w:rsidR="00000000" w14:paraId="0E668276" w14:textId="77777777">
        <w:trPr>
          <w:divId w:val="2064597721"/>
        </w:trPr>
        <w:tc>
          <w:tcPr>
            <w:tcW w:w="0" w:type="auto"/>
            <w:gridSpan w:val="3"/>
            <w:vAlign w:val="center"/>
            <w:hideMark/>
          </w:tcPr>
          <w:p w14:paraId="62746574" w14:textId="77777777" w:rsidR="00000000" w:rsidRDefault="000A3118">
            <w:pPr>
              <w:rPr>
                <w:rFonts w:eastAsia="Times New Roman"/>
                <w:sz w:val="20"/>
                <w:szCs w:val="20"/>
              </w:rPr>
            </w:pPr>
          </w:p>
        </w:tc>
        <w:tc>
          <w:tcPr>
            <w:tcW w:w="0" w:type="auto"/>
            <w:gridSpan w:val="3"/>
            <w:vAlign w:val="center"/>
            <w:hideMark/>
          </w:tcPr>
          <w:p w14:paraId="26650EED" w14:textId="77777777" w:rsidR="00000000" w:rsidRDefault="000A3118">
            <w:pPr>
              <w:rPr>
                <w:rFonts w:eastAsia="Times New Roman"/>
                <w:sz w:val="20"/>
                <w:szCs w:val="20"/>
              </w:rPr>
            </w:pPr>
          </w:p>
        </w:tc>
        <w:tc>
          <w:tcPr>
            <w:tcW w:w="0" w:type="auto"/>
            <w:gridSpan w:val="3"/>
            <w:vAlign w:val="center"/>
            <w:hideMark/>
          </w:tcPr>
          <w:p w14:paraId="0DFA5046" w14:textId="77777777" w:rsidR="00000000" w:rsidRDefault="000A3118">
            <w:pPr>
              <w:rPr>
                <w:rFonts w:eastAsia="Times New Roman"/>
                <w:sz w:val="20"/>
                <w:szCs w:val="20"/>
              </w:rPr>
            </w:pPr>
          </w:p>
        </w:tc>
        <w:tc>
          <w:tcPr>
            <w:tcW w:w="0" w:type="auto"/>
            <w:gridSpan w:val="3"/>
            <w:vAlign w:val="center"/>
            <w:hideMark/>
          </w:tcPr>
          <w:p w14:paraId="56E64D6B" w14:textId="77777777" w:rsidR="00000000" w:rsidRDefault="000A3118">
            <w:pPr>
              <w:rPr>
                <w:rFonts w:eastAsia="Times New Roman"/>
                <w:sz w:val="20"/>
                <w:szCs w:val="20"/>
              </w:rPr>
            </w:pPr>
          </w:p>
        </w:tc>
        <w:tc>
          <w:tcPr>
            <w:tcW w:w="0" w:type="auto"/>
            <w:gridSpan w:val="3"/>
            <w:vAlign w:val="center"/>
            <w:hideMark/>
          </w:tcPr>
          <w:p w14:paraId="5C34E05B" w14:textId="77777777" w:rsidR="00000000" w:rsidRDefault="000A3118">
            <w:pPr>
              <w:rPr>
                <w:rFonts w:eastAsia="Times New Roman"/>
                <w:sz w:val="20"/>
                <w:szCs w:val="20"/>
              </w:rPr>
            </w:pPr>
          </w:p>
        </w:tc>
        <w:tc>
          <w:tcPr>
            <w:tcW w:w="0" w:type="auto"/>
            <w:gridSpan w:val="3"/>
            <w:vAlign w:val="center"/>
            <w:hideMark/>
          </w:tcPr>
          <w:p w14:paraId="738FDEC5" w14:textId="77777777" w:rsidR="00000000" w:rsidRDefault="000A3118">
            <w:pPr>
              <w:rPr>
                <w:rFonts w:eastAsia="Times New Roman"/>
                <w:sz w:val="20"/>
                <w:szCs w:val="20"/>
              </w:rPr>
            </w:pPr>
          </w:p>
        </w:tc>
        <w:tc>
          <w:tcPr>
            <w:tcW w:w="0" w:type="auto"/>
            <w:gridSpan w:val="3"/>
            <w:vAlign w:val="center"/>
            <w:hideMark/>
          </w:tcPr>
          <w:p w14:paraId="716211FE" w14:textId="77777777" w:rsidR="00000000" w:rsidRDefault="000A3118">
            <w:pPr>
              <w:rPr>
                <w:rFonts w:eastAsia="Times New Roman"/>
                <w:sz w:val="20"/>
                <w:szCs w:val="20"/>
              </w:rPr>
            </w:pPr>
          </w:p>
        </w:tc>
        <w:tc>
          <w:tcPr>
            <w:tcW w:w="0" w:type="auto"/>
            <w:gridSpan w:val="3"/>
            <w:vAlign w:val="center"/>
            <w:hideMark/>
          </w:tcPr>
          <w:p w14:paraId="5A5922CD" w14:textId="77777777" w:rsidR="00000000" w:rsidRDefault="000A3118">
            <w:pPr>
              <w:rPr>
                <w:rFonts w:eastAsia="Times New Roman"/>
                <w:sz w:val="20"/>
                <w:szCs w:val="20"/>
              </w:rPr>
            </w:pPr>
          </w:p>
        </w:tc>
        <w:tc>
          <w:tcPr>
            <w:tcW w:w="0" w:type="auto"/>
            <w:gridSpan w:val="3"/>
            <w:vAlign w:val="center"/>
            <w:hideMark/>
          </w:tcPr>
          <w:p w14:paraId="2898F11C" w14:textId="77777777" w:rsidR="00000000" w:rsidRDefault="000A3118">
            <w:pPr>
              <w:rPr>
                <w:rFonts w:eastAsia="Times New Roman"/>
                <w:sz w:val="20"/>
                <w:szCs w:val="20"/>
              </w:rPr>
            </w:pPr>
          </w:p>
        </w:tc>
      </w:tr>
      <w:tr w:rsidR="00000000" w14:paraId="0A75DF52" w14:textId="77777777">
        <w:trPr>
          <w:divId w:val="2064597721"/>
        </w:trPr>
        <w:tc>
          <w:tcPr>
            <w:tcW w:w="0" w:type="auto"/>
            <w:gridSpan w:val="3"/>
            <w:vAlign w:val="center"/>
            <w:hideMark/>
          </w:tcPr>
          <w:p w14:paraId="0DA7A0B1" w14:textId="77777777" w:rsidR="00000000" w:rsidRDefault="000A3118">
            <w:pPr>
              <w:rPr>
                <w:rFonts w:eastAsia="Times New Roman"/>
                <w:sz w:val="20"/>
                <w:szCs w:val="20"/>
              </w:rPr>
            </w:pPr>
          </w:p>
        </w:tc>
        <w:tc>
          <w:tcPr>
            <w:tcW w:w="0" w:type="auto"/>
            <w:gridSpan w:val="3"/>
            <w:vAlign w:val="center"/>
            <w:hideMark/>
          </w:tcPr>
          <w:p w14:paraId="72CC6623" w14:textId="77777777" w:rsidR="00000000" w:rsidRDefault="000A3118">
            <w:pPr>
              <w:rPr>
                <w:rFonts w:eastAsia="Times New Roman"/>
                <w:sz w:val="20"/>
                <w:szCs w:val="20"/>
              </w:rPr>
            </w:pPr>
          </w:p>
        </w:tc>
        <w:tc>
          <w:tcPr>
            <w:tcW w:w="0" w:type="auto"/>
            <w:gridSpan w:val="3"/>
            <w:vAlign w:val="center"/>
            <w:hideMark/>
          </w:tcPr>
          <w:p w14:paraId="267743A1" w14:textId="77777777" w:rsidR="00000000" w:rsidRDefault="000A3118">
            <w:pPr>
              <w:rPr>
                <w:rFonts w:eastAsia="Times New Roman"/>
                <w:sz w:val="20"/>
                <w:szCs w:val="20"/>
              </w:rPr>
            </w:pPr>
          </w:p>
        </w:tc>
        <w:tc>
          <w:tcPr>
            <w:tcW w:w="0" w:type="auto"/>
            <w:gridSpan w:val="3"/>
            <w:vAlign w:val="center"/>
            <w:hideMark/>
          </w:tcPr>
          <w:p w14:paraId="486A3527" w14:textId="77777777" w:rsidR="00000000" w:rsidRDefault="000A3118">
            <w:pPr>
              <w:rPr>
                <w:rFonts w:eastAsia="Times New Roman"/>
                <w:sz w:val="20"/>
                <w:szCs w:val="20"/>
              </w:rPr>
            </w:pPr>
          </w:p>
        </w:tc>
        <w:tc>
          <w:tcPr>
            <w:tcW w:w="0" w:type="auto"/>
            <w:gridSpan w:val="3"/>
            <w:vAlign w:val="center"/>
            <w:hideMark/>
          </w:tcPr>
          <w:p w14:paraId="2D8605D1" w14:textId="77777777" w:rsidR="00000000" w:rsidRDefault="000A3118">
            <w:pPr>
              <w:rPr>
                <w:rFonts w:eastAsia="Times New Roman"/>
                <w:sz w:val="20"/>
                <w:szCs w:val="20"/>
              </w:rPr>
            </w:pPr>
          </w:p>
        </w:tc>
        <w:tc>
          <w:tcPr>
            <w:tcW w:w="0" w:type="auto"/>
            <w:gridSpan w:val="3"/>
            <w:vAlign w:val="center"/>
            <w:hideMark/>
          </w:tcPr>
          <w:p w14:paraId="0999E4F1" w14:textId="77777777" w:rsidR="00000000" w:rsidRDefault="000A3118">
            <w:pPr>
              <w:rPr>
                <w:rFonts w:eastAsia="Times New Roman"/>
                <w:sz w:val="20"/>
                <w:szCs w:val="20"/>
              </w:rPr>
            </w:pPr>
          </w:p>
        </w:tc>
        <w:tc>
          <w:tcPr>
            <w:tcW w:w="0" w:type="auto"/>
            <w:gridSpan w:val="3"/>
            <w:vAlign w:val="center"/>
            <w:hideMark/>
          </w:tcPr>
          <w:p w14:paraId="6FF0A5FF" w14:textId="77777777" w:rsidR="00000000" w:rsidRDefault="000A3118">
            <w:pPr>
              <w:rPr>
                <w:rFonts w:eastAsia="Times New Roman"/>
                <w:sz w:val="20"/>
                <w:szCs w:val="20"/>
              </w:rPr>
            </w:pPr>
          </w:p>
        </w:tc>
        <w:tc>
          <w:tcPr>
            <w:tcW w:w="0" w:type="auto"/>
            <w:gridSpan w:val="3"/>
            <w:vAlign w:val="center"/>
            <w:hideMark/>
          </w:tcPr>
          <w:p w14:paraId="7E1D2D88" w14:textId="77777777" w:rsidR="00000000" w:rsidRDefault="000A3118">
            <w:pPr>
              <w:rPr>
                <w:rFonts w:eastAsia="Times New Roman"/>
                <w:sz w:val="20"/>
                <w:szCs w:val="20"/>
              </w:rPr>
            </w:pPr>
          </w:p>
        </w:tc>
        <w:tc>
          <w:tcPr>
            <w:tcW w:w="0" w:type="auto"/>
            <w:gridSpan w:val="3"/>
            <w:vAlign w:val="center"/>
            <w:hideMark/>
          </w:tcPr>
          <w:p w14:paraId="4068AB06" w14:textId="77777777" w:rsidR="00000000" w:rsidRDefault="000A3118">
            <w:pPr>
              <w:rPr>
                <w:rFonts w:eastAsia="Times New Roman"/>
                <w:sz w:val="20"/>
                <w:szCs w:val="20"/>
              </w:rPr>
            </w:pPr>
          </w:p>
        </w:tc>
      </w:tr>
      <w:tr w:rsidR="00000000" w14:paraId="2472E710" w14:textId="77777777">
        <w:trPr>
          <w:divId w:val="2064597721"/>
        </w:trPr>
        <w:tc>
          <w:tcPr>
            <w:tcW w:w="0" w:type="auto"/>
            <w:gridSpan w:val="3"/>
            <w:vAlign w:val="center"/>
            <w:hideMark/>
          </w:tcPr>
          <w:p w14:paraId="670513F8" w14:textId="77777777" w:rsidR="00000000" w:rsidRDefault="000A3118">
            <w:pPr>
              <w:rPr>
                <w:rFonts w:eastAsia="Times New Roman"/>
                <w:sz w:val="20"/>
                <w:szCs w:val="20"/>
              </w:rPr>
            </w:pPr>
          </w:p>
        </w:tc>
        <w:tc>
          <w:tcPr>
            <w:tcW w:w="0" w:type="auto"/>
            <w:gridSpan w:val="3"/>
            <w:vAlign w:val="center"/>
            <w:hideMark/>
          </w:tcPr>
          <w:p w14:paraId="48DC005D" w14:textId="77777777" w:rsidR="00000000" w:rsidRDefault="000A3118">
            <w:pPr>
              <w:rPr>
                <w:rFonts w:eastAsia="Times New Roman"/>
                <w:sz w:val="20"/>
                <w:szCs w:val="20"/>
              </w:rPr>
            </w:pPr>
          </w:p>
        </w:tc>
        <w:tc>
          <w:tcPr>
            <w:tcW w:w="0" w:type="auto"/>
            <w:gridSpan w:val="3"/>
            <w:vAlign w:val="center"/>
            <w:hideMark/>
          </w:tcPr>
          <w:p w14:paraId="3B06BF82" w14:textId="77777777" w:rsidR="00000000" w:rsidRDefault="000A3118">
            <w:pPr>
              <w:rPr>
                <w:rFonts w:eastAsia="Times New Roman"/>
                <w:sz w:val="20"/>
                <w:szCs w:val="20"/>
              </w:rPr>
            </w:pPr>
          </w:p>
        </w:tc>
        <w:tc>
          <w:tcPr>
            <w:tcW w:w="0" w:type="auto"/>
            <w:gridSpan w:val="3"/>
            <w:vAlign w:val="center"/>
            <w:hideMark/>
          </w:tcPr>
          <w:p w14:paraId="0CEDC242" w14:textId="77777777" w:rsidR="00000000" w:rsidRDefault="000A3118">
            <w:pPr>
              <w:rPr>
                <w:rFonts w:eastAsia="Times New Roman"/>
                <w:sz w:val="20"/>
                <w:szCs w:val="20"/>
              </w:rPr>
            </w:pPr>
          </w:p>
        </w:tc>
        <w:tc>
          <w:tcPr>
            <w:tcW w:w="0" w:type="auto"/>
            <w:gridSpan w:val="3"/>
            <w:vAlign w:val="center"/>
            <w:hideMark/>
          </w:tcPr>
          <w:p w14:paraId="18422443" w14:textId="77777777" w:rsidR="00000000" w:rsidRDefault="000A3118">
            <w:pPr>
              <w:rPr>
                <w:rFonts w:eastAsia="Times New Roman"/>
                <w:sz w:val="20"/>
                <w:szCs w:val="20"/>
              </w:rPr>
            </w:pPr>
          </w:p>
        </w:tc>
        <w:tc>
          <w:tcPr>
            <w:tcW w:w="0" w:type="auto"/>
            <w:gridSpan w:val="3"/>
            <w:vAlign w:val="center"/>
            <w:hideMark/>
          </w:tcPr>
          <w:p w14:paraId="3C75E05A" w14:textId="77777777" w:rsidR="00000000" w:rsidRDefault="000A3118">
            <w:pPr>
              <w:rPr>
                <w:rFonts w:eastAsia="Times New Roman"/>
                <w:sz w:val="20"/>
                <w:szCs w:val="20"/>
              </w:rPr>
            </w:pPr>
          </w:p>
        </w:tc>
        <w:tc>
          <w:tcPr>
            <w:tcW w:w="0" w:type="auto"/>
            <w:gridSpan w:val="3"/>
            <w:vAlign w:val="center"/>
            <w:hideMark/>
          </w:tcPr>
          <w:p w14:paraId="112CB783" w14:textId="77777777" w:rsidR="00000000" w:rsidRDefault="000A3118">
            <w:pPr>
              <w:rPr>
                <w:rFonts w:eastAsia="Times New Roman"/>
                <w:sz w:val="20"/>
                <w:szCs w:val="20"/>
              </w:rPr>
            </w:pPr>
          </w:p>
        </w:tc>
        <w:tc>
          <w:tcPr>
            <w:tcW w:w="0" w:type="auto"/>
            <w:gridSpan w:val="3"/>
            <w:vAlign w:val="center"/>
            <w:hideMark/>
          </w:tcPr>
          <w:p w14:paraId="7B88D5C2" w14:textId="77777777" w:rsidR="00000000" w:rsidRDefault="000A3118">
            <w:pPr>
              <w:rPr>
                <w:rFonts w:eastAsia="Times New Roman"/>
                <w:sz w:val="20"/>
                <w:szCs w:val="20"/>
              </w:rPr>
            </w:pPr>
          </w:p>
        </w:tc>
        <w:tc>
          <w:tcPr>
            <w:tcW w:w="0" w:type="auto"/>
            <w:gridSpan w:val="3"/>
            <w:vAlign w:val="center"/>
            <w:hideMark/>
          </w:tcPr>
          <w:p w14:paraId="4B7D6405" w14:textId="77777777" w:rsidR="00000000" w:rsidRDefault="000A3118">
            <w:pPr>
              <w:rPr>
                <w:rFonts w:eastAsia="Times New Roman"/>
                <w:sz w:val="20"/>
                <w:szCs w:val="20"/>
              </w:rPr>
            </w:pPr>
          </w:p>
        </w:tc>
      </w:tr>
      <w:tr w:rsidR="00000000" w14:paraId="69DCE72E" w14:textId="77777777">
        <w:trPr>
          <w:divId w:val="2064597721"/>
        </w:trPr>
        <w:tc>
          <w:tcPr>
            <w:tcW w:w="0" w:type="auto"/>
            <w:gridSpan w:val="3"/>
            <w:vAlign w:val="center"/>
            <w:hideMark/>
          </w:tcPr>
          <w:p w14:paraId="67172315" w14:textId="77777777" w:rsidR="00000000" w:rsidRDefault="000A3118">
            <w:pPr>
              <w:rPr>
                <w:rFonts w:eastAsia="Times New Roman"/>
                <w:sz w:val="20"/>
                <w:szCs w:val="20"/>
              </w:rPr>
            </w:pPr>
          </w:p>
        </w:tc>
        <w:tc>
          <w:tcPr>
            <w:tcW w:w="0" w:type="auto"/>
            <w:gridSpan w:val="3"/>
            <w:vAlign w:val="center"/>
            <w:hideMark/>
          </w:tcPr>
          <w:p w14:paraId="7DA9C766" w14:textId="77777777" w:rsidR="00000000" w:rsidRDefault="000A3118">
            <w:pPr>
              <w:rPr>
                <w:rFonts w:eastAsia="Times New Roman"/>
                <w:sz w:val="20"/>
                <w:szCs w:val="20"/>
              </w:rPr>
            </w:pPr>
          </w:p>
        </w:tc>
        <w:tc>
          <w:tcPr>
            <w:tcW w:w="0" w:type="auto"/>
            <w:gridSpan w:val="3"/>
            <w:vAlign w:val="center"/>
            <w:hideMark/>
          </w:tcPr>
          <w:p w14:paraId="75538E09" w14:textId="77777777" w:rsidR="00000000" w:rsidRDefault="000A3118">
            <w:pPr>
              <w:rPr>
                <w:rFonts w:eastAsia="Times New Roman"/>
                <w:sz w:val="20"/>
                <w:szCs w:val="20"/>
              </w:rPr>
            </w:pPr>
          </w:p>
        </w:tc>
        <w:tc>
          <w:tcPr>
            <w:tcW w:w="0" w:type="auto"/>
            <w:gridSpan w:val="3"/>
            <w:vAlign w:val="center"/>
            <w:hideMark/>
          </w:tcPr>
          <w:p w14:paraId="217CE462" w14:textId="77777777" w:rsidR="00000000" w:rsidRDefault="000A3118">
            <w:pPr>
              <w:rPr>
                <w:rFonts w:eastAsia="Times New Roman"/>
                <w:sz w:val="20"/>
                <w:szCs w:val="20"/>
              </w:rPr>
            </w:pPr>
          </w:p>
        </w:tc>
        <w:tc>
          <w:tcPr>
            <w:tcW w:w="0" w:type="auto"/>
            <w:gridSpan w:val="3"/>
            <w:vAlign w:val="center"/>
            <w:hideMark/>
          </w:tcPr>
          <w:p w14:paraId="4F5259D8" w14:textId="77777777" w:rsidR="00000000" w:rsidRDefault="000A3118">
            <w:pPr>
              <w:rPr>
                <w:rFonts w:eastAsia="Times New Roman"/>
                <w:sz w:val="20"/>
                <w:szCs w:val="20"/>
              </w:rPr>
            </w:pPr>
          </w:p>
        </w:tc>
        <w:tc>
          <w:tcPr>
            <w:tcW w:w="0" w:type="auto"/>
            <w:gridSpan w:val="3"/>
            <w:vAlign w:val="center"/>
            <w:hideMark/>
          </w:tcPr>
          <w:p w14:paraId="254D8FEF" w14:textId="77777777" w:rsidR="00000000" w:rsidRDefault="000A3118">
            <w:pPr>
              <w:rPr>
                <w:rFonts w:eastAsia="Times New Roman"/>
                <w:sz w:val="20"/>
                <w:szCs w:val="20"/>
              </w:rPr>
            </w:pPr>
          </w:p>
        </w:tc>
        <w:tc>
          <w:tcPr>
            <w:tcW w:w="0" w:type="auto"/>
            <w:gridSpan w:val="3"/>
            <w:vAlign w:val="center"/>
            <w:hideMark/>
          </w:tcPr>
          <w:p w14:paraId="2B977CD9" w14:textId="77777777" w:rsidR="00000000" w:rsidRDefault="000A3118">
            <w:pPr>
              <w:rPr>
                <w:rFonts w:eastAsia="Times New Roman"/>
                <w:sz w:val="20"/>
                <w:szCs w:val="20"/>
              </w:rPr>
            </w:pPr>
          </w:p>
        </w:tc>
        <w:tc>
          <w:tcPr>
            <w:tcW w:w="0" w:type="auto"/>
            <w:gridSpan w:val="3"/>
            <w:vAlign w:val="center"/>
            <w:hideMark/>
          </w:tcPr>
          <w:p w14:paraId="6D9D4D12" w14:textId="77777777" w:rsidR="00000000" w:rsidRDefault="000A3118">
            <w:pPr>
              <w:rPr>
                <w:rFonts w:eastAsia="Times New Roman"/>
                <w:sz w:val="20"/>
                <w:szCs w:val="20"/>
              </w:rPr>
            </w:pPr>
          </w:p>
        </w:tc>
        <w:tc>
          <w:tcPr>
            <w:tcW w:w="0" w:type="auto"/>
            <w:gridSpan w:val="3"/>
            <w:vAlign w:val="center"/>
            <w:hideMark/>
          </w:tcPr>
          <w:p w14:paraId="46A2AD3D" w14:textId="77777777" w:rsidR="00000000" w:rsidRDefault="000A3118">
            <w:pPr>
              <w:rPr>
                <w:rFonts w:eastAsia="Times New Roman"/>
                <w:sz w:val="20"/>
                <w:szCs w:val="20"/>
              </w:rPr>
            </w:pPr>
          </w:p>
        </w:tc>
      </w:tr>
      <w:tr w:rsidR="00000000" w14:paraId="5A4F1FD4" w14:textId="77777777">
        <w:trPr>
          <w:divId w:val="2064597721"/>
        </w:trPr>
        <w:tc>
          <w:tcPr>
            <w:tcW w:w="0" w:type="auto"/>
            <w:gridSpan w:val="3"/>
            <w:vAlign w:val="center"/>
            <w:hideMark/>
          </w:tcPr>
          <w:p w14:paraId="5A9DD0BC" w14:textId="77777777" w:rsidR="00000000" w:rsidRDefault="000A3118">
            <w:pPr>
              <w:rPr>
                <w:rFonts w:eastAsia="Times New Roman"/>
                <w:sz w:val="20"/>
                <w:szCs w:val="20"/>
              </w:rPr>
            </w:pPr>
          </w:p>
        </w:tc>
        <w:tc>
          <w:tcPr>
            <w:tcW w:w="0" w:type="auto"/>
            <w:gridSpan w:val="3"/>
            <w:vAlign w:val="center"/>
            <w:hideMark/>
          </w:tcPr>
          <w:p w14:paraId="735DB441" w14:textId="77777777" w:rsidR="00000000" w:rsidRDefault="000A3118">
            <w:pPr>
              <w:rPr>
                <w:rFonts w:eastAsia="Times New Roman"/>
                <w:sz w:val="20"/>
                <w:szCs w:val="20"/>
              </w:rPr>
            </w:pPr>
          </w:p>
        </w:tc>
        <w:tc>
          <w:tcPr>
            <w:tcW w:w="0" w:type="auto"/>
            <w:gridSpan w:val="3"/>
            <w:vAlign w:val="center"/>
            <w:hideMark/>
          </w:tcPr>
          <w:p w14:paraId="6CD91A65" w14:textId="77777777" w:rsidR="00000000" w:rsidRDefault="000A3118">
            <w:pPr>
              <w:rPr>
                <w:rFonts w:eastAsia="Times New Roman"/>
                <w:sz w:val="20"/>
                <w:szCs w:val="20"/>
              </w:rPr>
            </w:pPr>
          </w:p>
        </w:tc>
        <w:tc>
          <w:tcPr>
            <w:tcW w:w="0" w:type="auto"/>
            <w:gridSpan w:val="3"/>
            <w:vAlign w:val="center"/>
            <w:hideMark/>
          </w:tcPr>
          <w:p w14:paraId="5FD68D66" w14:textId="77777777" w:rsidR="00000000" w:rsidRDefault="000A3118">
            <w:pPr>
              <w:rPr>
                <w:rFonts w:eastAsia="Times New Roman"/>
                <w:sz w:val="20"/>
                <w:szCs w:val="20"/>
              </w:rPr>
            </w:pPr>
          </w:p>
        </w:tc>
        <w:tc>
          <w:tcPr>
            <w:tcW w:w="0" w:type="auto"/>
            <w:gridSpan w:val="3"/>
            <w:vAlign w:val="center"/>
            <w:hideMark/>
          </w:tcPr>
          <w:p w14:paraId="44FB73DF" w14:textId="77777777" w:rsidR="00000000" w:rsidRDefault="000A3118">
            <w:pPr>
              <w:rPr>
                <w:rFonts w:eastAsia="Times New Roman"/>
                <w:sz w:val="20"/>
                <w:szCs w:val="20"/>
              </w:rPr>
            </w:pPr>
          </w:p>
        </w:tc>
        <w:tc>
          <w:tcPr>
            <w:tcW w:w="0" w:type="auto"/>
            <w:gridSpan w:val="3"/>
            <w:vAlign w:val="center"/>
            <w:hideMark/>
          </w:tcPr>
          <w:p w14:paraId="7D99087A" w14:textId="77777777" w:rsidR="00000000" w:rsidRDefault="000A3118">
            <w:pPr>
              <w:rPr>
                <w:rFonts w:eastAsia="Times New Roman"/>
                <w:sz w:val="20"/>
                <w:szCs w:val="20"/>
              </w:rPr>
            </w:pPr>
          </w:p>
        </w:tc>
        <w:tc>
          <w:tcPr>
            <w:tcW w:w="0" w:type="auto"/>
            <w:gridSpan w:val="3"/>
            <w:vAlign w:val="center"/>
            <w:hideMark/>
          </w:tcPr>
          <w:p w14:paraId="72E721AF" w14:textId="77777777" w:rsidR="00000000" w:rsidRDefault="000A3118">
            <w:pPr>
              <w:rPr>
                <w:rFonts w:eastAsia="Times New Roman"/>
                <w:sz w:val="20"/>
                <w:szCs w:val="20"/>
              </w:rPr>
            </w:pPr>
          </w:p>
        </w:tc>
        <w:tc>
          <w:tcPr>
            <w:tcW w:w="0" w:type="auto"/>
            <w:gridSpan w:val="3"/>
            <w:vAlign w:val="center"/>
            <w:hideMark/>
          </w:tcPr>
          <w:p w14:paraId="28043009" w14:textId="77777777" w:rsidR="00000000" w:rsidRDefault="000A3118">
            <w:pPr>
              <w:rPr>
                <w:rFonts w:eastAsia="Times New Roman"/>
                <w:sz w:val="20"/>
                <w:szCs w:val="20"/>
              </w:rPr>
            </w:pPr>
          </w:p>
        </w:tc>
        <w:tc>
          <w:tcPr>
            <w:tcW w:w="0" w:type="auto"/>
            <w:gridSpan w:val="3"/>
            <w:vAlign w:val="center"/>
            <w:hideMark/>
          </w:tcPr>
          <w:p w14:paraId="43B38DAE" w14:textId="77777777" w:rsidR="00000000" w:rsidRDefault="000A3118">
            <w:pPr>
              <w:rPr>
                <w:rFonts w:eastAsia="Times New Roman"/>
                <w:sz w:val="20"/>
                <w:szCs w:val="20"/>
              </w:rPr>
            </w:pPr>
          </w:p>
        </w:tc>
      </w:tr>
      <w:tr w:rsidR="00000000" w14:paraId="354A61A9" w14:textId="77777777">
        <w:trPr>
          <w:divId w:val="2064597721"/>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884FD21"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EFB129"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66C2106"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D3BC6B0"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4209CE"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57F02B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4973EDA"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532961"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6675591" w14:textId="77777777" w:rsidR="00000000" w:rsidRDefault="000A3118">
            <w:pPr>
              <w:rPr>
                <w:rFonts w:eastAsia="Times New Roman"/>
                <w:sz w:val="20"/>
                <w:szCs w:val="20"/>
              </w:rPr>
            </w:pPr>
          </w:p>
        </w:tc>
      </w:tr>
      <w:tr w:rsidR="00000000" w14:paraId="03597EFC" w14:textId="77777777">
        <w:trPr>
          <w:divId w:val="2064597721"/>
        </w:trPr>
        <w:tc>
          <w:tcPr>
            <w:tcW w:w="0" w:type="auto"/>
            <w:gridSpan w:val="3"/>
            <w:shd w:val="clear" w:color="auto" w:fill="FFFFFF"/>
            <w:tcMar>
              <w:top w:w="30" w:type="dxa"/>
              <w:left w:w="20" w:type="dxa"/>
              <w:bottom w:w="30" w:type="dxa"/>
              <w:right w:w="20" w:type="dxa"/>
            </w:tcMar>
            <w:vAlign w:val="bottom"/>
            <w:hideMark/>
          </w:tcPr>
          <w:p w14:paraId="01915CE7" w14:textId="77777777" w:rsidR="00000000" w:rsidRDefault="000A3118">
            <w:pPr>
              <w:rPr>
                <w:rFonts w:eastAsia="Times New Roman"/>
              </w:rPr>
            </w:pPr>
            <w:r>
              <w:rPr>
                <w:rFonts w:eastAsia="Times New Roman"/>
                <w:color w:val="000000"/>
                <w:sz w:val="16"/>
                <w:szCs w:val="16"/>
              </w:rPr>
              <w:t>Income from operations:</w:t>
            </w:r>
          </w:p>
        </w:tc>
        <w:tc>
          <w:tcPr>
            <w:tcW w:w="0" w:type="auto"/>
            <w:gridSpan w:val="3"/>
            <w:shd w:val="clear" w:color="auto" w:fill="FFFFFF"/>
            <w:tcMar>
              <w:top w:w="0" w:type="dxa"/>
              <w:left w:w="20" w:type="dxa"/>
              <w:bottom w:w="0" w:type="dxa"/>
              <w:right w:w="20" w:type="dxa"/>
            </w:tcMar>
            <w:vAlign w:val="center"/>
            <w:hideMark/>
          </w:tcPr>
          <w:p w14:paraId="40A5A87D" w14:textId="77777777" w:rsidR="00000000" w:rsidRDefault="000A311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3DA173"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677626"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2C3A37"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C2227B"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B17BA2"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E0E378" w14:textId="77777777" w:rsidR="00000000" w:rsidRDefault="000A311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8368D5" w14:textId="77777777" w:rsidR="00000000" w:rsidRDefault="000A3118">
            <w:pPr>
              <w:rPr>
                <w:rFonts w:eastAsia="Times New Roman"/>
                <w:sz w:val="20"/>
                <w:szCs w:val="20"/>
              </w:rPr>
            </w:pPr>
          </w:p>
        </w:tc>
      </w:tr>
      <w:tr w:rsidR="00000000" w14:paraId="3A837BA3" w14:textId="77777777">
        <w:trPr>
          <w:divId w:val="2064597721"/>
        </w:trPr>
        <w:tc>
          <w:tcPr>
            <w:tcW w:w="0" w:type="auto"/>
            <w:gridSpan w:val="3"/>
            <w:shd w:val="clear" w:color="auto" w:fill="CCEEFF"/>
            <w:tcMar>
              <w:top w:w="30" w:type="dxa"/>
              <w:left w:w="135" w:type="dxa"/>
              <w:bottom w:w="30" w:type="dxa"/>
              <w:right w:w="20" w:type="dxa"/>
            </w:tcMar>
            <w:vAlign w:val="bottom"/>
            <w:hideMark/>
          </w:tcPr>
          <w:p w14:paraId="1B694797" w14:textId="77777777" w:rsidR="00000000" w:rsidRDefault="000A3118">
            <w:pPr>
              <w:rPr>
                <w:rFonts w:eastAsia="Times New Roman"/>
              </w:rPr>
            </w:pPr>
            <w:r>
              <w:rPr>
                <w:rFonts w:eastAsia="Times New Roman"/>
                <w:color w:val="000000"/>
                <w:sz w:val="16"/>
                <w:szCs w:val="16"/>
              </w:rPr>
              <w:t>Aviation segment</w:t>
            </w:r>
          </w:p>
        </w:tc>
        <w:tc>
          <w:tcPr>
            <w:tcW w:w="0" w:type="auto"/>
            <w:gridSpan w:val="3"/>
            <w:shd w:val="clear" w:color="auto" w:fill="CCEEFF"/>
            <w:tcMar>
              <w:top w:w="0" w:type="dxa"/>
              <w:left w:w="20" w:type="dxa"/>
              <w:bottom w:w="0" w:type="dxa"/>
              <w:right w:w="20" w:type="dxa"/>
            </w:tcMar>
            <w:vAlign w:val="center"/>
            <w:hideMark/>
          </w:tcPr>
          <w:p w14:paraId="30EC2E9E" w14:textId="77777777" w:rsidR="00000000" w:rsidRDefault="000A3118">
            <w:pPr>
              <w:rPr>
                <w:rFonts w:eastAsia="Times New Roman"/>
              </w:rPr>
            </w:pPr>
          </w:p>
        </w:tc>
        <w:tc>
          <w:tcPr>
            <w:tcW w:w="0" w:type="auto"/>
            <w:shd w:val="clear" w:color="auto" w:fill="CCEEFF"/>
            <w:tcMar>
              <w:top w:w="30" w:type="dxa"/>
              <w:left w:w="20" w:type="dxa"/>
              <w:bottom w:w="30" w:type="dxa"/>
              <w:right w:w="0" w:type="dxa"/>
            </w:tcMar>
            <w:vAlign w:val="bottom"/>
            <w:hideMark/>
          </w:tcPr>
          <w:p w14:paraId="6FC5372A"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BE2494E" w14:textId="77777777" w:rsidR="00000000" w:rsidRDefault="000A3118">
            <w:pPr>
              <w:jc w:val="right"/>
              <w:rPr>
                <w:rFonts w:eastAsia="Times New Roman"/>
              </w:rPr>
            </w:pPr>
            <w:r>
              <w:rPr>
                <w:rFonts w:eastAsia="Times New Roman"/>
                <w:color w:val="000000"/>
                <w:sz w:val="16"/>
                <w:szCs w:val="16"/>
              </w:rPr>
              <w:t>29.2 </w:t>
            </w:r>
          </w:p>
        </w:tc>
        <w:tc>
          <w:tcPr>
            <w:tcW w:w="0" w:type="auto"/>
            <w:shd w:val="clear" w:color="auto" w:fill="CCEEFF"/>
            <w:tcMar>
              <w:top w:w="30" w:type="dxa"/>
              <w:left w:w="0" w:type="dxa"/>
              <w:bottom w:w="30" w:type="dxa"/>
              <w:right w:w="20" w:type="dxa"/>
            </w:tcMar>
            <w:vAlign w:val="bottom"/>
            <w:hideMark/>
          </w:tcPr>
          <w:p w14:paraId="332329B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39550"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83FD60"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59C0126" w14:textId="77777777" w:rsidR="00000000" w:rsidRDefault="000A3118">
            <w:pPr>
              <w:jc w:val="right"/>
              <w:rPr>
                <w:rFonts w:eastAsia="Times New Roman"/>
              </w:rPr>
            </w:pPr>
            <w:r>
              <w:rPr>
                <w:rFonts w:eastAsia="Times New Roman"/>
                <w:color w:val="000000"/>
                <w:sz w:val="16"/>
                <w:szCs w:val="16"/>
              </w:rPr>
              <w:t>86.3 </w:t>
            </w:r>
          </w:p>
        </w:tc>
        <w:tc>
          <w:tcPr>
            <w:tcW w:w="0" w:type="auto"/>
            <w:shd w:val="clear" w:color="auto" w:fill="CCEEFF"/>
            <w:tcMar>
              <w:top w:w="30" w:type="dxa"/>
              <w:left w:w="0" w:type="dxa"/>
              <w:bottom w:w="30" w:type="dxa"/>
              <w:right w:w="20" w:type="dxa"/>
            </w:tcMar>
            <w:vAlign w:val="bottom"/>
            <w:hideMark/>
          </w:tcPr>
          <w:p w14:paraId="5CE4EE4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9569EA"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0D0D39"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FC12E07" w14:textId="77777777" w:rsidR="00000000" w:rsidRDefault="000A3118">
            <w:pPr>
              <w:jc w:val="right"/>
              <w:rPr>
                <w:rFonts w:eastAsia="Times New Roman"/>
              </w:rPr>
            </w:pPr>
            <w:r>
              <w:rPr>
                <w:rFonts w:eastAsia="Times New Roman"/>
                <w:color w:val="000000"/>
                <w:sz w:val="16"/>
                <w:szCs w:val="16"/>
              </w:rPr>
              <w:t>67.3 </w:t>
            </w:r>
          </w:p>
        </w:tc>
        <w:tc>
          <w:tcPr>
            <w:tcW w:w="0" w:type="auto"/>
            <w:shd w:val="clear" w:color="auto" w:fill="CCEEFF"/>
            <w:tcMar>
              <w:top w:w="30" w:type="dxa"/>
              <w:left w:w="0" w:type="dxa"/>
              <w:bottom w:w="30" w:type="dxa"/>
              <w:right w:w="20" w:type="dxa"/>
            </w:tcMar>
            <w:vAlign w:val="bottom"/>
            <w:hideMark/>
          </w:tcPr>
          <w:p w14:paraId="610FB91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C1BE4"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406DBB0"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626AAF5" w14:textId="77777777" w:rsidR="00000000" w:rsidRDefault="000A3118">
            <w:pPr>
              <w:jc w:val="right"/>
              <w:rPr>
                <w:rFonts w:eastAsia="Times New Roman"/>
              </w:rPr>
            </w:pPr>
            <w:r>
              <w:rPr>
                <w:rFonts w:eastAsia="Times New Roman"/>
                <w:color w:val="000000"/>
                <w:sz w:val="16"/>
                <w:szCs w:val="16"/>
              </w:rPr>
              <w:t>215.4 </w:t>
            </w:r>
          </w:p>
        </w:tc>
        <w:tc>
          <w:tcPr>
            <w:tcW w:w="0" w:type="auto"/>
            <w:shd w:val="clear" w:color="auto" w:fill="CCEEFF"/>
            <w:tcMar>
              <w:top w:w="30" w:type="dxa"/>
              <w:left w:w="0" w:type="dxa"/>
              <w:bottom w:w="30" w:type="dxa"/>
              <w:right w:w="20" w:type="dxa"/>
            </w:tcMar>
            <w:vAlign w:val="bottom"/>
            <w:hideMark/>
          </w:tcPr>
          <w:p w14:paraId="04793F71" w14:textId="77777777" w:rsidR="00000000" w:rsidRDefault="000A3118">
            <w:pPr>
              <w:jc w:val="right"/>
              <w:rPr>
                <w:rFonts w:eastAsia="Times New Roman"/>
              </w:rPr>
            </w:pPr>
          </w:p>
        </w:tc>
      </w:tr>
      <w:tr w:rsidR="00000000" w14:paraId="294EB54C" w14:textId="77777777">
        <w:trPr>
          <w:divId w:val="2064597721"/>
        </w:trPr>
        <w:tc>
          <w:tcPr>
            <w:tcW w:w="0" w:type="auto"/>
            <w:gridSpan w:val="3"/>
            <w:shd w:val="clear" w:color="auto" w:fill="FFFFFF"/>
            <w:tcMar>
              <w:top w:w="30" w:type="dxa"/>
              <w:left w:w="135" w:type="dxa"/>
              <w:bottom w:w="30" w:type="dxa"/>
              <w:right w:w="20" w:type="dxa"/>
            </w:tcMar>
            <w:vAlign w:val="bottom"/>
            <w:hideMark/>
          </w:tcPr>
          <w:p w14:paraId="612AEEC9" w14:textId="77777777" w:rsidR="00000000" w:rsidRDefault="000A3118">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14:paraId="4717754D"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FBF478" w14:textId="77777777" w:rsidR="00000000" w:rsidRDefault="000A3118">
            <w:pPr>
              <w:jc w:val="right"/>
              <w:rPr>
                <w:rFonts w:eastAsia="Times New Roman"/>
              </w:rPr>
            </w:pPr>
            <w:r>
              <w:rPr>
                <w:rFonts w:eastAsia="Times New Roman"/>
                <w:color w:val="000000"/>
                <w:sz w:val="16"/>
                <w:szCs w:val="16"/>
              </w:rPr>
              <w:t>18.8 </w:t>
            </w:r>
          </w:p>
        </w:tc>
        <w:tc>
          <w:tcPr>
            <w:tcW w:w="0" w:type="auto"/>
            <w:shd w:val="clear" w:color="auto" w:fill="FFFFFF"/>
            <w:tcMar>
              <w:top w:w="30" w:type="dxa"/>
              <w:left w:w="0" w:type="dxa"/>
              <w:bottom w:w="30" w:type="dxa"/>
              <w:right w:w="20" w:type="dxa"/>
            </w:tcMar>
            <w:vAlign w:val="bottom"/>
            <w:hideMark/>
          </w:tcPr>
          <w:p w14:paraId="01DE963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35375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8AE0B" w14:textId="77777777" w:rsidR="00000000" w:rsidRDefault="000A3118">
            <w:pPr>
              <w:jc w:val="right"/>
              <w:rPr>
                <w:rFonts w:eastAsia="Times New Roman"/>
              </w:rPr>
            </w:pPr>
            <w:r>
              <w:rPr>
                <w:rFonts w:eastAsia="Times New Roman"/>
                <w:color w:val="000000"/>
                <w:sz w:val="16"/>
                <w:szCs w:val="16"/>
              </w:rPr>
              <w:t>13.4 </w:t>
            </w:r>
          </w:p>
        </w:tc>
        <w:tc>
          <w:tcPr>
            <w:tcW w:w="0" w:type="auto"/>
            <w:shd w:val="clear" w:color="auto" w:fill="FFFFFF"/>
            <w:tcMar>
              <w:top w:w="30" w:type="dxa"/>
              <w:left w:w="0" w:type="dxa"/>
              <w:bottom w:w="30" w:type="dxa"/>
              <w:right w:w="20" w:type="dxa"/>
            </w:tcMar>
            <w:vAlign w:val="bottom"/>
            <w:hideMark/>
          </w:tcPr>
          <w:p w14:paraId="6B59B7A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E6A14F"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C73D6D" w14:textId="77777777" w:rsidR="00000000" w:rsidRDefault="000A3118">
            <w:pPr>
              <w:jc w:val="right"/>
              <w:rPr>
                <w:rFonts w:eastAsia="Times New Roman"/>
              </w:rPr>
            </w:pPr>
            <w:r>
              <w:rPr>
                <w:rFonts w:eastAsia="Times New Roman"/>
                <w:color w:val="000000"/>
                <w:sz w:val="16"/>
                <w:szCs w:val="16"/>
              </w:rPr>
              <w:t>54.1 </w:t>
            </w:r>
          </w:p>
        </w:tc>
        <w:tc>
          <w:tcPr>
            <w:tcW w:w="0" w:type="auto"/>
            <w:shd w:val="clear" w:color="auto" w:fill="FFFFFF"/>
            <w:tcMar>
              <w:top w:w="30" w:type="dxa"/>
              <w:left w:w="0" w:type="dxa"/>
              <w:bottom w:w="30" w:type="dxa"/>
              <w:right w:w="20" w:type="dxa"/>
            </w:tcMar>
            <w:vAlign w:val="bottom"/>
            <w:hideMark/>
          </w:tcPr>
          <w:p w14:paraId="3B8C3D77"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EC0E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BC42C" w14:textId="77777777" w:rsidR="00000000" w:rsidRDefault="000A3118">
            <w:pPr>
              <w:jc w:val="right"/>
              <w:rPr>
                <w:rFonts w:eastAsia="Times New Roman"/>
              </w:rPr>
            </w:pPr>
            <w:r>
              <w:rPr>
                <w:rFonts w:eastAsia="Times New Roman"/>
                <w:color w:val="000000"/>
                <w:sz w:val="16"/>
                <w:szCs w:val="16"/>
              </w:rPr>
              <w:t>46.2 </w:t>
            </w:r>
          </w:p>
        </w:tc>
        <w:tc>
          <w:tcPr>
            <w:tcW w:w="0" w:type="auto"/>
            <w:shd w:val="clear" w:color="auto" w:fill="FFFFFF"/>
            <w:tcMar>
              <w:top w:w="30" w:type="dxa"/>
              <w:left w:w="0" w:type="dxa"/>
              <w:bottom w:w="30" w:type="dxa"/>
              <w:right w:w="20" w:type="dxa"/>
            </w:tcMar>
            <w:vAlign w:val="bottom"/>
            <w:hideMark/>
          </w:tcPr>
          <w:p w14:paraId="2601ACCB" w14:textId="77777777" w:rsidR="00000000" w:rsidRDefault="000A3118">
            <w:pPr>
              <w:jc w:val="right"/>
              <w:rPr>
                <w:rFonts w:eastAsia="Times New Roman"/>
              </w:rPr>
            </w:pPr>
          </w:p>
        </w:tc>
      </w:tr>
      <w:tr w:rsidR="00000000" w14:paraId="3AED5173" w14:textId="77777777">
        <w:trPr>
          <w:divId w:val="2064597721"/>
        </w:trPr>
        <w:tc>
          <w:tcPr>
            <w:tcW w:w="0" w:type="auto"/>
            <w:gridSpan w:val="3"/>
            <w:shd w:val="clear" w:color="auto" w:fill="CCEEFF"/>
            <w:tcMar>
              <w:top w:w="30" w:type="dxa"/>
              <w:left w:w="135" w:type="dxa"/>
              <w:bottom w:w="30" w:type="dxa"/>
              <w:right w:w="20" w:type="dxa"/>
            </w:tcMar>
            <w:vAlign w:val="bottom"/>
            <w:hideMark/>
          </w:tcPr>
          <w:p w14:paraId="4B8DFE60" w14:textId="77777777" w:rsidR="00000000" w:rsidRDefault="000A3118">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14:paraId="21647395"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B2D247" w14:textId="77777777" w:rsidR="00000000" w:rsidRDefault="000A3118">
            <w:pPr>
              <w:jc w:val="right"/>
              <w:rPr>
                <w:rFonts w:eastAsia="Times New Roman"/>
              </w:rPr>
            </w:pPr>
            <w:r>
              <w:rPr>
                <w:rFonts w:eastAsia="Times New Roman"/>
                <w:color w:val="000000"/>
                <w:sz w:val="16"/>
                <w:szCs w:val="16"/>
              </w:rPr>
              <w:t>8.2 </w:t>
            </w:r>
          </w:p>
        </w:tc>
        <w:tc>
          <w:tcPr>
            <w:tcW w:w="0" w:type="auto"/>
            <w:shd w:val="clear" w:color="auto" w:fill="CCEEFF"/>
            <w:tcMar>
              <w:top w:w="30" w:type="dxa"/>
              <w:left w:w="0" w:type="dxa"/>
              <w:bottom w:w="30" w:type="dxa"/>
              <w:right w:w="20" w:type="dxa"/>
            </w:tcMar>
            <w:vAlign w:val="bottom"/>
            <w:hideMark/>
          </w:tcPr>
          <w:p w14:paraId="5839BBA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0783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70B68F" w14:textId="77777777" w:rsidR="00000000" w:rsidRDefault="000A3118">
            <w:pPr>
              <w:jc w:val="right"/>
              <w:rPr>
                <w:rFonts w:eastAsia="Times New Roman"/>
              </w:rPr>
            </w:pPr>
            <w:r>
              <w:rPr>
                <w:rFonts w:eastAsia="Times New Roman"/>
                <w:color w:val="000000"/>
                <w:sz w:val="16"/>
                <w:szCs w:val="16"/>
              </w:rPr>
              <w:t>20.6 </w:t>
            </w:r>
          </w:p>
        </w:tc>
        <w:tc>
          <w:tcPr>
            <w:tcW w:w="0" w:type="auto"/>
            <w:shd w:val="clear" w:color="auto" w:fill="CCEEFF"/>
            <w:tcMar>
              <w:top w:w="30" w:type="dxa"/>
              <w:left w:w="0" w:type="dxa"/>
              <w:bottom w:w="30" w:type="dxa"/>
              <w:right w:w="20" w:type="dxa"/>
            </w:tcMar>
            <w:vAlign w:val="bottom"/>
            <w:hideMark/>
          </w:tcPr>
          <w:p w14:paraId="4618915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BDCE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A6ECF4" w14:textId="77777777" w:rsidR="00000000" w:rsidRDefault="000A3118">
            <w:pPr>
              <w:jc w:val="right"/>
              <w:rPr>
                <w:rFonts w:eastAsia="Times New Roman"/>
              </w:rPr>
            </w:pPr>
            <w:r>
              <w:rPr>
                <w:rFonts w:eastAsia="Times New Roman"/>
                <w:color w:val="000000"/>
                <w:sz w:val="16"/>
                <w:szCs w:val="16"/>
              </w:rPr>
              <w:t>55.4 </w:t>
            </w:r>
          </w:p>
        </w:tc>
        <w:tc>
          <w:tcPr>
            <w:tcW w:w="0" w:type="auto"/>
            <w:shd w:val="clear" w:color="auto" w:fill="CCEEFF"/>
            <w:tcMar>
              <w:top w:w="30" w:type="dxa"/>
              <w:left w:w="0" w:type="dxa"/>
              <w:bottom w:w="30" w:type="dxa"/>
              <w:right w:w="20" w:type="dxa"/>
            </w:tcMar>
            <w:vAlign w:val="bottom"/>
            <w:hideMark/>
          </w:tcPr>
          <w:p w14:paraId="1DDD0E5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C780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1461A7" w14:textId="77777777" w:rsidR="00000000" w:rsidRDefault="000A3118">
            <w:pPr>
              <w:jc w:val="right"/>
              <w:rPr>
                <w:rFonts w:eastAsia="Times New Roman"/>
              </w:rPr>
            </w:pPr>
            <w:r>
              <w:rPr>
                <w:rFonts w:eastAsia="Times New Roman"/>
                <w:color w:val="000000"/>
                <w:sz w:val="16"/>
                <w:szCs w:val="16"/>
              </w:rPr>
              <w:t>44.2 </w:t>
            </w:r>
          </w:p>
        </w:tc>
        <w:tc>
          <w:tcPr>
            <w:tcW w:w="0" w:type="auto"/>
            <w:shd w:val="clear" w:color="auto" w:fill="CCEEFF"/>
            <w:tcMar>
              <w:top w:w="30" w:type="dxa"/>
              <w:left w:w="0" w:type="dxa"/>
              <w:bottom w:w="30" w:type="dxa"/>
              <w:right w:w="20" w:type="dxa"/>
            </w:tcMar>
            <w:vAlign w:val="bottom"/>
            <w:hideMark/>
          </w:tcPr>
          <w:p w14:paraId="06F332B7" w14:textId="77777777" w:rsidR="00000000" w:rsidRDefault="000A3118">
            <w:pPr>
              <w:jc w:val="right"/>
              <w:rPr>
                <w:rFonts w:eastAsia="Times New Roman"/>
              </w:rPr>
            </w:pPr>
          </w:p>
        </w:tc>
      </w:tr>
      <w:tr w:rsidR="00000000" w14:paraId="13157400" w14:textId="77777777">
        <w:trPr>
          <w:divId w:val="2064597721"/>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5A80BE"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09DC4D" w14:textId="77777777" w:rsidR="00000000" w:rsidRDefault="000A3118">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5569AA" w14:textId="77777777" w:rsidR="00000000" w:rsidRDefault="000A3118">
            <w:pPr>
              <w:jc w:val="right"/>
              <w:rPr>
                <w:rFonts w:eastAsia="Times New Roman"/>
              </w:rPr>
            </w:pPr>
            <w:r>
              <w:rPr>
                <w:rFonts w:eastAsia="Times New Roman"/>
                <w:color w:val="000000"/>
                <w:sz w:val="16"/>
                <w:szCs w:val="16"/>
              </w:rPr>
              <w:t>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C3639D"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D17B76"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7A60C4" w14:textId="77777777" w:rsidR="00000000" w:rsidRDefault="000A3118">
            <w:pPr>
              <w:jc w:val="right"/>
              <w:rPr>
                <w:rFonts w:eastAsia="Times New Roman"/>
              </w:rPr>
            </w:pPr>
            <w:r>
              <w:rPr>
                <w:rFonts w:eastAsia="Times New Roman"/>
                <w:color w:val="000000"/>
                <w:sz w:val="16"/>
                <w:szCs w:val="16"/>
              </w:rPr>
              <w:t>120.3 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DF25A1"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B37703"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E9B317" w14:textId="77777777" w:rsidR="00000000" w:rsidRDefault="000A3118">
            <w:pPr>
              <w:jc w:val="right"/>
              <w:rPr>
                <w:rFonts w:eastAsia="Times New Roman"/>
              </w:rPr>
            </w:pPr>
            <w:r>
              <w:rPr>
                <w:rFonts w:eastAsia="Times New Roman"/>
                <w:color w:val="000000"/>
                <w:sz w:val="16"/>
                <w:szCs w:val="16"/>
              </w:rPr>
              <w:t>176.8 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883CB8"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8E1DA3"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13BD6F" w14:textId="77777777" w:rsidR="00000000" w:rsidRDefault="000A3118">
            <w:pPr>
              <w:jc w:val="right"/>
              <w:rPr>
                <w:rFonts w:eastAsia="Times New Roman"/>
              </w:rPr>
            </w:pPr>
            <w:r>
              <w:rPr>
                <w:rFonts w:eastAsia="Times New Roman"/>
                <w:color w:val="000000"/>
                <w:sz w:val="16"/>
                <w:szCs w:val="16"/>
              </w:rPr>
              <w:t>305.9 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572AE6" w14:textId="77777777" w:rsidR="00000000" w:rsidRDefault="000A3118">
            <w:pPr>
              <w:jc w:val="right"/>
              <w:rPr>
                <w:rFonts w:eastAsia="Times New Roman"/>
              </w:rPr>
            </w:pPr>
          </w:p>
        </w:tc>
      </w:tr>
      <w:tr w:rsidR="00000000" w14:paraId="1A9BEB6C" w14:textId="77777777">
        <w:trPr>
          <w:divId w:val="2064597721"/>
        </w:trPr>
        <w:tc>
          <w:tcPr>
            <w:tcW w:w="0" w:type="auto"/>
            <w:gridSpan w:val="3"/>
            <w:shd w:val="clear" w:color="auto" w:fill="CCEEFF"/>
            <w:tcMar>
              <w:top w:w="30" w:type="dxa"/>
              <w:left w:w="135" w:type="dxa"/>
              <w:bottom w:w="30" w:type="dxa"/>
              <w:right w:w="20" w:type="dxa"/>
            </w:tcMar>
            <w:vAlign w:val="bottom"/>
            <w:hideMark/>
          </w:tcPr>
          <w:p w14:paraId="390FF18D" w14:textId="77777777" w:rsidR="00000000" w:rsidRDefault="000A3118">
            <w:pPr>
              <w:rPr>
                <w:rFonts w:eastAsia="Times New Roman"/>
              </w:rPr>
            </w:pPr>
            <w:r>
              <w:rPr>
                <w:rFonts w:eastAsia="Times New Roman"/>
                <w:color w:val="000000"/>
                <w:sz w:val="16"/>
                <w:szCs w:val="16"/>
              </w:rPr>
              <w:t>Corporate overhead - unallocated</w:t>
            </w:r>
          </w:p>
        </w:tc>
        <w:tc>
          <w:tcPr>
            <w:tcW w:w="0" w:type="auto"/>
            <w:gridSpan w:val="3"/>
            <w:shd w:val="clear" w:color="auto" w:fill="CCEEFF"/>
            <w:tcMar>
              <w:top w:w="0" w:type="dxa"/>
              <w:left w:w="20" w:type="dxa"/>
              <w:bottom w:w="0" w:type="dxa"/>
              <w:right w:w="20" w:type="dxa"/>
            </w:tcMar>
            <w:vAlign w:val="center"/>
            <w:hideMark/>
          </w:tcPr>
          <w:p w14:paraId="33B287FD"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17BF9D" w14:textId="77777777" w:rsidR="00000000" w:rsidRDefault="000A3118">
            <w:pPr>
              <w:jc w:val="right"/>
              <w:rPr>
                <w:rFonts w:eastAsia="Times New Roman"/>
              </w:rPr>
            </w:pPr>
            <w:r>
              <w:rPr>
                <w:rFonts w:eastAsia="Times New Roman"/>
                <w:color w:val="000000"/>
                <w:sz w:val="16"/>
                <w:szCs w:val="16"/>
              </w:rPr>
              <w:t>(17.4)</w:t>
            </w:r>
          </w:p>
        </w:tc>
        <w:tc>
          <w:tcPr>
            <w:tcW w:w="0" w:type="auto"/>
            <w:shd w:val="clear" w:color="auto" w:fill="CCEEFF"/>
            <w:tcMar>
              <w:top w:w="30" w:type="dxa"/>
              <w:left w:w="0" w:type="dxa"/>
              <w:bottom w:w="30" w:type="dxa"/>
              <w:right w:w="20" w:type="dxa"/>
            </w:tcMar>
            <w:vAlign w:val="bottom"/>
            <w:hideMark/>
          </w:tcPr>
          <w:p w14:paraId="211EC78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A13B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32FC65" w14:textId="77777777" w:rsidR="00000000" w:rsidRDefault="000A3118">
            <w:pPr>
              <w:jc w:val="right"/>
              <w:rPr>
                <w:rFonts w:eastAsia="Times New Roman"/>
              </w:rPr>
            </w:pPr>
            <w:r>
              <w:rPr>
                <w:rFonts w:eastAsia="Times New Roman"/>
                <w:color w:val="000000"/>
                <w:sz w:val="16"/>
                <w:szCs w:val="16"/>
              </w:rPr>
              <w:t>(26.7)</w:t>
            </w:r>
          </w:p>
        </w:tc>
        <w:tc>
          <w:tcPr>
            <w:tcW w:w="0" w:type="auto"/>
            <w:shd w:val="clear" w:color="auto" w:fill="CCEEFF"/>
            <w:tcMar>
              <w:top w:w="30" w:type="dxa"/>
              <w:left w:w="0" w:type="dxa"/>
              <w:bottom w:w="30" w:type="dxa"/>
              <w:right w:w="20" w:type="dxa"/>
            </w:tcMar>
            <w:vAlign w:val="bottom"/>
            <w:hideMark/>
          </w:tcPr>
          <w:p w14:paraId="180968E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0A91A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8299CB" w14:textId="77777777" w:rsidR="00000000" w:rsidRDefault="000A3118">
            <w:pPr>
              <w:jc w:val="right"/>
              <w:rPr>
                <w:rFonts w:eastAsia="Times New Roman"/>
              </w:rPr>
            </w:pPr>
            <w:r>
              <w:rPr>
                <w:rFonts w:eastAsia="Times New Roman"/>
                <w:color w:val="000000"/>
                <w:sz w:val="16"/>
                <w:szCs w:val="16"/>
              </w:rPr>
              <w:t>(55.3)</w:t>
            </w:r>
          </w:p>
        </w:tc>
        <w:tc>
          <w:tcPr>
            <w:tcW w:w="0" w:type="auto"/>
            <w:shd w:val="clear" w:color="auto" w:fill="CCEEFF"/>
            <w:tcMar>
              <w:top w:w="30" w:type="dxa"/>
              <w:left w:w="0" w:type="dxa"/>
              <w:bottom w:w="30" w:type="dxa"/>
              <w:right w:w="20" w:type="dxa"/>
            </w:tcMar>
            <w:vAlign w:val="bottom"/>
            <w:hideMark/>
          </w:tcPr>
          <w:p w14:paraId="3952F0B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8782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56B023" w14:textId="77777777" w:rsidR="00000000" w:rsidRDefault="000A3118">
            <w:pPr>
              <w:jc w:val="right"/>
              <w:rPr>
                <w:rFonts w:eastAsia="Times New Roman"/>
              </w:rPr>
            </w:pPr>
            <w:r>
              <w:rPr>
                <w:rFonts w:eastAsia="Times New Roman"/>
                <w:color w:val="000000"/>
                <w:sz w:val="16"/>
                <w:szCs w:val="16"/>
              </w:rPr>
              <w:t>(66.7)</w:t>
            </w:r>
          </w:p>
        </w:tc>
        <w:tc>
          <w:tcPr>
            <w:tcW w:w="0" w:type="auto"/>
            <w:shd w:val="clear" w:color="auto" w:fill="CCEEFF"/>
            <w:tcMar>
              <w:top w:w="30" w:type="dxa"/>
              <w:left w:w="0" w:type="dxa"/>
              <w:bottom w:w="30" w:type="dxa"/>
              <w:right w:w="20" w:type="dxa"/>
            </w:tcMar>
            <w:vAlign w:val="bottom"/>
            <w:hideMark/>
          </w:tcPr>
          <w:p w14:paraId="0AAFF021" w14:textId="77777777" w:rsidR="00000000" w:rsidRDefault="000A3118">
            <w:pPr>
              <w:jc w:val="right"/>
              <w:rPr>
                <w:rFonts w:eastAsia="Times New Roman"/>
              </w:rPr>
            </w:pPr>
          </w:p>
        </w:tc>
      </w:tr>
      <w:tr w:rsidR="00000000" w14:paraId="209B4550" w14:textId="77777777">
        <w:trPr>
          <w:divId w:val="2064597721"/>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AA34202"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4283446"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6A2A5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E6F4F8" w14:textId="77777777" w:rsidR="00000000" w:rsidRDefault="000A3118">
            <w:pPr>
              <w:jc w:val="right"/>
              <w:rPr>
                <w:rFonts w:eastAsia="Times New Roman"/>
              </w:rPr>
            </w:pPr>
            <w:r>
              <w:rPr>
                <w:rFonts w:eastAsia="Times New Roman"/>
                <w:color w:val="000000"/>
                <w:sz w:val="16"/>
                <w:szCs w:val="16"/>
              </w:rPr>
              <w:t>38.8 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508BC3"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C0E7E1F"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0953A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DA6F1B" w14:textId="77777777" w:rsidR="00000000" w:rsidRDefault="000A3118">
            <w:pPr>
              <w:jc w:val="right"/>
              <w:rPr>
                <w:rFonts w:eastAsia="Times New Roman"/>
              </w:rPr>
            </w:pPr>
            <w:r>
              <w:rPr>
                <w:rFonts w:eastAsia="Times New Roman"/>
                <w:color w:val="000000"/>
                <w:sz w:val="16"/>
                <w:szCs w:val="16"/>
              </w:rPr>
              <w:t>93.6 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E51EF4"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DE11656"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22B4B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7BA84D" w14:textId="77777777" w:rsidR="00000000" w:rsidRDefault="000A3118">
            <w:pPr>
              <w:jc w:val="right"/>
              <w:rPr>
                <w:rFonts w:eastAsia="Times New Roman"/>
              </w:rPr>
            </w:pPr>
            <w:r>
              <w:rPr>
                <w:rFonts w:eastAsia="Times New Roman"/>
                <w:color w:val="000000"/>
                <w:sz w:val="16"/>
                <w:szCs w:val="16"/>
              </w:rPr>
              <w:t>121.5 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F440F3"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86CA635"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31354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D54EC5" w14:textId="77777777" w:rsidR="00000000" w:rsidRDefault="000A3118">
            <w:pPr>
              <w:jc w:val="right"/>
              <w:rPr>
                <w:rFonts w:eastAsia="Times New Roman"/>
              </w:rPr>
            </w:pPr>
            <w:r>
              <w:rPr>
                <w:rFonts w:eastAsia="Times New Roman"/>
                <w:color w:val="000000"/>
                <w:sz w:val="16"/>
                <w:szCs w:val="16"/>
              </w:rPr>
              <w:t>239.2 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3B7F9B" w14:textId="77777777" w:rsidR="00000000" w:rsidRDefault="000A3118">
            <w:pPr>
              <w:jc w:val="right"/>
              <w:rPr>
                <w:rFonts w:eastAsia="Times New Roman"/>
              </w:rPr>
            </w:pPr>
          </w:p>
        </w:tc>
      </w:tr>
      <w:tr w:rsidR="00000000" w14:paraId="013E0B6F" w14:textId="77777777">
        <w:trPr>
          <w:divId w:val="2064597721"/>
        </w:trPr>
        <w:tc>
          <w:tcPr>
            <w:tcW w:w="0" w:type="auto"/>
            <w:gridSpan w:val="3"/>
            <w:vAlign w:val="center"/>
            <w:hideMark/>
          </w:tcPr>
          <w:p w14:paraId="7FBEC608" w14:textId="77777777" w:rsidR="00000000" w:rsidRDefault="000A3118">
            <w:pPr>
              <w:jc w:val="right"/>
              <w:rPr>
                <w:rFonts w:eastAsia="Times New Roman"/>
                <w:sz w:val="20"/>
                <w:szCs w:val="20"/>
              </w:rPr>
            </w:pPr>
          </w:p>
        </w:tc>
        <w:tc>
          <w:tcPr>
            <w:tcW w:w="0" w:type="auto"/>
            <w:gridSpan w:val="3"/>
            <w:vAlign w:val="center"/>
            <w:hideMark/>
          </w:tcPr>
          <w:p w14:paraId="54C0150B" w14:textId="77777777" w:rsidR="00000000" w:rsidRDefault="000A3118">
            <w:pPr>
              <w:rPr>
                <w:rFonts w:eastAsia="Times New Roman"/>
                <w:sz w:val="20"/>
                <w:szCs w:val="20"/>
              </w:rPr>
            </w:pPr>
          </w:p>
        </w:tc>
        <w:tc>
          <w:tcPr>
            <w:tcW w:w="0" w:type="auto"/>
            <w:gridSpan w:val="3"/>
            <w:vAlign w:val="center"/>
            <w:hideMark/>
          </w:tcPr>
          <w:p w14:paraId="67F435D0" w14:textId="77777777" w:rsidR="00000000" w:rsidRDefault="000A3118">
            <w:pPr>
              <w:rPr>
                <w:rFonts w:eastAsia="Times New Roman"/>
                <w:sz w:val="20"/>
                <w:szCs w:val="20"/>
              </w:rPr>
            </w:pPr>
          </w:p>
        </w:tc>
        <w:tc>
          <w:tcPr>
            <w:tcW w:w="0" w:type="auto"/>
            <w:gridSpan w:val="3"/>
            <w:vAlign w:val="center"/>
            <w:hideMark/>
          </w:tcPr>
          <w:p w14:paraId="1EC15F35" w14:textId="77777777" w:rsidR="00000000" w:rsidRDefault="000A3118">
            <w:pPr>
              <w:rPr>
                <w:rFonts w:eastAsia="Times New Roman"/>
                <w:sz w:val="20"/>
                <w:szCs w:val="20"/>
              </w:rPr>
            </w:pPr>
          </w:p>
        </w:tc>
        <w:tc>
          <w:tcPr>
            <w:tcW w:w="0" w:type="auto"/>
            <w:gridSpan w:val="3"/>
            <w:vAlign w:val="center"/>
            <w:hideMark/>
          </w:tcPr>
          <w:p w14:paraId="7B6E2448" w14:textId="77777777" w:rsidR="00000000" w:rsidRDefault="000A3118">
            <w:pPr>
              <w:rPr>
                <w:rFonts w:eastAsia="Times New Roman"/>
                <w:sz w:val="20"/>
                <w:szCs w:val="20"/>
              </w:rPr>
            </w:pPr>
          </w:p>
        </w:tc>
        <w:tc>
          <w:tcPr>
            <w:tcW w:w="0" w:type="auto"/>
            <w:gridSpan w:val="3"/>
            <w:vAlign w:val="center"/>
            <w:hideMark/>
          </w:tcPr>
          <w:p w14:paraId="4B72C88E" w14:textId="77777777" w:rsidR="00000000" w:rsidRDefault="000A3118">
            <w:pPr>
              <w:rPr>
                <w:rFonts w:eastAsia="Times New Roman"/>
                <w:sz w:val="20"/>
                <w:szCs w:val="20"/>
              </w:rPr>
            </w:pPr>
          </w:p>
        </w:tc>
        <w:tc>
          <w:tcPr>
            <w:tcW w:w="0" w:type="auto"/>
            <w:gridSpan w:val="3"/>
            <w:vAlign w:val="center"/>
            <w:hideMark/>
          </w:tcPr>
          <w:p w14:paraId="0D84C6BB" w14:textId="77777777" w:rsidR="00000000" w:rsidRDefault="000A3118">
            <w:pPr>
              <w:rPr>
                <w:rFonts w:eastAsia="Times New Roman"/>
                <w:sz w:val="20"/>
                <w:szCs w:val="20"/>
              </w:rPr>
            </w:pPr>
          </w:p>
        </w:tc>
        <w:tc>
          <w:tcPr>
            <w:tcW w:w="0" w:type="auto"/>
            <w:gridSpan w:val="3"/>
            <w:vAlign w:val="center"/>
            <w:hideMark/>
          </w:tcPr>
          <w:p w14:paraId="39C8B0ED" w14:textId="77777777" w:rsidR="00000000" w:rsidRDefault="000A3118">
            <w:pPr>
              <w:rPr>
                <w:rFonts w:eastAsia="Times New Roman"/>
                <w:sz w:val="20"/>
                <w:szCs w:val="20"/>
              </w:rPr>
            </w:pPr>
          </w:p>
        </w:tc>
        <w:tc>
          <w:tcPr>
            <w:tcW w:w="0" w:type="auto"/>
            <w:gridSpan w:val="3"/>
            <w:vAlign w:val="center"/>
            <w:hideMark/>
          </w:tcPr>
          <w:p w14:paraId="63384864" w14:textId="77777777" w:rsidR="00000000" w:rsidRDefault="000A3118">
            <w:pPr>
              <w:rPr>
                <w:rFonts w:eastAsia="Times New Roman"/>
                <w:sz w:val="20"/>
                <w:szCs w:val="20"/>
              </w:rPr>
            </w:pPr>
          </w:p>
        </w:tc>
      </w:tr>
      <w:tr w:rsidR="00000000" w14:paraId="54BA3ECB" w14:textId="77777777">
        <w:trPr>
          <w:divId w:val="2064597721"/>
        </w:trPr>
        <w:tc>
          <w:tcPr>
            <w:tcW w:w="0" w:type="auto"/>
            <w:gridSpan w:val="3"/>
            <w:vAlign w:val="center"/>
            <w:hideMark/>
          </w:tcPr>
          <w:p w14:paraId="44495267" w14:textId="77777777" w:rsidR="00000000" w:rsidRDefault="000A3118">
            <w:pPr>
              <w:rPr>
                <w:rFonts w:eastAsia="Times New Roman"/>
                <w:sz w:val="20"/>
                <w:szCs w:val="20"/>
              </w:rPr>
            </w:pPr>
          </w:p>
        </w:tc>
        <w:tc>
          <w:tcPr>
            <w:tcW w:w="0" w:type="auto"/>
            <w:gridSpan w:val="3"/>
            <w:vAlign w:val="center"/>
            <w:hideMark/>
          </w:tcPr>
          <w:p w14:paraId="4BEB1249" w14:textId="77777777" w:rsidR="00000000" w:rsidRDefault="000A3118">
            <w:pPr>
              <w:rPr>
                <w:rFonts w:eastAsia="Times New Roman"/>
                <w:sz w:val="20"/>
                <w:szCs w:val="20"/>
              </w:rPr>
            </w:pPr>
          </w:p>
        </w:tc>
        <w:tc>
          <w:tcPr>
            <w:tcW w:w="0" w:type="auto"/>
            <w:gridSpan w:val="3"/>
            <w:vAlign w:val="center"/>
            <w:hideMark/>
          </w:tcPr>
          <w:p w14:paraId="142949CC" w14:textId="77777777" w:rsidR="00000000" w:rsidRDefault="000A3118">
            <w:pPr>
              <w:rPr>
                <w:rFonts w:eastAsia="Times New Roman"/>
                <w:sz w:val="20"/>
                <w:szCs w:val="20"/>
              </w:rPr>
            </w:pPr>
          </w:p>
        </w:tc>
        <w:tc>
          <w:tcPr>
            <w:tcW w:w="0" w:type="auto"/>
            <w:gridSpan w:val="3"/>
            <w:vAlign w:val="center"/>
            <w:hideMark/>
          </w:tcPr>
          <w:p w14:paraId="0F00D155" w14:textId="77777777" w:rsidR="00000000" w:rsidRDefault="000A3118">
            <w:pPr>
              <w:rPr>
                <w:rFonts w:eastAsia="Times New Roman"/>
                <w:sz w:val="20"/>
                <w:szCs w:val="20"/>
              </w:rPr>
            </w:pPr>
          </w:p>
        </w:tc>
        <w:tc>
          <w:tcPr>
            <w:tcW w:w="0" w:type="auto"/>
            <w:gridSpan w:val="3"/>
            <w:vAlign w:val="center"/>
            <w:hideMark/>
          </w:tcPr>
          <w:p w14:paraId="2D6B6287" w14:textId="77777777" w:rsidR="00000000" w:rsidRDefault="000A3118">
            <w:pPr>
              <w:rPr>
                <w:rFonts w:eastAsia="Times New Roman"/>
                <w:sz w:val="20"/>
                <w:szCs w:val="20"/>
              </w:rPr>
            </w:pPr>
          </w:p>
        </w:tc>
        <w:tc>
          <w:tcPr>
            <w:tcW w:w="0" w:type="auto"/>
            <w:gridSpan w:val="3"/>
            <w:vAlign w:val="center"/>
            <w:hideMark/>
          </w:tcPr>
          <w:p w14:paraId="0BAF94CF" w14:textId="77777777" w:rsidR="00000000" w:rsidRDefault="000A3118">
            <w:pPr>
              <w:rPr>
                <w:rFonts w:eastAsia="Times New Roman"/>
                <w:sz w:val="20"/>
                <w:szCs w:val="20"/>
              </w:rPr>
            </w:pPr>
          </w:p>
        </w:tc>
        <w:tc>
          <w:tcPr>
            <w:tcW w:w="0" w:type="auto"/>
            <w:gridSpan w:val="3"/>
            <w:vAlign w:val="center"/>
            <w:hideMark/>
          </w:tcPr>
          <w:p w14:paraId="69EC92C7" w14:textId="77777777" w:rsidR="00000000" w:rsidRDefault="000A3118">
            <w:pPr>
              <w:rPr>
                <w:rFonts w:eastAsia="Times New Roman"/>
                <w:sz w:val="20"/>
                <w:szCs w:val="20"/>
              </w:rPr>
            </w:pPr>
          </w:p>
        </w:tc>
        <w:tc>
          <w:tcPr>
            <w:tcW w:w="0" w:type="auto"/>
            <w:gridSpan w:val="3"/>
            <w:vAlign w:val="center"/>
            <w:hideMark/>
          </w:tcPr>
          <w:p w14:paraId="33C7C45F" w14:textId="77777777" w:rsidR="00000000" w:rsidRDefault="000A3118">
            <w:pPr>
              <w:rPr>
                <w:rFonts w:eastAsia="Times New Roman"/>
                <w:sz w:val="20"/>
                <w:szCs w:val="20"/>
              </w:rPr>
            </w:pPr>
          </w:p>
        </w:tc>
        <w:tc>
          <w:tcPr>
            <w:tcW w:w="0" w:type="auto"/>
            <w:gridSpan w:val="3"/>
            <w:vAlign w:val="center"/>
            <w:hideMark/>
          </w:tcPr>
          <w:p w14:paraId="11C52F74" w14:textId="77777777" w:rsidR="00000000" w:rsidRDefault="000A3118">
            <w:pPr>
              <w:rPr>
                <w:rFonts w:eastAsia="Times New Roman"/>
                <w:sz w:val="20"/>
                <w:szCs w:val="20"/>
              </w:rPr>
            </w:pPr>
          </w:p>
        </w:tc>
      </w:tr>
      <w:tr w:rsidR="00000000" w14:paraId="380727AA" w14:textId="77777777">
        <w:trPr>
          <w:divId w:val="2064597721"/>
        </w:trPr>
        <w:tc>
          <w:tcPr>
            <w:tcW w:w="0" w:type="auto"/>
            <w:gridSpan w:val="3"/>
            <w:vAlign w:val="center"/>
            <w:hideMark/>
          </w:tcPr>
          <w:p w14:paraId="0807E0CB" w14:textId="77777777" w:rsidR="00000000" w:rsidRDefault="000A3118">
            <w:pPr>
              <w:rPr>
                <w:rFonts w:eastAsia="Times New Roman"/>
                <w:sz w:val="20"/>
                <w:szCs w:val="20"/>
              </w:rPr>
            </w:pPr>
          </w:p>
        </w:tc>
        <w:tc>
          <w:tcPr>
            <w:tcW w:w="0" w:type="auto"/>
            <w:gridSpan w:val="3"/>
            <w:vAlign w:val="center"/>
            <w:hideMark/>
          </w:tcPr>
          <w:p w14:paraId="31478691" w14:textId="77777777" w:rsidR="00000000" w:rsidRDefault="000A3118">
            <w:pPr>
              <w:rPr>
                <w:rFonts w:eastAsia="Times New Roman"/>
                <w:sz w:val="20"/>
                <w:szCs w:val="20"/>
              </w:rPr>
            </w:pPr>
          </w:p>
        </w:tc>
        <w:tc>
          <w:tcPr>
            <w:tcW w:w="0" w:type="auto"/>
            <w:gridSpan w:val="3"/>
            <w:vAlign w:val="center"/>
            <w:hideMark/>
          </w:tcPr>
          <w:p w14:paraId="200232B5" w14:textId="77777777" w:rsidR="00000000" w:rsidRDefault="000A3118">
            <w:pPr>
              <w:rPr>
                <w:rFonts w:eastAsia="Times New Roman"/>
                <w:sz w:val="20"/>
                <w:szCs w:val="20"/>
              </w:rPr>
            </w:pPr>
          </w:p>
        </w:tc>
        <w:tc>
          <w:tcPr>
            <w:tcW w:w="0" w:type="auto"/>
            <w:gridSpan w:val="3"/>
            <w:vAlign w:val="center"/>
            <w:hideMark/>
          </w:tcPr>
          <w:p w14:paraId="0F600EEA" w14:textId="77777777" w:rsidR="00000000" w:rsidRDefault="000A3118">
            <w:pPr>
              <w:rPr>
                <w:rFonts w:eastAsia="Times New Roman"/>
                <w:sz w:val="20"/>
                <w:szCs w:val="20"/>
              </w:rPr>
            </w:pPr>
          </w:p>
        </w:tc>
        <w:tc>
          <w:tcPr>
            <w:tcW w:w="0" w:type="auto"/>
            <w:gridSpan w:val="3"/>
            <w:vAlign w:val="center"/>
            <w:hideMark/>
          </w:tcPr>
          <w:p w14:paraId="7328F395" w14:textId="77777777" w:rsidR="00000000" w:rsidRDefault="000A3118">
            <w:pPr>
              <w:rPr>
                <w:rFonts w:eastAsia="Times New Roman"/>
                <w:sz w:val="20"/>
                <w:szCs w:val="20"/>
              </w:rPr>
            </w:pPr>
          </w:p>
        </w:tc>
        <w:tc>
          <w:tcPr>
            <w:tcW w:w="0" w:type="auto"/>
            <w:gridSpan w:val="3"/>
            <w:vAlign w:val="center"/>
            <w:hideMark/>
          </w:tcPr>
          <w:p w14:paraId="05158D66" w14:textId="77777777" w:rsidR="00000000" w:rsidRDefault="000A3118">
            <w:pPr>
              <w:rPr>
                <w:rFonts w:eastAsia="Times New Roman"/>
                <w:sz w:val="20"/>
                <w:szCs w:val="20"/>
              </w:rPr>
            </w:pPr>
          </w:p>
        </w:tc>
        <w:tc>
          <w:tcPr>
            <w:tcW w:w="0" w:type="auto"/>
            <w:gridSpan w:val="3"/>
            <w:vAlign w:val="center"/>
            <w:hideMark/>
          </w:tcPr>
          <w:p w14:paraId="26DE35AF" w14:textId="77777777" w:rsidR="00000000" w:rsidRDefault="000A3118">
            <w:pPr>
              <w:rPr>
                <w:rFonts w:eastAsia="Times New Roman"/>
                <w:sz w:val="20"/>
                <w:szCs w:val="20"/>
              </w:rPr>
            </w:pPr>
          </w:p>
        </w:tc>
        <w:tc>
          <w:tcPr>
            <w:tcW w:w="0" w:type="auto"/>
            <w:gridSpan w:val="3"/>
            <w:vAlign w:val="center"/>
            <w:hideMark/>
          </w:tcPr>
          <w:p w14:paraId="35BE33D2" w14:textId="77777777" w:rsidR="00000000" w:rsidRDefault="000A3118">
            <w:pPr>
              <w:rPr>
                <w:rFonts w:eastAsia="Times New Roman"/>
                <w:sz w:val="20"/>
                <w:szCs w:val="20"/>
              </w:rPr>
            </w:pPr>
          </w:p>
        </w:tc>
        <w:tc>
          <w:tcPr>
            <w:tcW w:w="0" w:type="auto"/>
            <w:gridSpan w:val="3"/>
            <w:vAlign w:val="center"/>
            <w:hideMark/>
          </w:tcPr>
          <w:p w14:paraId="5CD6D06F" w14:textId="77777777" w:rsidR="00000000" w:rsidRDefault="000A3118">
            <w:pPr>
              <w:rPr>
                <w:rFonts w:eastAsia="Times New Roman"/>
                <w:sz w:val="20"/>
                <w:szCs w:val="20"/>
              </w:rPr>
            </w:pPr>
          </w:p>
        </w:tc>
      </w:tr>
      <w:tr w:rsidR="00000000" w14:paraId="799FBF50" w14:textId="77777777">
        <w:trPr>
          <w:divId w:val="2064597721"/>
        </w:trPr>
        <w:tc>
          <w:tcPr>
            <w:tcW w:w="0" w:type="auto"/>
            <w:gridSpan w:val="3"/>
            <w:vAlign w:val="center"/>
            <w:hideMark/>
          </w:tcPr>
          <w:p w14:paraId="05896979" w14:textId="77777777" w:rsidR="00000000" w:rsidRDefault="000A3118">
            <w:pPr>
              <w:rPr>
                <w:rFonts w:eastAsia="Times New Roman"/>
                <w:sz w:val="20"/>
                <w:szCs w:val="20"/>
              </w:rPr>
            </w:pPr>
          </w:p>
        </w:tc>
        <w:tc>
          <w:tcPr>
            <w:tcW w:w="0" w:type="auto"/>
            <w:gridSpan w:val="3"/>
            <w:vAlign w:val="center"/>
            <w:hideMark/>
          </w:tcPr>
          <w:p w14:paraId="039FE9BA" w14:textId="77777777" w:rsidR="00000000" w:rsidRDefault="000A3118">
            <w:pPr>
              <w:rPr>
                <w:rFonts w:eastAsia="Times New Roman"/>
                <w:sz w:val="20"/>
                <w:szCs w:val="20"/>
              </w:rPr>
            </w:pPr>
          </w:p>
        </w:tc>
        <w:tc>
          <w:tcPr>
            <w:tcW w:w="0" w:type="auto"/>
            <w:gridSpan w:val="3"/>
            <w:vAlign w:val="center"/>
            <w:hideMark/>
          </w:tcPr>
          <w:p w14:paraId="28D642D6" w14:textId="77777777" w:rsidR="00000000" w:rsidRDefault="000A3118">
            <w:pPr>
              <w:rPr>
                <w:rFonts w:eastAsia="Times New Roman"/>
                <w:sz w:val="20"/>
                <w:szCs w:val="20"/>
              </w:rPr>
            </w:pPr>
          </w:p>
        </w:tc>
        <w:tc>
          <w:tcPr>
            <w:tcW w:w="0" w:type="auto"/>
            <w:gridSpan w:val="3"/>
            <w:vAlign w:val="center"/>
            <w:hideMark/>
          </w:tcPr>
          <w:p w14:paraId="3ECEE369" w14:textId="77777777" w:rsidR="00000000" w:rsidRDefault="000A3118">
            <w:pPr>
              <w:rPr>
                <w:rFonts w:eastAsia="Times New Roman"/>
                <w:sz w:val="20"/>
                <w:szCs w:val="20"/>
              </w:rPr>
            </w:pPr>
          </w:p>
        </w:tc>
        <w:tc>
          <w:tcPr>
            <w:tcW w:w="0" w:type="auto"/>
            <w:gridSpan w:val="3"/>
            <w:vAlign w:val="center"/>
            <w:hideMark/>
          </w:tcPr>
          <w:p w14:paraId="21F6FA8E" w14:textId="77777777" w:rsidR="00000000" w:rsidRDefault="000A3118">
            <w:pPr>
              <w:rPr>
                <w:rFonts w:eastAsia="Times New Roman"/>
                <w:sz w:val="20"/>
                <w:szCs w:val="20"/>
              </w:rPr>
            </w:pPr>
          </w:p>
        </w:tc>
        <w:tc>
          <w:tcPr>
            <w:tcW w:w="0" w:type="auto"/>
            <w:gridSpan w:val="3"/>
            <w:vAlign w:val="center"/>
            <w:hideMark/>
          </w:tcPr>
          <w:p w14:paraId="1AF6D109" w14:textId="77777777" w:rsidR="00000000" w:rsidRDefault="000A3118">
            <w:pPr>
              <w:rPr>
                <w:rFonts w:eastAsia="Times New Roman"/>
                <w:sz w:val="20"/>
                <w:szCs w:val="20"/>
              </w:rPr>
            </w:pPr>
          </w:p>
        </w:tc>
        <w:tc>
          <w:tcPr>
            <w:tcW w:w="0" w:type="auto"/>
            <w:gridSpan w:val="3"/>
            <w:vAlign w:val="center"/>
            <w:hideMark/>
          </w:tcPr>
          <w:p w14:paraId="09BE09A2" w14:textId="77777777" w:rsidR="00000000" w:rsidRDefault="000A3118">
            <w:pPr>
              <w:rPr>
                <w:rFonts w:eastAsia="Times New Roman"/>
                <w:sz w:val="20"/>
                <w:szCs w:val="20"/>
              </w:rPr>
            </w:pPr>
          </w:p>
        </w:tc>
        <w:tc>
          <w:tcPr>
            <w:tcW w:w="0" w:type="auto"/>
            <w:gridSpan w:val="3"/>
            <w:vAlign w:val="center"/>
            <w:hideMark/>
          </w:tcPr>
          <w:p w14:paraId="5A844AA4" w14:textId="77777777" w:rsidR="00000000" w:rsidRDefault="000A3118">
            <w:pPr>
              <w:rPr>
                <w:rFonts w:eastAsia="Times New Roman"/>
                <w:sz w:val="20"/>
                <w:szCs w:val="20"/>
              </w:rPr>
            </w:pPr>
          </w:p>
        </w:tc>
        <w:tc>
          <w:tcPr>
            <w:tcW w:w="0" w:type="auto"/>
            <w:gridSpan w:val="3"/>
            <w:vAlign w:val="center"/>
            <w:hideMark/>
          </w:tcPr>
          <w:p w14:paraId="203057A9" w14:textId="77777777" w:rsidR="00000000" w:rsidRDefault="000A3118">
            <w:pPr>
              <w:rPr>
                <w:rFonts w:eastAsia="Times New Roman"/>
                <w:sz w:val="20"/>
                <w:szCs w:val="20"/>
              </w:rPr>
            </w:pPr>
          </w:p>
        </w:tc>
      </w:tr>
      <w:tr w:rsidR="00000000" w14:paraId="05CC8EE2" w14:textId="77777777">
        <w:trPr>
          <w:divId w:val="2064597721"/>
        </w:trPr>
        <w:tc>
          <w:tcPr>
            <w:tcW w:w="0" w:type="auto"/>
            <w:gridSpan w:val="3"/>
            <w:vAlign w:val="center"/>
            <w:hideMark/>
          </w:tcPr>
          <w:p w14:paraId="007B66DD" w14:textId="77777777" w:rsidR="00000000" w:rsidRDefault="000A3118">
            <w:pPr>
              <w:rPr>
                <w:rFonts w:eastAsia="Times New Roman"/>
                <w:sz w:val="20"/>
                <w:szCs w:val="20"/>
              </w:rPr>
            </w:pPr>
          </w:p>
        </w:tc>
        <w:tc>
          <w:tcPr>
            <w:tcW w:w="0" w:type="auto"/>
            <w:gridSpan w:val="3"/>
            <w:vAlign w:val="center"/>
            <w:hideMark/>
          </w:tcPr>
          <w:p w14:paraId="1925D712" w14:textId="77777777" w:rsidR="00000000" w:rsidRDefault="000A3118">
            <w:pPr>
              <w:rPr>
                <w:rFonts w:eastAsia="Times New Roman"/>
                <w:sz w:val="20"/>
                <w:szCs w:val="20"/>
              </w:rPr>
            </w:pPr>
          </w:p>
        </w:tc>
        <w:tc>
          <w:tcPr>
            <w:tcW w:w="0" w:type="auto"/>
            <w:gridSpan w:val="3"/>
            <w:vAlign w:val="center"/>
            <w:hideMark/>
          </w:tcPr>
          <w:p w14:paraId="5BB89C83" w14:textId="77777777" w:rsidR="00000000" w:rsidRDefault="000A3118">
            <w:pPr>
              <w:rPr>
                <w:rFonts w:eastAsia="Times New Roman"/>
                <w:sz w:val="20"/>
                <w:szCs w:val="20"/>
              </w:rPr>
            </w:pPr>
          </w:p>
        </w:tc>
        <w:tc>
          <w:tcPr>
            <w:tcW w:w="0" w:type="auto"/>
            <w:gridSpan w:val="3"/>
            <w:vAlign w:val="center"/>
            <w:hideMark/>
          </w:tcPr>
          <w:p w14:paraId="5459442A" w14:textId="77777777" w:rsidR="00000000" w:rsidRDefault="000A3118">
            <w:pPr>
              <w:rPr>
                <w:rFonts w:eastAsia="Times New Roman"/>
                <w:sz w:val="20"/>
                <w:szCs w:val="20"/>
              </w:rPr>
            </w:pPr>
          </w:p>
        </w:tc>
        <w:tc>
          <w:tcPr>
            <w:tcW w:w="0" w:type="auto"/>
            <w:gridSpan w:val="3"/>
            <w:vAlign w:val="center"/>
            <w:hideMark/>
          </w:tcPr>
          <w:p w14:paraId="7F98D712" w14:textId="77777777" w:rsidR="00000000" w:rsidRDefault="000A3118">
            <w:pPr>
              <w:rPr>
                <w:rFonts w:eastAsia="Times New Roman"/>
                <w:sz w:val="20"/>
                <w:szCs w:val="20"/>
              </w:rPr>
            </w:pPr>
          </w:p>
        </w:tc>
        <w:tc>
          <w:tcPr>
            <w:tcW w:w="0" w:type="auto"/>
            <w:gridSpan w:val="3"/>
            <w:vAlign w:val="center"/>
            <w:hideMark/>
          </w:tcPr>
          <w:p w14:paraId="257FC93F" w14:textId="77777777" w:rsidR="00000000" w:rsidRDefault="000A3118">
            <w:pPr>
              <w:rPr>
                <w:rFonts w:eastAsia="Times New Roman"/>
                <w:sz w:val="20"/>
                <w:szCs w:val="20"/>
              </w:rPr>
            </w:pPr>
          </w:p>
        </w:tc>
        <w:tc>
          <w:tcPr>
            <w:tcW w:w="0" w:type="auto"/>
            <w:gridSpan w:val="3"/>
            <w:vAlign w:val="center"/>
            <w:hideMark/>
          </w:tcPr>
          <w:p w14:paraId="32584B88" w14:textId="77777777" w:rsidR="00000000" w:rsidRDefault="000A3118">
            <w:pPr>
              <w:rPr>
                <w:rFonts w:eastAsia="Times New Roman"/>
                <w:sz w:val="20"/>
                <w:szCs w:val="20"/>
              </w:rPr>
            </w:pPr>
          </w:p>
        </w:tc>
        <w:tc>
          <w:tcPr>
            <w:tcW w:w="0" w:type="auto"/>
            <w:gridSpan w:val="3"/>
            <w:vAlign w:val="center"/>
            <w:hideMark/>
          </w:tcPr>
          <w:p w14:paraId="00566B7D" w14:textId="77777777" w:rsidR="00000000" w:rsidRDefault="000A3118">
            <w:pPr>
              <w:rPr>
                <w:rFonts w:eastAsia="Times New Roman"/>
                <w:sz w:val="20"/>
                <w:szCs w:val="20"/>
              </w:rPr>
            </w:pPr>
          </w:p>
        </w:tc>
        <w:tc>
          <w:tcPr>
            <w:tcW w:w="0" w:type="auto"/>
            <w:gridSpan w:val="3"/>
            <w:vAlign w:val="center"/>
            <w:hideMark/>
          </w:tcPr>
          <w:p w14:paraId="0E664E0A" w14:textId="77777777" w:rsidR="00000000" w:rsidRDefault="000A3118">
            <w:pPr>
              <w:rPr>
                <w:rFonts w:eastAsia="Times New Roman"/>
                <w:sz w:val="20"/>
                <w:szCs w:val="20"/>
              </w:rPr>
            </w:pPr>
          </w:p>
        </w:tc>
      </w:tr>
      <w:tr w:rsidR="00000000" w14:paraId="356678FE" w14:textId="77777777">
        <w:trPr>
          <w:divId w:val="2064597721"/>
        </w:trPr>
        <w:tc>
          <w:tcPr>
            <w:tcW w:w="0" w:type="auto"/>
            <w:gridSpan w:val="3"/>
            <w:vAlign w:val="center"/>
            <w:hideMark/>
          </w:tcPr>
          <w:p w14:paraId="13922D42" w14:textId="77777777" w:rsidR="00000000" w:rsidRDefault="000A3118">
            <w:pPr>
              <w:rPr>
                <w:rFonts w:eastAsia="Times New Roman"/>
                <w:sz w:val="20"/>
                <w:szCs w:val="20"/>
              </w:rPr>
            </w:pPr>
          </w:p>
        </w:tc>
        <w:tc>
          <w:tcPr>
            <w:tcW w:w="0" w:type="auto"/>
            <w:gridSpan w:val="3"/>
            <w:vAlign w:val="center"/>
            <w:hideMark/>
          </w:tcPr>
          <w:p w14:paraId="69DEE8A4" w14:textId="77777777" w:rsidR="00000000" w:rsidRDefault="000A3118">
            <w:pPr>
              <w:rPr>
                <w:rFonts w:eastAsia="Times New Roman"/>
                <w:sz w:val="20"/>
                <w:szCs w:val="20"/>
              </w:rPr>
            </w:pPr>
          </w:p>
        </w:tc>
        <w:tc>
          <w:tcPr>
            <w:tcW w:w="0" w:type="auto"/>
            <w:gridSpan w:val="3"/>
            <w:vAlign w:val="center"/>
            <w:hideMark/>
          </w:tcPr>
          <w:p w14:paraId="278FB94C" w14:textId="77777777" w:rsidR="00000000" w:rsidRDefault="000A3118">
            <w:pPr>
              <w:rPr>
                <w:rFonts w:eastAsia="Times New Roman"/>
                <w:sz w:val="20"/>
                <w:szCs w:val="20"/>
              </w:rPr>
            </w:pPr>
          </w:p>
        </w:tc>
        <w:tc>
          <w:tcPr>
            <w:tcW w:w="0" w:type="auto"/>
            <w:gridSpan w:val="3"/>
            <w:vAlign w:val="center"/>
            <w:hideMark/>
          </w:tcPr>
          <w:p w14:paraId="4FC45CDE" w14:textId="77777777" w:rsidR="00000000" w:rsidRDefault="000A3118">
            <w:pPr>
              <w:rPr>
                <w:rFonts w:eastAsia="Times New Roman"/>
                <w:sz w:val="20"/>
                <w:szCs w:val="20"/>
              </w:rPr>
            </w:pPr>
          </w:p>
        </w:tc>
        <w:tc>
          <w:tcPr>
            <w:tcW w:w="0" w:type="auto"/>
            <w:gridSpan w:val="3"/>
            <w:vAlign w:val="center"/>
            <w:hideMark/>
          </w:tcPr>
          <w:p w14:paraId="3B2B9CB2" w14:textId="77777777" w:rsidR="00000000" w:rsidRDefault="000A3118">
            <w:pPr>
              <w:rPr>
                <w:rFonts w:eastAsia="Times New Roman"/>
                <w:sz w:val="20"/>
                <w:szCs w:val="20"/>
              </w:rPr>
            </w:pPr>
          </w:p>
        </w:tc>
        <w:tc>
          <w:tcPr>
            <w:tcW w:w="0" w:type="auto"/>
            <w:gridSpan w:val="3"/>
            <w:vAlign w:val="center"/>
            <w:hideMark/>
          </w:tcPr>
          <w:p w14:paraId="13272FA9" w14:textId="77777777" w:rsidR="00000000" w:rsidRDefault="000A3118">
            <w:pPr>
              <w:rPr>
                <w:rFonts w:eastAsia="Times New Roman"/>
                <w:sz w:val="20"/>
                <w:szCs w:val="20"/>
              </w:rPr>
            </w:pPr>
          </w:p>
        </w:tc>
        <w:tc>
          <w:tcPr>
            <w:tcW w:w="0" w:type="auto"/>
            <w:gridSpan w:val="3"/>
            <w:vAlign w:val="center"/>
            <w:hideMark/>
          </w:tcPr>
          <w:p w14:paraId="615C1573" w14:textId="77777777" w:rsidR="00000000" w:rsidRDefault="000A3118">
            <w:pPr>
              <w:rPr>
                <w:rFonts w:eastAsia="Times New Roman"/>
                <w:sz w:val="20"/>
                <w:szCs w:val="20"/>
              </w:rPr>
            </w:pPr>
          </w:p>
        </w:tc>
        <w:tc>
          <w:tcPr>
            <w:tcW w:w="0" w:type="auto"/>
            <w:gridSpan w:val="3"/>
            <w:vAlign w:val="center"/>
            <w:hideMark/>
          </w:tcPr>
          <w:p w14:paraId="24AFB951" w14:textId="77777777" w:rsidR="00000000" w:rsidRDefault="000A3118">
            <w:pPr>
              <w:rPr>
                <w:rFonts w:eastAsia="Times New Roman"/>
                <w:sz w:val="20"/>
                <w:szCs w:val="20"/>
              </w:rPr>
            </w:pPr>
          </w:p>
        </w:tc>
        <w:tc>
          <w:tcPr>
            <w:tcW w:w="0" w:type="auto"/>
            <w:gridSpan w:val="3"/>
            <w:vAlign w:val="center"/>
            <w:hideMark/>
          </w:tcPr>
          <w:p w14:paraId="0465186B" w14:textId="77777777" w:rsidR="00000000" w:rsidRDefault="000A3118">
            <w:pPr>
              <w:rPr>
                <w:rFonts w:eastAsia="Times New Roman"/>
                <w:sz w:val="20"/>
                <w:szCs w:val="20"/>
              </w:rPr>
            </w:pPr>
          </w:p>
        </w:tc>
      </w:tr>
      <w:tr w:rsidR="00000000" w14:paraId="3663EC98" w14:textId="77777777">
        <w:trPr>
          <w:divId w:val="2064597721"/>
        </w:trPr>
        <w:tc>
          <w:tcPr>
            <w:tcW w:w="0" w:type="auto"/>
            <w:gridSpan w:val="3"/>
            <w:vAlign w:val="center"/>
            <w:hideMark/>
          </w:tcPr>
          <w:p w14:paraId="373C83FD" w14:textId="77777777" w:rsidR="00000000" w:rsidRDefault="000A3118">
            <w:pPr>
              <w:rPr>
                <w:rFonts w:eastAsia="Times New Roman"/>
                <w:sz w:val="20"/>
                <w:szCs w:val="20"/>
              </w:rPr>
            </w:pPr>
          </w:p>
        </w:tc>
        <w:tc>
          <w:tcPr>
            <w:tcW w:w="0" w:type="auto"/>
            <w:gridSpan w:val="3"/>
            <w:vAlign w:val="center"/>
            <w:hideMark/>
          </w:tcPr>
          <w:p w14:paraId="27A040FA" w14:textId="77777777" w:rsidR="00000000" w:rsidRDefault="000A3118">
            <w:pPr>
              <w:rPr>
                <w:rFonts w:eastAsia="Times New Roman"/>
                <w:sz w:val="20"/>
                <w:szCs w:val="20"/>
              </w:rPr>
            </w:pPr>
          </w:p>
        </w:tc>
        <w:tc>
          <w:tcPr>
            <w:tcW w:w="0" w:type="auto"/>
            <w:gridSpan w:val="3"/>
            <w:vAlign w:val="center"/>
            <w:hideMark/>
          </w:tcPr>
          <w:p w14:paraId="49E975E9" w14:textId="77777777" w:rsidR="00000000" w:rsidRDefault="000A3118">
            <w:pPr>
              <w:rPr>
                <w:rFonts w:eastAsia="Times New Roman"/>
                <w:sz w:val="20"/>
                <w:szCs w:val="20"/>
              </w:rPr>
            </w:pPr>
          </w:p>
        </w:tc>
        <w:tc>
          <w:tcPr>
            <w:tcW w:w="0" w:type="auto"/>
            <w:gridSpan w:val="3"/>
            <w:vAlign w:val="center"/>
            <w:hideMark/>
          </w:tcPr>
          <w:p w14:paraId="1C5D433D" w14:textId="77777777" w:rsidR="00000000" w:rsidRDefault="000A3118">
            <w:pPr>
              <w:rPr>
                <w:rFonts w:eastAsia="Times New Roman"/>
                <w:sz w:val="20"/>
                <w:szCs w:val="20"/>
              </w:rPr>
            </w:pPr>
          </w:p>
        </w:tc>
        <w:tc>
          <w:tcPr>
            <w:tcW w:w="0" w:type="auto"/>
            <w:gridSpan w:val="3"/>
            <w:vAlign w:val="center"/>
            <w:hideMark/>
          </w:tcPr>
          <w:p w14:paraId="40E93B99" w14:textId="77777777" w:rsidR="00000000" w:rsidRDefault="000A3118">
            <w:pPr>
              <w:rPr>
                <w:rFonts w:eastAsia="Times New Roman"/>
                <w:sz w:val="20"/>
                <w:szCs w:val="20"/>
              </w:rPr>
            </w:pPr>
          </w:p>
        </w:tc>
        <w:tc>
          <w:tcPr>
            <w:tcW w:w="0" w:type="auto"/>
            <w:gridSpan w:val="3"/>
            <w:vAlign w:val="center"/>
            <w:hideMark/>
          </w:tcPr>
          <w:p w14:paraId="4EA03E83" w14:textId="77777777" w:rsidR="00000000" w:rsidRDefault="000A3118">
            <w:pPr>
              <w:rPr>
                <w:rFonts w:eastAsia="Times New Roman"/>
                <w:sz w:val="20"/>
                <w:szCs w:val="20"/>
              </w:rPr>
            </w:pPr>
          </w:p>
        </w:tc>
        <w:tc>
          <w:tcPr>
            <w:tcW w:w="0" w:type="auto"/>
            <w:gridSpan w:val="3"/>
            <w:vAlign w:val="center"/>
            <w:hideMark/>
          </w:tcPr>
          <w:p w14:paraId="748B10F0" w14:textId="77777777" w:rsidR="00000000" w:rsidRDefault="000A3118">
            <w:pPr>
              <w:rPr>
                <w:rFonts w:eastAsia="Times New Roman"/>
                <w:sz w:val="20"/>
                <w:szCs w:val="20"/>
              </w:rPr>
            </w:pPr>
          </w:p>
        </w:tc>
        <w:tc>
          <w:tcPr>
            <w:tcW w:w="0" w:type="auto"/>
            <w:gridSpan w:val="3"/>
            <w:vAlign w:val="center"/>
            <w:hideMark/>
          </w:tcPr>
          <w:p w14:paraId="1615AFDD" w14:textId="77777777" w:rsidR="00000000" w:rsidRDefault="000A3118">
            <w:pPr>
              <w:rPr>
                <w:rFonts w:eastAsia="Times New Roman"/>
                <w:sz w:val="20"/>
                <w:szCs w:val="20"/>
              </w:rPr>
            </w:pPr>
          </w:p>
        </w:tc>
        <w:tc>
          <w:tcPr>
            <w:tcW w:w="0" w:type="auto"/>
            <w:gridSpan w:val="3"/>
            <w:vAlign w:val="center"/>
            <w:hideMark/>
          </w:tcPr>
          <w:p w14:paraId="590881AF" w14:textId="77777777" w:rsidR="00000000" w:rsidRDefault="000A3118">
            <w:pPr>
              <w:rPr>
                <w:rFonts w:eastAsia="Times New Roman"/>
                <w:sz w:val="20"/>
                <w:szCs w:val="20"/>
              </w:rPr>
            </w:pPr>
          </w:p>
        </w:tc>
      </w:tr>
    </w:tbl>
    <w:p w14:paraId="32784AC7" w14:textId="77777777" w:rsidR="00000000" w:rsidRDefault="000A3118">
      <w:pPr>
        <w:ind w:firstLine="720"/>
        <w:divId w:val="243346874"/>
        <w:rPr>
          <w:rFonts w:eastAsia="Times New Roman"/>
        </w:rPr>
      </w:pPr>
      <w:r>
        <w:rPr>
          <w:rFonts w:eastAsia="Times New Roman"/>
          <w:color w:val="000000"/>
          <w:sz w:val="20"/>
          <w:szCs w:val="20"/>
        </w:rPr>
        <w:t> </w:t>
      </w:r>
    </w:p>
    <w:p w14:paraId="4BD979AD" w14:textId="77777777" w:rsidR="00000000" w:rsidRDefault="000A3118">
      <w:pPr>
        <w:ind w:firstLine="360"/>
        <w:jc w:val="both"/>
        <w:rPr>
          <w:rFonts w:eastAsia="Times New Roman"/>
        </w:rPr>
      </w:pPr>
      <w:r>
        <w:rPr>
          <w:rFonts w:eastAsia="Times New Roman"/>
          <w:color w:val="000000"/>
          <w:sz w:val="20"/>
          <w:szCs w:val="20"/>
        </w:rPr>
        <w:t xml:space="preserve">Information concerning our accounts receivable, net and total assets by segment is as follows as of September 30, 2020 and </w:t>
      </w:r>
      <w:r>
        <w:rPr>
          <w:rFonts w:eastAsia="Times New Roman"/>
          <w:color w:val="000000"/>
          <w:sz w:val="20"/>
          <w:szCs w:val="20"/>
          <w:shd w:val="clear" w:color="auto" w:fill="FFFFFF"/>
        </w:rPr>
        <w:t>December 31, 2019</w:t>
      </w:r>
      <w:r>
        <w:rPr>
          <w:rFonts w:eastAsia="Times New Roman"/>
          <w:color w:val="000000"/>
          <w:sz w:val="20"/>
          <w:szCs w:val="20"/>
        </w:rPr>
        <w:t xml:space="preserve"> (in millions):</w:t>
      </w:r>
    </w:p>
    <w:tbl>
      <w:tblPr>
        <w:tblW w:w="4992" w:type="pct"/>
        <w:tblCellMar>
          <w:top w:w="15" w:type="dxa"/>
          <w:left w:w="15" w:type="dxa"/>
          <w:bottom w:w="15" w:type="dxa"/>
          <w:right w:w="15" w:type="dxa"/>
        </w:tblCellMar>
        <w:tblLook w:val="04A0" w:firstRow="1" w:lastRow="0" w:firstColumn="1" w:lastColumn="0" w:noHBand="0" w:noVBand="1"/>
      </w:tblPr>
      <w:tblGrid>
        <w:gridCol w:w="45"/>
        <w:gridCol w:w="5445"/>
        <w:gridCol w:w="37"/>
        <w:gridCol w:w="36"/>
        <w:gridCol w:w="36"/>
        <w:gridCol w:w="36"/>
        <w:gridCol w:w="101"/>
        <w:gridCol w:w="1138"/>
        <w:gridCol w:w="36"/>
        <w:gridCol w:w="36"/>
        <w:gridCol w:w="36"/>
        <w:gridCol w:w="36"/>
        <w:gridCol w:w="101"/>
        <w:gridCol w:w="1138"/>
        <w:gridCol w:w="36"/>
      </w:tblGrid>
      <w:tr w:rsidR="00000000" w14:paraId="44F98F69" w14:textId="77777777">
        <w:trPr>
          <w:divId w:val="450176707"/>
        </w:trPr>
        <w:tc>
          <w:tcPr>
            <w:tcW w:w="50" w:type="pct"/>
            <w:vAlign w:val="center"/>
            <w:hideMark/>
          </w:tcPr>
          <w:p w14:paraId="711DC354" w14:textId="77777777" w:rsidR="00000000" w:rsidRDefault="000A3118">
            <w:pPr>
              <w:ind w:firstLine="360"/>
              <w:jc w:val="both"/>
              <w:rPr>
                <w:rFonts w:eastAsia="Times New Roman"/>
              </w:rPr>
            </w:pPr>
          </w:p>
        </w:tc>
        <w:tc>
          <w:tcPr>
            <w:tcW w:w="3305" w:type="pct"/>
            <w:vAlign w:val="center"/>
            <w:hideMark/>
          </w:tcPr>
          <w:p w14:paraId="1DDB536C" w14:textId="77777777" w:rsidR="00000000" w:rsidRDefault="000A3118">
            <w:pPr>
              <w:rPr>
                <w:rFonts w:eastAsia="Times New Roman"/>
                <w:sz w:val="20"/>
                <w:szCs w:val="20"/>
              </w:rPr>
            </w:pPr>
          </w:p>
        </w:tc>
        <w:tc>
          <w:tcPr>
            <w:tcW w:w="5" w:type="pct"/>
            <w:vAlign w:val="center"/>
            <w:hideMark/>
          </w:tcPr>
          <w:p w14:paraId="021C0AEA" w14:textId="77777777" w:rsidR="00000000" w:rsidRDefault="000A3118">
            <w:pPr>
              <w:rPr>
                <w:rFonts w:eastAsia="Times New Roman"/>
                <w:sz w:val="20"/>
                <w:szCs w:val="20"/>
              </w:rPr>
            </w:pPr>
          </w:p>
        </w:tc>
        <w:tc>
          <w:tcPr>
            <w:tcW w:w="5" w:type="pct"/>
            <w:vAlign w:val="center"/>
            <w:hideMark/>
          </w:tcPr>
          <w:p w14:paraId="08DB5AB9" w14:textId="77777777" w:rsidR="00000000" w:rsidRDefault="000A3118">
            <w:pPr>
              <w:rPr>
                <w:rFonts w:eastAsia="Times New Roman"/>
                <w:sz w:val="20"/>
                <w:szCs w:val="20"/>
              </w:rPr>
            </w:pPr>
          </w:p>
        </w:tc>
        <w:tc>
          <w:tcPr>
            <w:tcW w:w="26" w:type="pct"/>
            <w:vAlign w:val="center"/>
            <w:hideMark/>
          </w:tcPr>
          <w:p w14:paraId="62342906" w14:textId="77777777" w:rsidR="00000000" w:rsidRDefault="000A3118">
            <w:pPr>
              <w:rPr>
                <w:rFonts w:eastAsia="Times New Roman"/>
                <w:sz w:val="20"/>
                <w:szCs w:val="20"/>
              </w:rPr>
            </w:pPr>
          </w:p>
        </w:tc>
        <w:tc>
          <w:tcPr>
            <w:tcW w:w="5" w:type="pct"/>
            <w:vAlign w:val="center"/>
            <w:hideMark/>
          </w:tcPr>
          <w:p w14:paraId="0616B666" w14:textId="77777777" w:rsidR="00000000" w:rsidRDefault="000A3118">
            <w:pPr>
              <w:rPr>
                <w:rFonts w:eastAsia="Times New Roman"/>
                <w:sz w:val="20"/>
                <w:szCs w:val="20"/>
              </w:rPr>
            </w:pPr>
          </w:p>
        </w:tc>
        <w:tc>
          <w:tcPr>
            <w:tcW w:w="50" w:type="pct"/>
            <w:vAlign w:val="center"/>
            <w:hideMark/>
          </w:tcPr>
          <w:p w14:paraId="30600879" w14:textId="77777777" w:rsidR="00000000" w:rsidRDefault="000A3118">
            <w:pPr>
              <w:rPr>
                <w:rFonts w:eastAsia="Times New Roman"/>
                <w:sz w:val="20"/>
                <w:szCs w:val="20"/>
              </w:rPr>
            </w:pPr>
          </w:p>
        </w:tc>
        <w:tc>
          <w:tcPr>
            <w:tcW w:w="728" w:type="pct"/>
            <w:vAlign w:val="center"/>
            <w:hideMark/>
          </w:tcPr>
          <w:p w14:paraId="6F31E43E" w14:textId="77777777" w:rsidR="00000000" w:rsidRDefault="000A3118">
            <w:pPr>
              <w:rPr>
                <w:rFonts w:eastAsia="Times New Roman"/>
                <w:sz w:val="20"/>
                <w:szCs w:val="20"/>
              </w:rPr>
            </w:pPr>
          </w:p>
        </w:tc>
        <w:tc>
          <w:tcPr>
            <w:tcW w:w="5" w:type="pct"/>
            <w:vAlign w:val="center"/>
            <w:hideMark/>
          </w:tcPr>
          <w:p w14:paraId="680E1A01" w14:textId="77777777" w:rsidR="00000000" w:rsidRDefault="000A3118">
            <w:pPr>
              <w:rPr>
                <w:rFonts w:eastAsia="Times New Roman"/>
                <w:sz w:val="20"/>
                <w:szCs w:val="20"/>
              </w:rPr>
            </w:pPr>
          </w:p>
        </w:tc>
        <w:tc>
          <w:tcPr>
            <w:tcW w:w="5" w:type="pct"/>
            <w:vAlign w:val="center"/>
            <w:hideMark/>
          </w:tcPr>
          <w:p w14:paraId="00087F65" w14:textId="77777777" w:rsidR="00000000" w:rsidRDefault="000A3118">
            <w:pPr>
              <w:rPr>
                <w:rFonts w:eastAsia="Times New Roman"/>
                <w:sz w:val="20"/>
                <w:szCs w:val="20"/>
              </w:rPr>
            </w:pPr>
          </w:p>
        </w:tc>
        <w:tc>
          <w:tcPr>
            <w:tcW w:w="26" w:type="pct"/>
            <w:vAlign w:val="center"/>
            <w:hideMark/>
          </w:tcPr>
          <w:p w14:paraId="610BEFCD" w14:textId="77777777" w:rsidR="00000000" w:rsidRDefault="000A3118">
            <w:pPr>
              <w:rPr>
                <w:rFonts w:eastAsia="Times New Roman"/>
                <w:sz w:val="20"/>
                <w:szCs w:val="20"/>
              </w:rPr>
            </w:pPr>
          </w:p>
        </w:tc>
        <w:tc>
          <w:tcPr>
            <w:tcW w:w="5" w:type="pct"/>
            <w:vAlign w:val="center"/>
            <w:hideMark/>
          </w:tcPr>
          <w:p w14:paraId="21FB6876" w14:textId="77777777" w:rsidR="00000000" w:rsidRDefault="000A3118">
            <w:pPr>
              <w:rPr>
                <w:rFonts w:eastAsia="Times New Roman"/>
                <w:sz w:val="20"/>
                <w:szCs w:val="20"/>
              </w:rPr>
            </w:pPr>
          </w:p>
        </w:tc>
        <w:tc>
          <w:tcPr>
            <w:tcW w:w="50" w:type="pct"/>
            <w:vAlign w:val="center"/>
            <w:hideMark/>
          </w:tcPr>
          <w:p w14:paraId="44E347F1" w14:textId="77777777" w:rsidR="00000000" w:rsidRDefault="000A3118">
            <w:pPr>
              <w:rPr>
                <w:rFonts w:eastAsia="Times New Roman"/>
                <w:sz w:val="20"/>
                <w:szCs w:val="20"/>
              </w:rPr>
            </w:pPr>
          </w:p>
        </w:tc>
        <w:tc>
          <w:tcPr>
            <w:tcW w:w="728" w:type="pct"/>
            <w:vAlign w:val="center"/>
            <w:hideMark/>
          </w:tcPr>
          <w:p w14:paraId="5E4BB08E" w14:textId="77777777" w:rsidR="00000000" w:rsidRDefault="000A3118">
            <w:pPr>
              <w:rPr>
                <w:rFonts w:eastAsia="Times New Roman"/>
                <w:sz w:val="20"/>
                <w:szCs w:val="20"/>
              </w:rPr>
            </w:pPr>
          </w:p>
        </w:tc>
        <w:tc>
          <w:tcPr>
            <w:tcW w:w="5" w:type="pct"/>
            <w:vAlign w:val="center"/>
            <w:hideMark/>
          </w:tcPr>
          <w:p w14:paraId="18C126C8" w14:textId="77777777" w:rsidR="00000000" w:rsidRDefault="000A3118">
            <w:pPr>
              <w:rPr>
                <w:rFonts w:eastAsia="Times New Roman"/>
                <w:sz w:val="20"/>
                <w:szCs w:val="20"/>
              </w:rPr>
            </w:pPr>
          </w:p>
        </w:tc>
      </w:tr>
      <w:tr w:rsidR="00000000" w14:paraId="2FD39F40" w14:textId="77777777">
        <w:trPr>
          <w:divId w:val="450176707"/>
        </w:trPr>
        <w:tc>
          <w:tcPr>
            <w:tcW w:w="0" w:type="auto"/>
            <w:gridSpan w:val="3"/>
            <w:tcMar>
              <w:top w:w="0" w:type="dxa"/>
              <w:left w:w="20" w:type="dxa"/>
              <w:bottom w:w="0" w:type="dxa"/>
              <w:right w:w="20" w:type="dxa"/>
            </w:tcMar>
            <w:vAlign w:val="center"/>
            <w:hideMark/>
          </w:tcPr>
          <w:p w14:paraId="34FF974C"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C5C0484"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012627DB" w14:textId="77777777" w:rsidR="00000000" w:rsidRDefault="000A3118">
            <w:pPr>
              <w:jc w:val="center"/>
              <w:rPr>
                <w:rFonts w:eastAsia="Times New Roman"/>
              </w:rPr>
            </w:pPr>
            <w:r>
              <w:rPr>
                <w:rFonts w:eastAsia="Times New Roman"/>
                <w:b/>
                <w:bCs/>
                <w:color w:val="000000"/>
                <w:sz w:val="16"/>
                <w:szCs w:val="16"/>
              </w:rPr>
              <w:t>As of</w:t>
            </w:r>
          </w:p>
        </w:tc>
      </w:tr>
      <w:tr w:rsidR="00000000" w14:paraId="0022B1C6" w14:textId="77777777">
        <w:trPr>
          <w:divId w:val="450176707"/>
        </w:trPr>
        <w:tc>
          <w:tcPr>
            <w:tcW w:w="0" w:type="auto"/>
            <w:gridSpan w:val="3"/>
            <w:tcMar>
              <w:top w:w="0" w:type="dxa"/>
              <w:left w:w="20" w:type="dxa"/>
              <w:bottom w:w="0" w:type="dxa"/>
              <w:right w:w="20" w:type="dxa"/>
            </w:tcMar>
            <w:vAlign w:val="center"/>
            <w:hideMark/>
          </w:tcPr>
          <w:p w14:paraId="649137E9"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321ACCEF"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934C28B"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Borders>
              <w:top w:val="single" w:sz="8" w:space="0" w:color="000000"/>
            </w:tcBorders>
            <w:tcMar>
              <w:top w:w="0" w:type="dxa"/>
              <w:left w:w="20" w:type="dxa"/>
              <w:bottom w:w="0" w:type="dxa"/>
              <w:right w:w="20" w:type="dxa"/>
            </w:tcMar>
            <w:vAlign w:val="center"/>
            <w:hideMark/>
          </w:tcPr>
          <w:p w14:paraId="0818208C"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A54A5E" w14:textId="77777777" w:rsidR="00000000" w:rsidRDefault="000A3118">
            <w:pPr>
              <w:jc w:val="center"/>
              <w:rPr>
                <w:rFonts w:eastAsia="Times New Roman"/>
              </w:rPr>
            </w:pPr>
            <w:r>
              <w:rPr>
                <w:rFonts w:eastAsia="Times New Roman"/>
                <w:b/>
                <w:bCs/>
                <w:color w:val="000000"/>
                <w:sz w:val="16"/>
                <w:szCs w:val="16"/>
              </w:rPr>
              <w:t>December 31</w:t>
            </w:r>
          </w:p>
        </w:tc>
      </w:tr>
      <w:tr w:rsidR="00000000" w14:paraId="6AAC5E56" w14:textId="77777777">
        <w:trPr>
          <w:divId w:val="450176707"/>
        </w:trPr>
        <w:tc>
          <w:tcPr>
            <w:tcW w:w="0" w:type="auto"/>
            <w:gridSpan w:val="3"/>
            <w:tcMar>
              <w:top w:w="0" w:type="dxa"/>
              <w:left w:w="20" w:type="dxa"/>
              <w:bottom w:w="0" w:type="dxa"/>
              <w:right w:w="20" w:type="dxa"/>
            </w:tcMar>
            <w:vAlign w:val="center"/>
            <w:hideMark/>
          </w:tcPr>
          <w:p w14:paraId="4E0AA031"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08B0588A"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704154BC"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55CAFC1"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1FCF318B" w14:textId="77777777" w:rsidR="00000000" w:rsidRDefault="000A3118">
            <w:pPr>
              <w:jc w:val="center"/>
              <w:rPr>
                <w:rFonts w:eastAsia="Times New Roman"/>
              </w:rPr>
            </w:pPr>
            <w:r>
              <w:rPr>
                <w:rFonts w:eastAsia="Times New Roman"/>
                <w:b/>
                <w:bCs/>
                <w:color w:val="000000"/>
                <w:sz w:val="16"/>
                <w:szCs w:val="16"/>
              </w:rPr>
              <w:t>2019</w:t>
            </w:r>
          </w:p>
        </w:tc>
      </w:tr>
      <w:tr w:rsidR="00000000" w14:paraId="3B0F822A" w14:textId="77777777">
        <w:trPr>
          <w:divId w:val="45017670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1ABF5F6" w14:textId="77777777" w:rsidR="00000000" w:rsidRDefault="000A3118">
            <w:pPr>
              <w:rPr>
                <w:rFonts w:eastAsia="Times New Roman"/>
              </w:rPr>
            </w:pPr>
            <w:r>
              <w:rPr>
                <w:rFonts w:eastAsia="Times New Roman"/>
                <w:color w:val="000000"/>
                <w:sz w:val="16"/>
                <w:szCs w:val="16"/>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07CDB5"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6B95F5"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64C5ED"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09DA7B" w14:textId="77777777" w:rsidR="00000000" w:rsidRDefault="000A3118">
            <w:pPr>
              <w:rPr>
                <w:rFonts w:eastAsia="Times New Roman"/>
                <w:sz w:val="20"/>
                <w:szCs w:val="20"/>
              </w:rPr>
            </w:pPr>
          </w:p>
        </w:tc>
      </w:tr>
      <w:tr w:rsidR="00000000" w14:paraId="4BDC0834" w14:textId="77777777">
        <w:trPr>
          <w:divId w:val="450176707"/>
        </w:trPr>
        <w:tc>
          <w:tcPr>
            <w:tcW w:w="0" w:type="auto"/>
            <w:gridSpan w:val="3"/>
            <w:shd w:val="clear" w:color="auto" w:fill="FFFFFF"/>
            <w:tcMar>
              <w:top w:w="30" w:type="dxa"/>
              <w:left w:w="20" w:type="dxa"/>
              <w:bottom w:w="30" w:type="dxa"/>
              <w:right w:w="20" w:type="dxa"/>
            </w:tcMar>
            <w:vAlign w:val="bottom"/>
            <w:hideMark/>
          </w:tcPr>
          <w:p w14:paraId="5D016B29" w14:textId="77777777" w:rsidR="00000000" w:rsidRDefault="000A3118">
            <w:pPr>
              <w:divId w:val="1014260609"/>
              <w:rPr>
                <w:rFonts w:eastAsia="Times New Roman"/>
              </w:rPr>
            </w:pPr>
            <w:r>
              <w:rPr>
                <w:rFonts w:eastAsia="Times New Roman"/>
                <w:color w:val="000000"/>
                <w:sz w:val="16"/>
                <w:szCs w:val="16"/>
              </w:rPr>
              <w:t>Aviation segment, net of allowance for credit losses of $37.3 and $14.6 as of September 30, 2020 and December 31, 2019, respectively</w:t>
            </w:r>
          </w:p>
        </w:tc>
        <w:tc>
          <w:tcPr>
            <w:tcW w:w="0" w:type="auto"/>
            <w:gridSpan w:val="3"/>
            <w:shd w:val="clear" w:color="auto" w:fill="FFFFFF"/>
            <w:tcMar>
              <w:top w:w="0" w:type="dxa"/>
              <w:left w:w="20" w:type="dxa"/>
              <w:bottom w:w="0" w:type="dxa"/>
              <w:right w:w="20" w:type="dxa"/>
            </w:tcMar>
            <w:vAlign w:val="center"/>
            <w:hideMark/>
          </w:tcPr>
          <w:p w14:paraId="1A78DEEF"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2A0D44E7"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A190FBC" w14:textId="77777777" w:rsidR="00000000" w:rsidRDefault="000A3118">
            <w:pPr>
              <w:jc w:val="right"/>
              <w:rPr>
                <w:rFonts w:eastAsia="Times New Roman"/>
              </w:rPr>
            </w:pPr>
            <w:r>
              <w:rPr>
                <w:rFonts w:eastAsia="Times New Roman"/>
                <w:color w:val="000000"/>
                <w:sz w:val="16"/>
                <w:szCs w:val="16"/>
              </w:rPr>
              <w:t>438.0 </w:t>
            </w:r>
          </w:p>
        </w:tc>
        <w:tc>
          <w:tcPr>
            <w:tcW w:w="0" w:type="auto"/>
            <w:shd w:val="clear" w:color="auto" w:fill="FFFFFF"/>
            <w:tcMar>
              <w:top w:w="30" w:type="dxa"/>
              <w:left w:w="0" w:type="dxa"/>
              <w:bottom w:w="30" w:type="dxa"/>
              <w:right w:w="20" w:type="dxa"/>
            </w:tcMar>
            <w:vAlign w:val="bottom"/>
            <w:hideMark/>
          </w:tcPr>
          <w:p w14:paraId="0E7D7385"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56F15"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437A8F"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9C1723A" w14:textId="77777777" w:rsidR="00000000" w:rsidRDefault="000A3118">
            <w:pPr>
              <w:jc w:val="right"/>
              <w:rPr>
                <w:rFonts w:eastAsia="Times New Roman"/>
              </w:rPr>
            </w:pPr>
            <w:r>
              <w:rPr>
                <w:rFonts w:eastAsia="Times New Roman"/>
                <w:color w:val="000000"/>
                <w:sz w:val="16"/>
                <w:szCs w:val="16"/>
              </w:rPr>
              <w:t>1,098.2 </w:t>
            </w:r>
          </w:p>
        </w:tc>
        <w:tc>
          <w:tcPr>
            <w:tcW w:w="0" w:type="auto"/>
            <w:shd w:val="clear" w:color="auto" w:fill="FFFFFF"/>
            <w:tcMar>
              <w:top w:w="30" w:type="dxa"/>
              <w:left w:w="0" w:type="dxa"/>
              <w:bottom w:w="30" w:type="dxa"/>
              <w:right w:w="20" w:type="dxa"/>
            </w:tcMar>
            <w:vAlign w:val="bottom"/>
            <w:hideMark/>
          </w:tcPr>
          <w:p w14:paraId="7D47F056" w14:textId="77777777" w:rsidR="00000000" w:rsidRDefault="000A3118">
            <w:pPr>
              <w:jc w:val="right"/>
              <w:rPr>
                <w:rFonts w:eastAsia="Times New Roman"/>
              </w:rPr>
            </w:pPr>
          </w:p>
        </w:tc>
      </w:tr>
      <w:tr w:rsidR="00000000" w14:paraId="6FC1EDAE" w14:textId="77777777">
        <w:trPr>
          <w:divId w:val="450176707"/>
        </w:trPr>
        <w:tc>
          <w:tcPr>
            <w:tcW w:w="0" w:type="auto"/>
            <w:gridSpan w:val="3"/>
            <w:shd w:val="clear" w:color="auto" w:fill="CCEEFF"/>
            <w:tcMar>
              <w:top w:w="30" w:type="dxa"/>
              <w:left w:w="20" w:type="dxa"/>
              <w:bottom w:w="30" w:type="dxa"/>
              <w:right w:w="20" w:type="dxa"/>
            </w:tcMar>
            <w:vAlign w:val="bottom"/>
            <w:hideMark/>
          </w:tcPr>
          <w:p w14:paraId="5333A18F" w14:textId="77777777" w:rsidR="00000000" w:rsidRDefault="000A3118">
            <w:pPr>
              <w:divId w:val="1602562497"/>
              <w:rPr>
                <w:rFonts w:eastAsia="Times New Roman"/>
              </w:rPr>
            </w:pPr>
            <w:r>
              <w:rPr>
                <w:rFonts w:eastAsia="Times New Roman"/>
                <w:color w:val="000000"/>
                <w:sz w:val="16"/>
                <w:szCs w:val="16"/>
              </w:rPr>
              <w:t>Land segment, net of allowance for credit losses of $5.3 and $2.8 as of September 30, 2020 and December 31, 2019, respectively</w:t>
            </w:r>
          </w:p>
        </w:tc>
        <w:tc>
          <w:tcPr>
            <w:tcW w:w="0" w:type="auto"/>
            <w:gridSpan w:val="3"/>
            <w:shd w:val="clear" w:color="auto" w:fill="CCEEFF"/>
            <w:tcMar>
              <w:top w:w="0" w:type="dxa"/>
              <w:left w:w="20" w:type="dxa"/>
              <w:bottom w:w="0" w:type="dxa"/>
              <w:right w:w="20" w:type="dxa"/>
            </w:tcMar>
            <w:vAlign w:val="center"/>
            <w:hideMark/>
          </w:tcPr>
          <w:p w14:paraId="7EC9CFA6"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30184E" w14:textId="77777777" w:rsidR="00000000" w:rsidRDefault="000A3118">
            <w:pPr>
              <w:jc w:val="right"/>
              <w:rPr>
                <w:rFonts w:eastAsia="Times New Roman"/>
              </w:rPr>
            </w:pPr>
            <w:r>
              <w:rPr>
                <w:rFonts w:eastAsia="Times New Roman"/>
                <w:color w:val="000000"/>
                <w:sz w:val="16"/>
                <w:szCs w:val="16"/>
              </w:rPr>
              <w:t>406.9 </w:t>
            </w:r>
          </w:p>
        </w:tc>
        <w:tc>
          <w:tcPr>
            <w:tcW w:w="0" w:type="auto"/>
            <w:shd w:val="clear" w:color="auto" w:fill="CCEEFF"/>
            <w:tcMar>
              <w:top w:w="30" w:type="dxa"/>
              <w:left w:w="0" w:type="dxa"/>
              <w:bottom w:w="30" w:type="dxa"/>
              <w:right w:w="20" w:type="dxa"/>
            </w:tcMar>
            <w:vAlign w:val="bottom"/>
            <w:hideMark/>
          </w:tcPr>
          <w:p w14:paraId="13212BB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9630D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DBA401" w14:textId="77777777" w:rsidR="00000000" w:rsidRDefault="000A3118">
            <w:pPr>
              <w:jc w:val="right"/>
              <w:rPr>
                <w:rFonts w:eastAsia="Times New Roman"/>
              </w:rPr>
            </w:pPr>
            <w:r>
              <w:rPr>
                <w:rFonts w:eastAsia="Times New Roman"/>
                <w:color w:val="000000"/>
                <w:sz w:val="16"/>
                <w:szCs w:val="16"/>
              </w:rPr>
              <w:t>863.2 </w:t>
            </w:r>
          </w:p>
        </w:tc>
        <w:tc>
          <w:tcPr>
            <w:tcW w:w="0" w:type="auto"/>
            <w:shd w:val="clear" w:color="auto" w:fill="CCEEFF"/>
            <w:tcMar>
              <w:top w:w="30" w:type="dxa"/>
              <w:left w:w="0" w:type="dxa"/>
              <w:bottom w:w="30" w:type="dxa"/>
              <w:right w:w="20" w:type="dxa"/>
            </w:tcMar>
            <w:vAlign w:val="bottom"/>
            <w:hideMark/>
          </w:tcPr>
          <w:p w14:paraId="7B2FB1B9" w14:textId="77777777" w:rsidR="00000000" w:rsidRDefault="000A3118">
            <w:pPr>
              <w:jc w:val="right"/>
              <w:rPr>
                <w:rFonts w:eastAsia="Times New Roman"/>
              </w:rPr>
            </w:pPr>
          </w:p>
        </w:tc>
      </w:tr>
      <w:tr w:rsidR="00000000" w14:paraId="7C9B195A" w14:textId="77777777">
        <w:trPr>
          <w:divId w:val="450176707"/>
        </w:trPr>
        <w:tc>
          <w:tcPr>
            <w:tcW w:w="0" w:type="auto"/>
            <w:gridSpan w:val="3"/>
            <w:shd w:val="clear" w:color="auto" w:fill="FFFFFF"/>
            <w:tcMar>
              <w:top w:w="30" w:type="dxa"/>
              <w:left w:w="20" w:type="dxa"/>
              <w:bottom w:w="30" w:type="dxa"/>
              <w:right w:w="20" w:type="dxa"/>
            </w:tcMar>
            <w:vAlign w:val="bottom"/>
            <w:hideMark/>
          </w:tcPr>
          <w:p w14:paraId="7DC82691" w14:textId="77777777" w:rsidR="00000000" w:rsidRDefault="000A3118">
            <w:pPr>
              <w:divId w:val="1718043152"/>
              <w:rPr>
                <w:rFonts w:eastAsia="Times New Roman"/>
              </w:rPr>
            </w:pPr>
            <w:r>
              <w:rPr>
                <w:rFonts w:eastAsia="Times New Roman"/>
                <w:color w:val="000000"/>
                <w:sz w:val="16"/>
                <w:szCs w:val="16"/>
              </w:rPr>
              <w:t>Marine segment, net of allowance for credit losses of $6.0 and $18.0 as of September 30, 2020 and December 31, 2019, respectively</w:t>
            </w:r>
          </w:p>
        </w:tc>
        <w:tc>
          <w:tcPr>
            <w:tcW w:w="0" w:type="auto"/>
            <w:gridSpan w:val="3"/>
            <w:shd w:val="clear" w:color="auto" w:fill="FFFFFF"/>
            <w:tcMar>
              <w:top w:w="0" w:type="dxa"/>
              <w:left w:w="20" w:type="dxa"/>
              <w:bottom w:w="0" w:type="dxa"/>
              <w:right w:w="20" w:type="dxa"/>
            </w:tcMar>
            <w:vAlign w:val="center"/>
            <w:hideMark/>
          </w:tcPr>
          <w:p w14:paraId="027C7A59"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6E4A92" w14:textId="77777777" w:rsidR="00000000" w:rsidRDefault="000A3118">
            <w:pPr>
              <w:jc w:val="right"/>
              <w:rPr>
                <w:rFonts w:eastAsia="Times New Roman"/>
              </w:rPr>
            </w:pPr>
            <w:r>
              <w:rPr>
                <w:rFonts w:eastAsia="Times New Roman"/>
                <w:color w:val="000000"/>
                <w:sz w:val="16"/>
                <w:szCs w:val="16"/>
              </w:rPr>
              <w:t>399.2 </w:t>
            </w:r>
          </w:p>
        </w:tc>
        <w:tc>
          <w:tcPr>
            <w:tcW w:w="0" w:type="auto"/>
            <w:shd w:val="clear" w:color="auto" w:fill="FFFFFF"/>
            <w:tcMar>
              <w:top w:w="30" w:type="dxa"/>
              <w:left w:w="0" w:type="dxa"/>
              <w:bottom w:w="30" w:type="dxa"/>
              <w:right w:w="20" w:type="dxa"/>
            </w:tcMar>
            <w:vAlign w:val="bottom"/>
            <w:hideMark/>
          </w:tcPr>
          <w:p w14:paraId="2E2FC39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069A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1082C" w14:textId="77777777" w:rsidR="00000000" w:rsidRDefault="000A3118">
            <w:pPr>
              <w:jc w:val="right"/>
              <w:rPr>
                <w:rFonts w:eastAsia="Times New Roman"/>
              </w:rPr>
            </w:pPr>
            <w:r>
              <w:rPr>
                <w:rFonts w:eastAsia="Times New Roman"/>
                <w:color w:val="000000"/>
                <w:sz w:val="16"/>
                <w:szCs w:val="16"/>
              </w:rPr>
              <w:t>930.5 </w:t>
            </w:r>
          </w:p>
        </w:tc>
        <w:tc>
          <w:tcPr>
            <w:tcW w:w="0" w:type="auto"/>
            <w:shd w:val="clear" w:color="auto" w:fill="FFFFFF"/>
            <w:tcMar>
              <w:top w:w="30" w:type="dxa"/>
              <w:left w:w="0" w:type="dxa"/>
              <w:bottom w:w="30" w:type="dxa"/>
              <w:right w:w="20" w:type="dxa"/>
            </w:tcMar>
            <w:vAlign w:val="bottom"/>
            <w:hideMark/>
          </w:tcPr>
          <w:p w14:paraId="1EF3734D" w14:textId="77777777" w:rsidR="00000000" w:rsidRDefault="000A3118">
            <w:pPr>
              <w:jc w:val="right"/>
              <w:rPr>
                <w:rFonts w:eastAsia="Times New Roman"/>
              </w:rPr>
            </w:pPr>
          </w:p>
        </w:tc>
      </w:tr>
      <w:tr w:rsidR="00000000" w14:paraId="554DDC41" w14:textId="77777777">
        <w:trPr>
          <w:divId w:val="450176707"/>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287D5E"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5E59BC" w14:textId="77777777" w:rsidR="00000000" w:rsidRDefault="000A3118">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A5724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1E576C" w14:textId="77777777" w:rsidR="00000000" w:rsidRDefault="000A3118">
            <w:pPr>
              <w:jc w:val="right"/>
              <w:rPr>
                <w:rFonts w:eastAsia="Times New Roman"/>
              </w:rPr>
            </w:pPr>
            <w:r>
              <w:rPr>
                <w:rFonts w:eastAsia="Times New Roman"/>
                <w:color w:val="000000"/>
                <w:sz w:val="16"/>
                <w:szCs w:val="16"/>
              </w:rPr>
              <w:t>1,244.1 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0CC292"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912A16"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088009"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249E47" w14:textId="77777777" w:rsidR="00000000" w:rsidRDefault="000A3118">
            <w:pPr>
              <w:jc w:val="right"/>
              <w:rPr>
                <w:rFonts w:eastAsia="Times New Roman"/>
              </w:rPr>
            </w:pPr>
            <w:r>
              <w:rPr>
                <w:rFonts w:eastAsia="Times New Roman"/>
                <w:color w:val="000000"/>
                <w:sz w:val="16"/>
                <w:szCs w:val="16"/>
              </w:rPr>
              <w:t>2,891.9 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D8EECD" w14:textId="77777777" w:rsidR="00000000" w:rsidRDefault="000A3118">
            <w:pPr>
              <w:jc w:val="right"/>
              <w:rPr>
                <w:rFonts w:eastAsia="Times New Roman"/>
              </w:rPr>
            </w:pPr>
          </w:p>
        </w:tc>
      </w:tr>
      <w:tr w:rsidR="00000000" w14:paraId="451C5D1C" w14:textId="77777777">
        <w:trPr>
          <w:divId w:val="450176707"/>
        </w:trPr>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14:paraId="270782C8" w14:textId="77777777" w:rsidR="00000000" w:rsidRDefault="000A3118">
            <w:pPr>
              <w:rPr>
                <w:rFonts w:eastAsia="Times New Roman"/>
              </w:rPr>
            </w:pPr>
            <w:r>
              <w:rPr>
                <w:rFonts w:eastAsia="Times New Roman"/>
                <w:color w:val="000000"/>
                <w:sz w:val="16"/>
                <w:szCs w:val="16"/>
              </w:rPr>
              <w:t>Total assets: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630EBF9" w14:textId="77777777" w:rsidR="00000000" w:rsidRDefault="000A3118">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DD9ADEF" w14:textId="77777777" w:rsidR="00000000" w:rsidRDefault="000A3118">
            <w:pPr>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2F29B0B" w14:textId="77777777" w:rsidR="00000000" w:rsidRDefault="000A3118">
            <w:pPr>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032BA27" w14:textId="77777777" w:rsidR="00000000" w:rsidRDefault="000A3118">
            <w:pPr>
              <w:jc w:val="right"/>
              <w:rPr>
                <w:rFonts w:eastAsia="Times New Roman"/>
              </w:rPr>
            </w:pPr>
            <w:r>
              <w:rPr>
                <w:rFonts w:eastAsia="Times New Roman"/>
                <w:color w:val="000000"/>
                <w:sz w:val="16"/>
                <w:szCs w:val="16"/>
              </w:rPr>
              <w:t> </w:t>
            </w:r>
          </w:p>
        </w:tc>
      </w:tr>
      <w:tr w:rsidR="00000000" w14:paraId="252A8EB8" w14:textId="77777777">
        <w:trPr>
          <w:divId w:val="450176707"/>
        </w:trPr>
        <w:tc>
          <w:tcPr>
            <w:tcW w:w="0" w:type="auto"/>
            <w:gridSpan w:val="3"/>
            <w:shd w:val="clear" w:color="auto" w:fill="CCEEFF"/>
            <w:tcMar>
              <w:top w:w="30" w:type="dxa"/>
              <w:left w:w="135" w:type="dxa"/>
              <w:bottom w:w="30" w:type="dxa"/>
              <w:right w:w="20" w:type="dxa"/>
            </w:tcMar>
            <w:vAlign w:val="bottom"/>
            <w:hideMark/>
          </w:tcPr>
          <w:p w14:paraId="6C2CC712" w14:textId="77777777" w:rsidR="00000000" w:rsidRDefault="000A3118">
            <w:pPr>
              <w:rPr>
                <w:rFonts w:eastAsia="Times New Roman"/>
              </w:rPr>
            </w:pPr>
            <w:r>
              <w:rPr>
                <w:rFonts w:eastAsia="Times New Roman"/>
                <w:color w:val="000000"/>
                <w:sz w:val="16"/>
                <w:szCs w:val="16"/>
              </w:rPr>
              <w:t>Aviation segment</w:t>
            </w:r>
          </w:p>
        </w:tc>
        <w:tc>
          <w:tcPr>
            <w:tcW w:w="0" w:type="auto"/>
            <w:gridSpan w:val="3"/>
            <w:shd w:val="clear" w:color="auto" w:fill="CCEEFF"/>
            <w:tcMar>
              <w:top w:w="0" w:type="dxa"/>
              <w:left w:w="20" w:type="dxa"/>
              <w:bottom w:w="0" w:type="dxa"/>
              <w:right w:w="20" w:type="dxa"/>
            </w:tcMar>
            <w:vAlign w:val="center"/>
            <w:hideMark/>
          </w:tcPr>
          <w:p w14:paraId="0CDDFDD2" w14:textId="77777777" w:rsidR="00000000" w:rsidRDefault="000A3118">
            <w:pPr>
              <w:rPr>
                <w:rFonts w:eastAsia="Times New Roman"/>
              </w:rPr>
            </w:pPr>
          </w:p>
        </w:tc>
        <w:tc>
          <w:tcPr>
            <w:tcW w:w="0" w:type="auto"/>
            <w:shd w:val="clear" w:color="auto" w:fill="CCEEFF"/>
            <w:tcMar>
              <w:top w:w="30" w:type="dxa"/>
              <w:left w:w="20" w:type="dxa"/>
              <w:bottom w:w="30" w:type="dxa"/>
              <w:right w:w="0" w:type="dxa"/>
            </w:tcMar>
            <w:vAlign w:val="bottom"/>
            <w:hideMark/>
          </w:tcPr>
          <w:p w14:paraId="3B5F1391"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97E76F2" w14:textId="77777777" w:rsidR="00000000" w:rsidRDefault="000A3118">
            <w:pPr>
              <w:jc w:val="right"/>
              <w:rPr>
                <w:rFonts w:eastAsia="Times New Roman"/>
              </w:rPr>
            </w:pPr>
            <w:r>
              <w:rPr>
                <w:rFonts w:eastAsia="Times New Roman"/>
                <w:color w:val="000000"/>
                <w:sz w:val="16"/>
                <w:szCs w:val="16"/>
              </w:rPr>
              <w:t>1,670.4 </w:t>
            </w:r>
          </w:p>
        </w:tc>
        <w:tc>
          <w:tcPr>
            <w:tcW w:w="0" w:type="auto"/>
            <w:shd w:val="clear" w:color="auto" w:fill="CCEEFF"/>
            <w:tcMar>
              <w:top w:w="30" w:type="dxa"/>
              <w:left w:w="0" w:type="dxa"/>
              <w:bottom w:w="30" w:type="dxa"/>
              <w:right w:w="20" w:type="dxa"/>
            </w:tcMar>
            <w:vAlign w:val="bottom"/>
            <w:hideMark/>
          </w:tcPr>
          <w:p w14:paraId="13A5F08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8C02F" w14:textId="77777777" w:rsidR="00000000" w:rsidRDefault="000A311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C1A8CF" w14:textId="77777777" w:rsidR="00000000" w:rsidRDefault="000A3118">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275EFF5" w14:textId="77777777" w:rsidR="00000000" w:rsidRDefault="000A3118">
            <w:pPr>
              <w:jc w:val="right"/>
              <w:rPr>
                <w:rFonts w:eastAsia="Times New Roman"/>
              </w:rPr>
            </w:pPr>
            <w:r>
              <w:rPr>
                <w:rFonts w:eastAsia="Times New Roman"/>
                <w:color w:val="000000"/>
                <w:sz w:val="16"/>
                <w:szCs w:val="16"/>
              </w:rPr>
              <w:t>2,416.5 </w:t>
            </w:r>
          </w:p>
        </w:tc>
        <w:tc>
          <w:tcPr>
            <w:tcW w:w="0" w:type="auto"/>
            <w:shd w:val="clear" w:color="auto" w:fill="CCEEFF"/>
            <w:tcMar>
              <w:top w:w="30" w:type="dxa"/>
              <w:left w:w="0" w:type="dxa"/>
              <w:bottom w:w="30" w:type="dxa"/>
              <w:right w:w="20" w:type="dxa"/>
            </w:tcMar>
            <w:vAlign w:val="bottom"/>
            <w:hideMark/>
          </w:tcPr>
          <w:p w14:paraId="01834CEB" w14:textId="77777777" w:rsidR="00000000" w:rsidRDefault="000A3118">
            <w:pPr>
              <w:jc w:val="right"/>
              <w:rPr>
                <w:rFonts w:eastAsia="Times New Roman"/>
              </w:rPr>
            </w:pPr>
          </w:p>
        </w:tc>
      </w:tr>
      <w:tr w:rsidR="00000000" w14:paraId="6ECAA209" w14:textId="77777777">
        <w:trPr>
          <w:divId w:val="450176707"/>
        </w:trPr>
        <w:tc>
          <w:tcPr>
            <w:tcW w:w="0" w:type="auto"/>
            <w:gridSpan w:val="3"/>
            <w:shd w:val="clear" w:color="auto" w:fill="FFFFFF"/>
            <w:tcMar>
              <w:top w:w="30" w:type="dxa"/>
              <w:left w:w="135" w:type="dxa"/>
              <w:bottom w:w="30" w:type="dxa"/>
              <w:right w:w="20" w:type="dxa"/>
            </w:tcMar>
            <w:vAlign w:val="bottom"/>
            <w:hideMark/>
          </w:tcPr>
          <w:p w14:paraId="6CB1EDEB" w14:textId="77777777" w:rsidR="00000000" w:rsidRDefault="000A3118">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14:paraId="01014F9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561ADC" w14:textId="77777777" w:rsidR="00000000" w:rsidRDefault="000A3118">
            <w:pPr>
              <w:jc w:val="right"/>
              <w:rPr>
                <w:rFonts w:eastAsia="Times New Roman"/>
              </w:rPr>
            </w:pPr>
            <w:r>
              <w:rPr>
                <w:rFonts w:eastAsia="Times New Roman"/>
                <w:color w:val="000000"/>
                <w:sz w:val="16"/>
                <w:szCs w:val="16"/>
              </w:rPr>
              <w:t>1,476.0 </w:t>
            </w:r>
          </w:p>
        </w:tc>
        <w:tc>
          <w:tcPr>
            <w:tcW w:w="0" w:type="auto"/>
            <w:shd w:val="clear" w:color="auto" w:fill="FFFFFF"/>
            <w:tcMar>
              <w:top w:w="30" w:type="dxa"/>
              <w:left w:w="0" w:type="dxa"/>
              <w:bottom w:w="30" w:type="dxa"/>
              <w:right w:w="20" w:type="dxa"/>
            </w:tcMar>
            <w:vAlign w:val="bottom"/>
            <w:hideMark/>
          </w:tcPr>
          <w:p w14:paraId="445131B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CAC2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964485" w14:textId="77777777" w:rsidR="00000000" w:rsidRDefault="000A3118">
            <w:pPr>
              <w:jc w:val="right"/>
              <w:rPr>
                <w:rFonts w:eastAsia="Times New Roman"/>
              </w:rPr>
            </w:pPr>
            <w:r>
              <w:rPr>
                <w:rFonts w:eastAsia="Times New Roman"/>
                <w:color w:val="000000"/>
                <w:sz w:val="16"/>
                <w:szCs w:val="16"/>
              </w:rPr>
              <w:t>2,089.4 </w:t>
            </w:r>
          </w:p>
        </w:tc>
        <w:tc>
          <w:tcPr>
            <w:tcW w:w="0" w:type="auto"/>
            <w:shd w:val="clear" w:color="auto" w:fill="FFFFFF"/>
            <w:tcMar>
              <w:top w:w="30" w:type="dxa"/>
              <w:left w:w="0" w:type="dxa"/>
              <w:bottom w:w="30" w:type="dxa"/>
              <w:right w:w="20" w:type="dxa"/>
            </w:tcMar>
            <w:vAlign w:val="bottom"/>
            <w:hideMark/>
          </w:tcPr>
          <w:p w14:paraId="2ACF53B2" w14:textId="77777777" w:rsidR="00000000" w:rsidRDefault="000A3118">
            <w:pPr>
              <w:jc w:val="right"/>
              <w:rPr>
                <w:rFonts w:eastAsia="Times New Roman"/>
              </w:rPr>
            </w:pPr>
          </w:p>
        </w:tc>
      </w:tr>
      <w:tr w:rsidR="00000000" w14:paraId="42B5668C" w14:textId="77777777">
        <w:trPr>
          <w:divId w:val="450176707"/>
        </w:trPr>
        <w:tc>
          <w:tcPr>
            <w:tcW w:w="0" w:type="auto"/>
            <w:gridSpan w:val="3"/>
            <w:shd w:val="clear" w:color="auto" w:fill="CCEEFF"/>
            <w:tcMar>
              <w:top w:w="30" w:type="dxa"/>
              <w:left w:w="135" w:type="dxa"/>
              <w:bottom w:w="30" w:type="dxa"/>
              <w:right w:w="20" w:type="dxa"/>
            </w:tcMar>
            <w:vAlign w:val="bottom"/>
            <w:hideMark/>
          </w:tcPr>
          <w:p w14:paraId="6EB73352" w14:textId="77777777" w:rsidR="00000000" w:rsidRDefault="000A3118">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14:paraId="0538BAF7"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69580A" w14:textId="77777777" w:rsidR="00000000" w:rsidRDefault="000A3118">
            <w:pPr>
              <w:jc w:val="right"/>
              <w:rPr>
                <w:rFonts w:eastAsia="Times New Roman"/>
              </w:rPr>
            </w:pPr>
            <w:r>
              <w:rPr>
                <w:rFonts w:eastAsia="Times New Roman"/>
                <w:color w:val="000000"/>
                <w:sz w:val="16"/>
                <w:szCs w:val="16"/>
              </w:rPr>
              <w:t>660.2 </w:t>
            </w:r>
          </w:p>
        </w:tc>
        <w:tc>
          <w:tcPr>
            <w:tcW w:w="0" w:type="auto"/>
            <w:shd w:val="clear" w:color="auto" w:fill="CCEEFF"/>
            <w:tcMar>
              <w:top w:w="30" w:type="dxa"/>
              <w:left w:w="0" w:type="dxa"/>
              <w:bottom w:w="30" w:type="dxa"/>
              <w:right w:w="20" w:type="dxa"/>
            </w:tcMar>
            <w:vAlign w:val="bottom"/>
            <w:hideMark/>
          </w:tcPr>
          <w:p w14:paraId="20636E5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C0ED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2219C9" w14:textId="77777777" w:rsidR="00000000" w:rsidRDefault="000A3118">
            <w:pPr>
              <w:jc w:val="right"/>
              <w:rPr>
                <w:rFonts w:eastAsia="Times New Roman"/>
              </w:rPr>
            </w:pPr>
            <w:r>
              <w:rPr>
                <w:rFonts w:eastAsia="Times New Roman"/>
                <w:color w:val="000000"/>
                <w:sz w:val="16"/>
                <w:szCs w:val="16"/>
              </w:rPr>
              <w:t>1,189.7 </w:t>
            </w:r>
          </w:p>
        </w:tc>
        <w:tc>
          <w:tcPr>
            <w:tcW w:w="0" w:type="auto"/>
            <w:shd w:val="clear" w:color="auto" w:fill="CCEEFF"/>
            <w:tcMar>
              <w:top w:w="30" w:type="dxa"/>
              <w:left w:w="0" w:type="dxa"/>
              <w:bottom w:w="30" w:type="dxa"/>
              <w:right w:w="20" w:type="dxa"/>
            </w:tcMar>
            <w:vAlign w:val="bottom"/>
            <w:hideMark/>
          </w:tcPr>
          <w:p w14:paraId="5843F907" w14:textId="77777777" w:rsidR="00000000" w:rsidRDefault="000A3118">
            <w:pPr>
              <w:jc w:val="right"/>
              <w:rPr>
                <w:rFonts w:eastAsia="Times New Roman"/>
              </w:rPr>
            </w:pPr>
          </w:p>
        </w:tc>
      </w:tr>
      <w:tr w:rsidR="00000000" w14:paraId="385D6CAD" w14:textId="77777777">
        <w:trPr>
          <w:divId w:val="450176707"/>
        </w:trPr>
        <w:tc>
          <w:tcPr>
            <w:tcW w:w="0" w:type="auto"/>
            <w:gridSpan w:val="3"/>
            <w:shd w:val="clear" w:color="auto" w:fill="FFFFFF"/>
            <w:tcMar>
              <w:top w:w="30" w:type="dxa"/>
              <w:left w:w="135" w:type="dxa"/>
              <w:bottom w:w="30" w:type="dxa"/>
              <w:right w:w="20" w:type="dxa"/>
            </w:tcMar>
            <w:vAlign w:val="bottom"/>
            <w:hideMark/>
          </w:tcPr>
          <w:p w14:paraId="442BDD01" w14:textId="77777777" w:rsidR="00000000" w:rsidRDefault="000A3118">
            <w:pPr>
              <w:rPr>
                <w:rFonts w:eastAsia="Times New Roman"/>
              </w:rPr>
            </w:pPr>
            <w:r>
              <w:rPr>
                <w:rFonts w:eastAsia="Times New Roman"/>
                <w:color w:val="000000"/>
                <w:sz w:val="16"/>
                <w:szCs w:val="16"/>
              </w:rPr>
              <w:t>Corporate</w:t>
            </w:r>
          </w:p>
        </w:tc>
        <w:tc>
          <w:tcPr>
            <w:tcW w:w="0" w:type="auto"/>
            <w:gridSpan w:val="3"/>
            <w:shd w:val="clear" w:color="auto" w:fill="FFFFFF"/>
            <w:tcMar>
              <w:top w:w="0" w:type="dxa"/>
              <w:left w:w="20" w:type="dxa"/>
              <w:bottom w:w="0" w:type="dxa"/>
              <w:right w:w="20" w:type="dxa"/>
            </w:tcMar>
            <w:vAlign w:val="center"/>
            <w:hideMark/>
          </w:tcPr>
          <w:p w14:paraId="61CA4887"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4D42BA" w14:textId="77777777" w:rsidR="00000000" w:rsidRDefault="000A3118">
            <w:pPr>
              <w:jc w:val="right"/>
              <w:rPr>
                <w:rFonts w:eastAsia="Times New Roman"/>
              </w:rPr>
            </w:pPr>
            <w:r>
              <w:rPr>
                <w:rFonts w:eastAsia="Times New Roman"/>
                <w:color w:val="000000"/>
                <w:sz w:val="16"/>
                <w:szCs w:val="16"/>
              </w:rPr>
              <w:t>585.6 </w:t>
            </w:r>
          </w:p>
        </w:tc>
        <w:tc>
          <w:tcPr>
            <w:tcW w:w="0" w:type="auto"/>
            <w:shd w:val="clear" w:color="auto" w:fill="FFFFFF"/>
            <w:tcMar>
              <w:top w:w="30" w:type="dxa"/>
              <w:left w:w="0" w:type="dxa"/>
              <w:bottom w:w="30" w:type="dxa"/>
              <w:right w:w="20" w:type="dxa"/>
            </w:tcMar>
            <w:vAlign w:val="bottom"/>
            <w:hideMark/>
          </w:tcPr>
          <w:p w14:paraId="3705B1B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E77C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C66BD5" w14:textId="77777777" w:rsidR="00000000" w:rsidRDefault="000A3118">
            <w:pPr>
              <w:jc w:val="right"/>
              <w:rPr>
                <w:rFonts w:eastAsia="Times New Roman"/>
              </w:rPr>
            </w:pPr>
            <w:r>
              <w:rPr>
                <w:rFonts w:eastAsia="Times New Roman"/>
                <w:color w:val="000000"/>
                <w:sz w:val="16"/>
                <w:szCs w:val="16"/>
              </w:rPr>
              <w:t>296.8 </w:t>
            </w:r>
          </w:p>
        </w:tc>
        <w:tc>
          <w:tcPr>
            <w:tcW w:w="0" w:type="auto"/>
            <w:shd w:val="clear" w:color="auto" w:fill="FFFFFF"/>
            <w:tcMar>
              <w:top w:w="30" w:type="dxa"/>
              <w:left w:w="0" w:type="dxa"/>
              <w:bottom w:w="30" w:type="dxa"/>
              <w:right w:w="20" w:type="dxa"/>
            </w:tcMar>
            <w:vAlign w:val="bottom"/>
            <w:hideMark/>
          </w:tcPr>
          <w:p w14:paraId="5D239023" w14:textId="77777777" w:rsidR="00000000" w:rsidRDefault="000A3118">
            <w:pPr>
              <w:jc w:val="right"/>
              <w:rPr>
                <w:rFonts w:eastAsia="Times New Roman"/>
              </w:rPr>
            </w:pPr>
          </w:p>
        </w:tc>
      </w:tr>
      <w:tr w:rsidR="00000000" w14:paraId="269D061F" w14:textId="77777777">
        <w:trPr>
          <w:divId w:val="450176707"/>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31EFA24"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66F3A5B"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1E718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F611EC" w14:textId="77777777" w:rsidR="00000000" w:rsidRDefault="000A3118">
            <w:pPr>
              <w:jc w:val="right"/>
              <w:rPr>
                <w:rFonts w:eastAsia="Times New Roman"/>
              </w:rPr>
            </w:pPr>
            <w:r>
              <w:rPr>
                <w:rFonts w:eastAsia="Times New Roman"/>
                <w:color w:val="000000"/>
                <w:sz w:val="16"/>
                <w:szCs w:val="16"/>
              </w:rPr>
              <w:t>4,392.3 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1A6878"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7D26A659"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C88D9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ED5516" w14:textId="77777777" w:rsidR="00000000" w:rsidRDefault="000A3118">
            <w:pPr>
              <w:jc w:val="right"/>
              <w:rPr>
                <w:rFonts w:eastAsia="Times New Roman"/>
              </w:rPr>
            </w:pPr>
            <w:r>
              <w:rPr>
                <w:rFonts w:eastAsia="Times New Roman"/>
                <w:color w:val="000000"/>
                <w:sz w:val="16"/>
                <w:szCs w:val="16"/>
              </w:rPr>
              <w:t>5,992.4 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E62EC4" w14:textId="77777777" w:rsidR="00000000" w:rsidRDefault="000A3118">
            <w:pPr>
              <w:jc w:val="right"/>
              <w:rPr>
                <w:rFonts w:eastAsia="Times New Roman"/>
              </w:rPr>
            </w:pPr>
          </w:p>
        </w:tc>
      </w:tr>
    </w:tbl>
    <w:p w14:paraId="7100A2E8" w14:textId="77777777" w:rsidR="00000000" w:rsidRDefault="000A3118">
      <w:pPr>
        <w:ind w:firstLine="720"/>
        <w:jc w:val="both"/>
        <w:rPr>
          <w:rFonts w:eastAsia="Times New Roman"/>
        </w:rPr>
      </w:pPr>
    </w:p>
    <w:p w14:paraId="4076A1B5" w14:textId="77777777" w:rsidR="00000000" w:rsidRDefault="000A3118">
      <w:pPr>
        <w:jc w:val="both"/>
        <w:rPr>
          <w:rFonts w:eastAsia="Times New Roman"/>
        </w:rPr>
      </w:pPr>
      <w:r>
        <w:rPr>
          <w:rFonts w:eastAsia="Times New Roman"/>
          <w:color w:val="000000"/>
          <w:sz w:val="20"/>
          <w:szCs w:val="20"/>
        </w:rPr>
        <w:t>    </w:t>
      </w:r>
      <w:r>
        <w:rPr>
          <w:rFonts w:eastAsia="Times New Roman"/>
          <w:color w:val="000000"/>
          <w:sz w:val="20"/>
          <w:szCs w:val="20"/>
        </w:rPr>
        <w:t>During each of the periods presented on the Consolidated Statements of Income and Comprehensive Income, none of our customers accounted for more than 10% of total consolidated revenue. Sales to government customers, which principally consist of sales to NA</w:t>
      </w:r>
      <w:r>
        <w:rPr>
          <w:rFonts w:eastAsia="Times New Roman"/>
          <w:color w:val="000000"/>
          <w:sz w:val="20"/>
          <w:szCs w:val="20"/>
        </w:rPr>
        <w:t>TO in support of military operations in Afghanistan, have accounted for a material portion of our profitability in recent years. The profitability associated with our government business can be significantly impacted by supply disruptions, border closures,</w:t>
      </w:r>
      <w:r>
        <w:rPr>
          <w:rFonts w:eastAsia="Times New Roman"/>
          <w:color w:val="000000"/>
          <w:sz w:val="20"/>
          <w:szCs w:val="20"/>
        </w:rPr>
        <w:t xml:space="preserve"> road blockages, hostility-related product losses, inventory shortages and other logistical difficulties that can arise when sourcing and delivering fuel in areas that are actively engaged in war or other military conflicts. Our sales to government custome</w:t>
      </w:r>
      <w:r>
        <w:rPr>
          <w:rFonts w:eastAsia="Times New Roman"/>
          <w:color w:val="000000"/>
          <w:sz w:val="20"/>
          <w:szCs w:val="20"/>
        </w:rPr>
        <w:t>rs may fluctuate significantly from time to time as a result of the foregoing factors, as well as the level of troop deployments and related activity in a particular region or area or the commencement, extension, renewal or completion of existing and new g</w:t>
      </w:r>
      <w:r>
        <w:rPr>
          <w:rFonts w:eastAsia="Times New Roman"/>
          <w:color w:val="000000"/>
          <w:sz w:val="20"/>
          <w:szCs w:val="20"/>
        </w:rPr>
        <w:t>overnment contracts.</w:t>
      </w:r>
    </w:p>
    <w:p w14:paraId="2226674F" w14:textId="77777777" w:rsidR="00000000" w:rsidRDefault="000A3118">
      <w:pPr>
        <w:jc w:val="both"/>
        <w:rPr>
          <w:rFonts w:eastAsia="Times New Roman"/>
        </w:rPr>
      </w:pPr>
    </w:p>
    <w:p w14:paraId="36561146" w14:textId="77777777" w:rsidR="00000000" w:rsidRDefault="000A3118">
      <w:pPr>
        <w:ind w:firstLine="720"/>
        <w:jc w:val="both"/>
        <w:rPr>
          <w:rFonts w:eastAsia="Times New Roman"/>
        </w:rPr>
      </w:pPr>
    </w:p>
    <w:p w14:paraId="1EE18086" w14:textId="77777777" w:rsidR="00000000" w:rsidRDefault="000A3118">
      <w:pPr>
        <w:jc w:val="center"/>
        <w:divId w:val="575164436"/>
        <w:rPr>
          <w:rFonts w:eastAsia="Times New Roman"/>
        </w:rPr>
      </w:pPr>
      <w:r>
        <w:rPr>
          <w:rFonts w:eastAsia="Times New Roman"/>
          <w:color w:val="000000"/>
          <w:sz w:val="20"/>
          <w:szCs w:val="20"/>
        </w:rPr>
        <w:t>22</w:t>
      </w:r>
    </w:p>
    <w:p w14:paraId="4C0C6334" w14:textId="77777777" w:rsidR="00000000" w:rsidRDefault="000A3118">
      <w:pPr>
        <w:rPr>
          <w:rFonts w:eastAsia="Times New Roman"/>
        </w:rPr>
      </w:pPr>
      <w:r>
        <w:rPr>
          <w:rFonts w:eastAsia="Times New Roman"/>
        </w:rPr>
        <w:pict w14:anchorId="44A34CA0">
          <v:rect id="_x0000_i1050" style="width:0;height:1.5pt" o:hralign="center" o:hrstd="t" o:hr="t" fillcolor="#a0a0a0" stroked="f"/>
        </w:pict>
      </w:r>
    </w:p>
    <w:p w14:paraId="1246A985" w14:textId="77777777" w:rsidR="00000000" w:rsidRDefault="000A3118">
      <w:pPr>
        <w:divId w:val="180632340"/>
        <w:rPr>
          <w:rFonts w:eastAsia="Times New Roman"/>
        </w:rPr>
      </w:pPr>
    </w:p>
    <w:p w14:paraId="3BE20ECF" w14:textId="77777777" w:rsidR="00000000" w:rsidRDefault="000A3118">
      <w:pPr>
        <w:divId w:val="722676002"/>
        <w:rPr>
          <w:rFonts w:eastAsia="Times New Roman"/>
        </w:rPr>
      </w:pPr>
      <w:r>
        <w:rPr>
          <w:rFonts w:eastAsia="Times New Roman"/>
          <w:b/>
          <w:bCs/>
          <w:color w:val="000000"/>
          <w:sz w:val="20"/>
          <w:szCs w:val="20"/>
        </w:rPr>
        <w:t>11. Earnings per Common Share</w:t>
      </w:r>
    </w:p>
    <w:p w14:paraId="6A5EFD94" w14:textId="77777777" w:rsidR="00000000" w:rsidRDefault="000A3118">
      <w:pPr>
        <w:ind w:firstLine="720"/>
        <w:divId w:val="539900441"/>
        <w:rPr>
          <w:rFonts w:eastAsia="Times New Roman"/>
        </w:rPr>
      </w:pPr>
      <w:r>
        <w:rPr>
          <w:rFonts w:eastAsia="Times New Roman"/>
          <w:color w:val="000000"/>
          <w:sz w:val="20"/>
          <w:szCs w:val="20"/>
        </w:rPr>
        <w:t> </w:t>
      </w:r>
    </w:p>
    <w:p w14:paraId="5933038F" w14:textId="77777777" w:rsidR="00000000" w:rsidRDefault="000A3118">
      <w:pPr>
        <w:ind w:firstLine="360"/>
        <w:jc w:val="both"/>
        <w:rPr>
          <w:rFonts w:eastAsia="Times New Roman"/>
        </w:rPr>
      </w:pPr>
      <w:r>
        <w:rPr>
          <w:rFonts w:eastAsia="Times New Roman"/>
          <w:color w:val="000000"/>
          <w:sz w:val="20"/>
          <w:szCs w:val="20"/>
        </w:rPr>
        <w:t>The following table sets forth the computation of basic and diluted earnings per common share for the periods presented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4034"/>
        <w:gridCol w:w="36"/>
        <w:gridCol w:w="36"/>
        <w:gridCol w:w="36"/>
        <w:gridCol w:w="36"/>
        <w:gridCol w:w="100"/>
        <w:gridCol w:w="800"/>
        <w:gridCol w:w="36"/>
        <w:gridCol w:w="36"/>
        <w:gridCol w:w="36"/>
        <w:gridCol w:w="36"/>
        <w:gridCol w:w="100"/>
        <w:gridCol w:w="815"/>
        <w:gridCol w:w="36"/>
        <w:gridCol w:w="36"/>
        <w:gridCol w:w="36"/>
        <w:gridCol w:w="36"/>
        <w:gridCol w:w="100"/>
        <w:gridCol w:w="802"/>
        <w:gridCol w:w="36"/>
        <w:gridCol w:w="36"/>
        <w:gridCol w:w="36"/>
        <w:gridCol w:w="36"/>
        <w:gridCol w:w="100"/>
        <w:gridCol w:w="803"/>
        <w:gridCol w:w="36"/>
      </w:tblGrid>
      <w:tr w:rsidR="00000000" w14:paraId="1E989B46" w14:textId="77777777">
        <w:trPr>
          <w:divId w:val="174537193"/>
        </w:trPr>
        <w:tc>
          <w:tcPr>
            <w:tcW w:w="50" w:type="pct"/>
            <w:vAlign w:val="center"/>
            <w:hideMark/>
          </w:tcPr>
          <w:p w14:paraId="151C7B44" w14:textId="77777777" w:rsidR="00000000" w:rsidRDefault="000A3118">
            <w:pPr>
              <w:ind w:firstLine="360"/>
              <w:jc w:val="both"/>
              <w:rPr>
                <w:rFonts w:eastAsia="Times New Roman"/>
              </w:rPr>
            </w:pPr>
          </w:p>
        </w:tc>
        <w:tc>
          <w:tcPr>
            <w:tcW w:w="2452" w:type="pct"/>
            <w:vAlign w:val="center"/>
            <w:hideMark/>
          </w:tcPr>
          <w:p w14:paraId="00B18BEA" w14:textId="77777777" w:rsidR="00000000" w:rsidRDefault="000A3118">
            <w:pPr>
              <w:rPr>
                <w:rFonts w:eastAsia="Times New Roman"/>
                <w:sz w:val="20"/>
                <w:szCs w:val="20"/>
              </w:rPr>
            </w:pPr>
          </w:p>
        </w:tc>
        <w:tc>
          <w:tcPr>
            <w:tcW w:w="5" w:type="pct"/>
            <w:vAlign w:val="center"/>
            <w:hideMark/>
          </w:tcPr>
          <w:p w14:paraId="365149EE" w14:textId="77777777" w:rsidR="00000000" w:rsidRDefault="000A3118">
            <w:pPr>
              <w:rPr>
                <w:rFonts w:eastAsia="Times New Roman"/>
                <w:sz w:val="20"/>
                <w:szCs w:val="20"/>
              </w:rPr>
            </w:pPr>
          </w:p>
        </w:tc>
        <w:tc>
          <w:tcPr>
            <w:tcW w:w="5" w:type="pct"/>
            <w:vAlign w:val="center"/>
            <w:hideMark/>
          </w:tcPr>
          <w:p w14:paraId="678DF299" w14:textId="77777777" w:rsidR="00000000" w:rsidRDefault="000A3118">
            <w:pPr>
              <w:rPr>
                <w:rFonts w:eastAsia="Times New Roman"/>
                <w:sz w:val="20"/>
                <w:szCs w:val="20"/>
              </w:rPr>
            </w:pPr>
          </w:p>
        </w:tc>
        <w:tc>
          <w:tcPr>
            <w:tcW w:w="26" w:type="pct"/>
            <w:vAlign w:val="center"/>
            <w:hideMark/>
          </w:tcPr>
          <w:p w14:paraId="4BA0B34B" w14:textId="77777777" w:rsidR="00000000" w:rsidRDefault="000A3118">
            <w:pPr>
              <w:rPr>
                <w:rFonts w:eastAsia="Times New Roman"/>
                <w:sz w:val="20"/>
                <w:szCs w:val="20"/>
              </w:rPr>
            </w:pPr>
          </w:p>
        </w:tc>
        <w:tc>
          <w:tcPr>
            <w:tcW w:w="5" w:type="pct"/>
            <w:vAlign w:val="center"/>
            <w:hideMark/>
          </w:tcPr>
          <w:p w14:paraId="6F0B2AAC" w14:textId="77777777" w:rsidR="00000000" w:rsidRDefault="000A3118">
            <w:pPr>
              <w:rPr>
                <w:rFonts w:eastAsia="Times New Roman"/>
                <w:sz w:val="20"/>
                <w:szCs w:val="20"/>
              </w:rPr>
            </w:pPr>
          </w:p>
        </w:tc>
        <w:tc>
          <w:tcPr>
            <w:tcW w:w="50" w:type="pct"/>
            <w:vAlign w:val="center"/>
            <w:hideMark/>
          </w:tcPr>
          <w:p w14:paraId="1A70EDF1" w14:textId="77777777" w:rsidR="00000000" w:rsidRDefault="000A3118">
            <w:pPr>
              <w:rPr>
                <w:rFonts w:eastAsia="Times New Roman"/>
                <w:sz w:val="20"/>
                <w:szCs w:val="20"/>
              </w:rPr>
            </w:pPr>
          </w:p>
        </w:tc>
        <w:tc>
          <w:tcPr>
            <w:tcW w:w="529" w:type="pct"/>
            <w:vAlign w:val="center"/>
            <w:hideMark/>
          </w:tcPr>
          <w:p w14:paraId="7964E7ED" w14:textId="77777777" w:rsidR="00000000" w:rsidRDefault="000A3118">
            <w:pPr>
              <w:rPr>
                <w:rFonts w:eastAsia="Times New Roman"/>
                <w:sz w:val="20"/>
                <w:szCs w:val="20"/>
              </w:rPr>
            </w:pPr>
          </w:p>
        </w:tc>
        <w:tc>
          <w:tcPr>
            <w:tcW w:w="5" w:type="pct"/>
            <w:vAlign w:val="center"/>
            <w:hideMark/>
          </w:tcPr>
          <w:p w14:paraId="2F2263D6" w14:textId="77777777" w:rsidR="00000000" w:rsidRDefault="000A3118">
            <w:pPr>
              <w:rPr>
                <w:rFonts w:eastAsia="Times New Roman"/>
                <w:sz w:val="20"/>
                <w:szCs w:val="20"/>
              </w:rPr>
            </w:pPr>
          </w:p>
        </w:tc>
        <w:tc>
          <w:tcPr>
            <w:tcW w:w="5" w:type="pct"/>
            <w:vAlign w:val="center"/>
            <w:hideMark/>
          </w:tcPr>
          <w:p w14:paraId="555CE295" w14:textId="77777777" w:rsidR="00000000" w:rsidRDefault="000A3118">
            <w:pPr>
              <w:rPr>
                <w:rFonts w:eastAsia="Times New Roman"/>
                <w:sz w:val="20"/>
                <w:szCs w:val="20"/>
              </w:rPr>
            </w:pPr>
          </w:p>
        </w:tc>
        <w:tc>
          <w:tcPr>
            <w:tcW w:w="26" w:type="pct"/>
            <w:vAlign w:val="center"/>
            <w:hideMark/>
          </w:tcPr>
          <w:p w14:paraId="676D3FCC" w14:textId="77777777" w:rsidR="00000000" w:rsidRDefault="000A3118">
            <w:pPr>
              <w:rPr>
                <w:rFonts w:eastAsia="Times New Roman"/>
                <w:sz w:val="20"/>
                <w:szCs w:val="20"/>
              </w:rPr>
            </w:pPr>
          </w:p>
        </w:tc>
        <w:tc>
          <w:tcPr>
            <w:tcW w:w="5" w:type="pct"/>
            <w:vAlign w:val="center"/>
            <w:hideMark/>
          </w:tcPr>
          <w:p w14:paraId="653574DC" w14:textId="77777777" w:rsidR="00000000" w:rsidRDefault="000A3118">
            <w:pPr>
              <w:rPr>
                <w:rFonts w:eastAsia="Times New Roman"/>
                <w:sz w:val="20"/>
                <w:szCs w:val="20"/>
              </w:rPr>
            </w:pPr>
          </w:p>
        </w:tc>
        <w:tc>
          <w:tcPr>
            <w:tcW w:w="50" w:type="pct"/>
            <w:vAlign w:val="center"/>
            <w:hideMark/>
          </w:tcPr>
          <w:p w14:paraId="4ED11082" w14:textId="77777777" w:rsidR="00000000" w:rsidRDefault="000A3118">
            <w:pPr>
              <w:rPr>
                <w:rFonts w:eastAsia="Times New Roman"/>
                <w:sz w:val="20"/>
                <w:szCs w:val="20"/>
              </w:rPr>
            </w:pPr>
          </w:p>
        </w:tc>
        <w:tc>
          <w:tcPr>
            <w:tcW w:w="537" w:type="pct"/>
            <w:vAlign w:val="center"/>
            <w:hideMark/>
          </w:tcPr>
          <w:p w14:paraId="45733D58" w14:textId="77777777" w:rsidR="00000000" w:rsidRDefault="000A3118">
            <w:pPr>
              <w:rPr>
                <w:rFonts w:eastAsia="Times New Roman"/>
                <w:sz w:val="20"/>
                <w:szCs w:val="20"/>
              </w:rPr>
            </w:pPr>
          </w:p>
        </w:tc>
        <w:tc>
          <w:tcPr>
            <w:tcW w:w="5" w:type="pct"/>
            <w:vAlign w:val="center"/>
            <w:hideMark/>
          </w:tcPr>
          <w:p w14:paraId="710524F2" w14:textId="77777777" w:rsidR="00000000" w:rsidRDefault="000A3118">
            <w:pPr>
              <w:rPr>
                <w:rFonts w:eastAsia="Times New Roman"/>
                <w:sz w:val="20"/>
                <w:szCs w:val="20"/>
              </w:rPr>
            </w:pPr>
          </w:p>
        </w:tc>
        <w:tc>
          <w:tcPr>
            <w:tcW w:w="5" w:type="pct"/>
            <w:vAlign w:val="center"/>
            <w:hideMark/>
          </w:tcPr>
          <w:p w14:paraId="6D6738CB" w14:textId="77777777" w:rsidR="00000000" w:rsidRDefault="000A3118">
            <w:pPr>
              <w:rPr>
                <w:rFonts w:eastAsia="Times New Roman"/>
                <w:sz w:val="20"/>
                <w:szCs w:val="20"/>
              </w:rPr>
            </w:pPr>
          </w:p>
        </w:tc>
        <w:tc>
          <w:tcPr>
            <w:tcW w:w="26" w:type="pct"/>
            <w:vAlign w:val="center"/>
            <w:hideMark/>
          </w:tcPr>
          <w:p w14:paraId="2BFABEB4" w14:textId="77777777" w:rsidR="00000000" w:rsidRDefault="000A3118">
            <w:pPr>
              <w:rPr>
                <w:rFonts w:eastAsia="Times New Roman"/>
                <w:sz w:val="20"/>
                <w:szCs w:val="20"/>
              </w:rPr>
            </w:pPr>
          </w:p>
        </w:tc>
        <w:tc>
          <w:tcPr>
            <w:tcW w:w="5" w:type="pct"/>
            <w:vAlign w:val="center"/>
            <w:hideMark/>
          </w:tcPr>
          <w:p w14:paraId="4D72DC14" w14:textId="77777777" w:rsidR="00000000" w:rsidRDefault="000A3118">
            <w:pPr>
              <w:rPr>
                <w:rFonts w:eastAsia="Times New Roman"/>
                <w:sz w:val="20"/>
                <w:szCs w:val="20"/>
              </w:rPr>
            </w:pPr>
          </w:p>
        </w:tc>
        <w:tc>
          <w:tcPr>
            <w:tcW w:w="50" w:type="pct"/>
            <w:vAlign w:val="center"/>
            <w:hideMark/>
          </w:tcPr>
          <w:p w14:paraId="4A71B931" w14:textId="77777777" w:rsidR="00000000" w:rsidRDefault="000A3118">
            <w:pPr>
              <w:rPr>
                <w:rFonts w:eastAsia="Times New Roman"/>
                <w:sz w:val="20"/>
                <w:szCs w:val="20"/>
              </w:rPr>
            </w:pPr>
          </w:p>
        </w:tc>
        <w:tc>
          <w:tcPr>
            <w:tcW w:w="529" w:type="pct"/>
            <w:vAlign w:val="center"/>
            <w:hideMark/>
          </w:tcPr>
          <w:p w14:paraId="07DA630C" w14:textId="77777777" w:rsidR="00000000" w:rsidRDefault="000A3118">
            <w:pPr>
              <w:rPr>
                <w:rFonts w:eastAsia="Times New Roman"/>
                <w:sz w:val="20"/>
                <w:szCs w:val="20"/>
              </w:rPr>
            </w:pPr>
          </w:p>
        </w:tc>
        <w:tc>
          <w:tcPr>
            <w:tcW w:w="5" w:type="pct"/>
            <w:vAlign w:val="center"/>
            <w:hideMark/>
          </w:tcPr>
          <w:p w14:paraId="60167975" w14:textId="77777777" w:rsidR="00000000" w:rsidRDefault="000A3118">
            <w:pPr>
              <w:rPr>
                <w:rFonts w:eastAsia="Times New Roman"/>
                <w:sz w:val="20"/>
                <w:szCs w:val="20"/>
              </w:rPr>
            </w:pPr>
          </w:p>
        </w:tc>
        <w:tc>
          <w:tcPr>
            <w:tcW w:w="5" w:type="pct"/>
            <w:vAlign w:val="center"/>
            <w:hideMark/>
          </w:tcPr>
          <w:p w14:paraId="593E5CE3" w14:textId="77777777" w:rsidR="00000000" w:rsidRDefault="000A3118">
            <w:pPr>
              <w:rPr>
                <w:rFonts w:eastAsia="Times New Roman"/>
                <w:sz w:val="20"/>
                <w:szCs w:val="20"/>
              </w:rPr>
            </w:pPr>
          </w:p>
        </w:tc>
        <w:tc>
          <w:tcPr>
            <w:tcW w:w="26" w:type="pct"/>
            <w:vAlign w:val="center"/>
            <w:hideMark/>
          </w:tcPr>
          <w:p w14:paraId="487E5312" w14:textId="77777777" w:rsidR="00000000" w:rsidRDefault="000A3118">
            <w:pPr>
              <w:rPr>
                <w:rFonts w:eastAsia="Times New Roman"/>
                <w:sz w:val="20"/>
                <w:szCs w:val="20"/>
              </w:rPr>
            </w:pPr>
          </w:p>
        </w:tc>
        <w:tc>
          <w:tcPr>
            <w:tcW w:w="5" w:type="pct"/>
            <w:vAlign w:val="center"/>
            <w:hideMark/>
          </w:tcPr>
          <w:p w14:paraId="3145B4E1" w14:textId="77777777" w:rsidR="00000000" w:rsidRDefault="000A3118">
            <w:pPr>
              <w:rPr>
                <w:rFonts w:eastAsia="Times New Roman"/>
                <w:sz w:val="20"/>
                <w:szCs w:val="20"/>
              </w:rPr>
            </w:pPr>
          </w:p>
        </w:tc>
        <w:tc>
          <w:tcPr>
            <w:tcW w:w="50" w:type="pct"/>
            <w:vAlign w:val="center"/>
            <w:hideMark/>
          </w:tcPr>
          <w:p w14:paraId="5A38DF53" w14:textId="77777777" w:rsidR="00000000" w:rsidRDefault="000A3118">
            <w:pPr>
              <w:rPr>
                <w:rFonts w:eastAsia="Times New Roman"/>
                <w:sz w:val="20"/>
                <w:szCs w:val="20"/>
              </w:rPr>
            </w:pPr>
          </w:p>
        </w:tc>
        <w:tc>
          <w:tcPr>
            <w:tcW w:w="530" w:type="pct"/>
            <w:vAlign w:val="center"/>
            <w:hideMark/>
          </w:tcPr>
          <w:p w14:paraId="52DC46D9" w14:textId="77777777" w:rsidR="00000000" w:rsidRDefault="000A3118">
            <w:pPr>
              <w:rPr>
                <w:rFonts w:eastAsia="Times New Roman"/>
                <w:sz w:val="20"/>
                <w:szCs w:val="20"/>
              </w:rPr>
            </w:pPr>
          </w:p>
        </w:tc>
        <w:tc>
          <w:tcPr>
            <w:tcW w:w="5" w:type="pct"/>
            <w:vAlign w:val="center"/>
            <w:hideMark/>
          </w:tcPr>
          <w:p w14:paraId="6796C88C" w14:textId="77777777" w:rsidR="00000000" w:rsidRDefault="000A3118">
            <w:pPr>
              <w:rPr>
                <w:rFonts w:eastAsia="Times New Roman"/>
                <w:sz w:val="20"/>
                <w:szCs w:val="20"/>
              </w:rPr>
            </w:pPr>
          </w:p>
        </w:tc>
      </w:tr>
      <w:tr w:rsidR="00000000" w14:paraId="241CC49E" w14:textId="77777777">
        <w:trPr>
          <w:divId w:val="174537193"/>
        </w:trPr>
        <w:tc>
          <w:tcPr>
            <w:tcW w:w="0" w:type="auto"/>
            <w:gridSpan w:val="3"/>
            <w:tcMar>
              <w:top w:w="0" w:type="dxa"/>
              <w:left w:w="20" w:type="dxa"/>
              <w:bottom w:w="0" w:type="dxa"/>
              <w:right w:w="20" w:type="dxa"/>
            </w:tcMar>
            <w:vAlign w:val="center"/>
            <w:hideMark/>
          </w:tcPr>
          <w:p w14:paraId="5F897BEF"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38645FCF"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7DBC55D2" w14:textId="77777777" w:rsidR="00000000" w:rsidRDefault="000A3118">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14:paraId="3D356063" w14:textId="77777777" w:rsidR="00000000" w:rsidRDefault="000A3118">
            <w:pPr>
              <w:jc w:val="center"/>
              <w:rPr>
                <w:rFonts w:eastAsia="Times New Roman"/>
              </w:rPr>
            </w:pPr>
          </w:p>
        </w:tc>
        <w:tc>
          <w:tcPr>
            <w:tcW w:w="0" w:type="auto"/>
            <w:gridSpan w:val="9"/>
            <w:tcMar>
              <w:top w:w="30" w:type="dxa"/>
              <w:left w:w="20" w:type="dxa"/>
              <w:bottom w:w="30" w:type="dxa"/>
              <w:right w:w="20" w:type="dxa"/>
            </w:tcMar>
            <w:vAlign w:val="bottom"/>
            <w:hideMark/>
          </w:tcPr>
          <w:p w14:paraId="43BF7C9F" w14:textId="77777777" w:rsidR="00000000" w:rsidRDefault="000A3118">
            <w:pPr>
              <w:jc w:val="center"/>
              <w:rPr>
                <w:rFonts w:eastAsia="Times New Roman"/>
              </w:rPr>
            </w:pPr>
            <w:r>
              <w:rPr>
                <w:rFonts w:eastAsia="Times New Roman"/>
                <w:b/>
                <w:bCs/>
                <w:color w:val="000000"/>
                <w:sz w:val="16"/>
                <w:szCs w:val="16"/>
              </w:rPr>
              <w:t>For the Nine Months Ended</w:t>
            </w:r>
          </w:p>
        </w:tc>
      </w:tr>
      <w:tr w:rsidR="00000000" w14:paraId="5B5A9EFD" w14:textId="77777777">
        <w:trPr>
          <w:divId w:val="174537193"/>
        </w:trPr>
        <w:tc>
          <w:tcPr>
            <w:tcW w:w="0" w:type="auto"/>
            <w:gridSpan w:val="3"/>
            <w:tcMar>
              <w:top w:w="0" w:type="dxa"/>
              <w:left w:w="20" w:type="dxa"/>
              <w:bottom w:w="0" w:type="dxa"/>
              <w:right w:w="20" w:type="dxa"/>
            </w:tcMar>
            <w:vAlign w:val="center"/>
            <w:hideMark/>
          </w:tcPr>
          <w:p w14:paraId="7EAFA79A"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33BDC6B7"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127D396B"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691076AA" w14:textId="77777777" w:rsidR="00000000" w:rsidRDefault="000A3118">
            <w:pPr>
              <w:jc w:val="center"/>
              <w:rPr>
                <w:rFonts w:eastAsia="Times New Roman"/>
              </w:rPr>
            </w:pPr>
          </w:p>
        </w:tc>
        <w:tc>
          <w:tcPr>
            <w:tcW w:w="0" w:type="auto"/>
            <w:gridSpan w:val="9"/>
            <w:tcMar>
              <w:top w:w="30" w:type="dxa"/>
              <w:left w:w="20" w:type="dxa"/>
              <w:bottom w:w="30" w:type="dxa"/>
              <w:right w:w="20" w:type="dxa"/>
            </w:tcMar>
            <w:vAlign w:val="bottom"/>
            <w:hideMark/>
          </w:tcPr>
          <w:p w14:paraId="37A54BD3" w14:textId="77777777" w:rsidR="00000000" w:rsidRDefault="000A3118">
            <w:pPr>
              <w:jc w:val="center"/>
              <w:rPr>
                <w:rFonts w:eastAsia="Times New Roman"/>
              </w:rPr>
            </w:pPr>
            <w:r>
              <w:rPr>
                <w:rFonts w:eastAsia="Times New Roman"/>
                <w:b/>
                <w:bCs/>
                <w:color w:val="000000"/>
                <w:sz w:val="16"/>
                <w:szCs w:val="16"/>
              </w:rPr>
              <w:t>September 30,</w:t>
            </w:r>
          </w:p>
        </w:tc>
      </w:tr>
      <w:tr w:rsidR="00000000" w14:paraId="633E7682" w14:textId="77777777">
        <w:trPr>
          <w:divId w:val="174537193"/>
        </w:trPr>
        <w:tc>
          <w:tcPr>
            <w:tcW w:w="0" w:type="auto"/>
            <w:gridSpan w:val="3"/>
            <w:tcMar>
              <w:top w:w="0" w:type="dxa"/>
              <w:left w:w="20" w:type="dxa"/>
              <w:bottom w:w="0" w:type="dxa"/>
              <w:right w:w="20" w:type="dxa"/>
            </w:tcMar>
            <w:vAlign w:val="center"/>
            <w:hideMark/>
          </w:tcPr>
          <w:p w14:paraId="3E9238BC"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0A97628F"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CACCEC1"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C84B4E7"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1CE63F"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51B9E10B"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FB3AE3"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B0EF2C6"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848DBD" w14:textId="77777777" w:rsidR="00000000" w:rsidRDefault="000A3118">
            <w:pPr>
              <w:jc w:val="center"/>
              <w:rPr>
                <w:rFonts w:eastAsia="Times New Roman"/>
              </w:rPr>
            </w:pPr>
            <w:r>
              <w:rPr>
                <w:rFonts w:eastAsia="Times New Roman"/>
                <w:b/>
                <w:bCs/>
                <w:color w:val="000000"/>
                <w:sz w:val="16"/>
                <w:szCs w:val="16"/>
              </w:rPr>
              <w:t>2019</w:t>
            </w:r>
          </w:p>
        </w:tc>
      </w:tr>
      <w:tr w:rsidR="00000000" w14:paraId="4061C29F" w14:textId="77777777">
        <w:trPr>
          <w:divId w:val="17453719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5533D0" w14:textId="77777777" w:rsidR="00000000" w:rsidRDefault="000A3118">
            <w:pPr>
              <w:rPr>
                <w:rFonts w:eastAsia="Times New Roman"/>
              </w:rPr>
            </w:pPr>
            <w:r>
              <w:rPr>
                <w:rFonts w:eastAsia="Times New Roman"/>
                <w:color w:val="000000"/>
                <w:sz w:val="16"/>
                <w:szCs w:val="16"/>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B1A38E"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DC5521"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BAA4F7"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574044"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4954CE"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475674"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CC5E1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4313F6" w14:textId="77777777" w:rsidR="00000000" w:rsidRDefault="000A3118">
            <w:pPr>
              <w:rPr>
                <w:rFonts w:eastAsia="Times New Roman"/>
                <w:sz w:val="20"/>
                <w:szCs w:val="20"/>
              </w:rPr>
            </w:pPr>
          </w:p>
        </w:tc>
      </w:tr>
      <w:tr w:rsidR="00000000" w14:paraId="28576056" w14:textId="77777777">
        <w:trPr>
          <w:divId w:val="174537193"/>
        </w:trPr>
        <w:tc>
          <w:tcPr>
            <w:tcW w:w="0" w:type="auto"/>
            <w:gridSpan w:val="3"/>
            <w:shd w:val="clear" w:color="auto" w:fill="FFFFFF"/>
            <w:tcMar>
              <w:top w:w="30" w:type="dxa"/>
              <w:left w:w="135" w:type="dxa"/>
              <w:bottom w:w="30" w:type="dxa"/>
              <w:right w:w="20" w:type="dxa"/>
            </w:tcMar>
            <w:vAlign w:val="bottom"/>
            <w:hideMark/>
          </w:tcPr>
          <w:p w14:paraId="01742A27" w14:textId="77777777" w:rsidR="00000000" w:rsidRDefault="000A3118">
            <w:pPr>
              <w:rPr>
                <w:rFonts w:eastAsia="Times New Roman"/>
              </w:rPr>
            </w:pPr>
            <w:r>
              <w:rPr>
                <w:rFonts w:eastAsia="Times New Roman"/>
                <w:color w:val="000000"/>
                <w:sz w:val="16"/>
                <w:szCs w:val="16"/>
              </w:rPr>
              <w:t>Net income attributable to World Fuel</w:t>
            </w:r>
          </w:p>
        </w:tc>
        <w:tc>
          <w:tcPr>
            <w:tcW w:w="0" w:type="auto"/>
            <w:gridSpan w:val="3"/>
            <w:shd w:val="clear" w:color="auto" w:fill="FFFFFF"/>
            <w:tcMar>
              <w:top w:w="0" w:type="dxa"/>
              <w:left w:w="20" w:type="dxa"/>
              <w:bottom w:w="0" w:type="dxa"/>
              <w:right w:w="20" w:type="dxa"/>
            </w:tcMar>
            <w:vAlign w:val="center"/>
            <w:hideMark/>
          </w:tcPr>
          <w:p w14:paraId="6081CC38"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6E846712"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87303F7" w14:textId="77777777" w:rsidR="00000000" w:rsidRDefault="000A3118">
            <w:pPr>
              <w:jc w:val="right"/>
              <w:rPr>
                <w:rFonts w:eastAsia="Times New Roman"/>
              </w:rPr>
            </w:pPr>
            <w:r>
              <w:rPr>
                <w:rFonts w:eastAsia="Times New Roman"/>
                <w:color w:val="000000"/>
                <w:sz w:val="16"/>
                <w:szCs w:val="16"/>
              </w:rPr>
              <w:t>82.0 </w:t>
            </w:r>
          </w:p>
        </w:tc>
        <w:tc>
          <w:tcPr>
            <w:tcW w:w="0" w:type="auto"/>
            <w:shd w:val="clear" w:color="auto" w:fill="FFFFFF"/>
            <w:tcMar>
              <w:top w:w="30" w:type="dxa"/>
              <w:left w:w="0" w:type="dxa"/>
              <w:bottom w:w="30" w:type="dxa"/>
              <w:right w:w="20" w:type="dxa"/>
            </w:tcMar>
            <w:vAlign w:val="bottom"/>
            <w:hideMark/>
          </w:tcPr>
          <w:p w14:paraId="1F6C004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2C28A"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FDE473"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931F216" w14:textId="77777777" w:rsidR="00000000" w:rsidRDefault="000A3118">
            <w:pPr>
              <w:jc w:val="right"/>
              <w:rPr>
                <w:rFonts w:eastAsia="Times New Roman"/>
              </w:rPr>
            </w:pPr>
            <w:r>
              <w:rPr>
                <w:rFonts w:eastAsia="Times New Roman"/>
                <w:color w:val="000000"/>
                <w:sz w:val="16"/>
                <w:szCs w:val="16"/>
              </w:rPr>
              <w:t>48.2 </w:t>
            </w:r>
          </w:p>
        </w:tc>
        <w:tc>
          <w:tcPr>
            <w:tcW w:w="0" w:type="auto"/>
            <w:shd w:val="clear" w:color="auto" w:fill="FFFFFF"/>
            <w:tcMar>
              <w:top w:w="30" w:type="dxa"/>
              <w:left w:w="0" w:type="dxa"/>
              <w:bottom w:w="30" w:type="dxa"/>
              <w:right w:w="20" w:type="dxa"/>
            </w:tcMar>
            <w:vAlign w:val="bottom"/>
            <w:hideMark/>
          </w:tcPr>
          <w:p w14:paraId="4C20F575"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27755D93"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93A299"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6D1AB63" w14:textId="77777777" w:rsidR="00000000" w:rsidRDefault="000A3118">
            <w:pPr>
              <w:jc w:val="right"/>
              <w:rPr>
                <w:rFonts w:eastAsia="Times New Roman"/>
              </w:rPr>
            </w:pPr>
            <w:r>
              <w:rPr>
                <w:rFonts w:eastAsia="Times New Roman"/>
                <w:color w:val="000000"/>
                <w:sz w:val="16"/>
                <w:szCs w:val="16"/>
              </w:rPr>
              <w:t>113.1 </w:t>
            </w:r>
          </w:p>
        </w:tc>
        <w:tc>
          <w:tcPr>
            <w:tcW w:w="0" w:type="auto"/>
            <w:shd w:val="clear" w:color="auto" w:fill="FFFFFF"/>
            <w:tcMar>
              <w:top w:w="30" w:type="dxa"/>
              <w:left w:w="0" w:type="dxa"/>
              <w:bottom w:w="30" w:type="dxa"/>
              <w:right w:w="20" w:type="dxa"/>
            </w:tcMar>
            <w:vAlign w:val="bottom"/>
            <w:hideMark/>
          </w:tcPr>
          <w:p w14:paraId="54A8CCB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20A20"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0B6DAE"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E7B6FF3" w14:textId="77777777" w:rsidR="00000000" w:rsidRDefault="000A3118">
            <w:pPr>
              <w:jc w:val="right"/>
              <w:rPr>
                <w:rFonts w:eastAsia="Times New Roman"/>
              </w:rPr>
            </w:pPr>
            <w:r>
              <w:rPr>
                <w:rFonts w:eastAsia="Times New Roman"/>
                <w:color w:val="000000"/>
                <w:sz w:val="16"/>
                <w:szCs w:val="16"/>
              </w:rPr>
              <w:t>122.4 </w:t>
            </w:r>
          </w:p>
        </w:tc>
        <w:tc>
          <w:tcPr>
            <w:tcW w:w="0" w:type="auto"/>
            <w:shd w:val="clear" w:color="auto" w:fill="FFFFFF"/>
            <w:tcMar>
              <w:top w:w="30" w:type="dxa"/>
              <w:left w:w="0" w:type="dxa"/>
              <w:bottom w:w="30" w:type="dxa"/>
              <w:right w:w="20" w:type="dxa"/>
            </w:tcMar>
            <w:vAlign w:val="bottom"/>
            <w:hideMark/>
          </w:tcPr>
          <w:p w14:paraId="0082788D" w14:textId="77777777" w:rsidR="00000000" w:rsidRDefault="000A3118">
            <w:pPr>
              <w:jc w:val="right"/>
              <w:rPr>
                <w:rFonts w:eastAsia="Times New Roman"/>
              </w:rPr>
            </w:pPr>
          </w:p>
        </w:tc>
      </w:tr>
      <w:tr w:rsidR="00000000" w14:paraId="56085EBF" w14:textId="77777777">
        <w:trPr>
          <w:divId w:val="17453719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17960A" w14:textId="77777777" w:rsidR="00000000" w:rsidRDefault="000A3118">
            <w:pPr>
              <w:rPr>
                <w:rFonts w:eastAsia="Times New Roman"/>
              </w:rPr>
            </w:pPr>
            <w:r>
              <w:rPr>
                <w:rFonts w:eastAsia="Times New Roman"/>
                <w:color w:val="000000"/>
                <w:sz w:val="16"/>
                <w:szCs w:val="16"/>
              </w:rPr>
              <w:t>Denominator: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E3D7F6" w14:textId="77777777" w:rsidR="00000000" w:rsidRDefault="000A3118">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E0BDC0"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DC503B"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FECD57"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183748"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0D933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D6229C" w14:textId="77777777" w:rsidR="00000000" w:rsidRDefault="000A311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FAB541" w14:textId="77777777" w:rsidR="00000000" w:rsidRDefault="000A3118">
            <w:pPr>
              <w:rPr>
                <w:rFonts w:eastAsia="Times New Roman"/>
                <w:sz w:val="20"/>
                <w:szCs w:val="20"/>
              </w:rPr>
            </w:pPr>
          </w:p>
        </w:tc>
      </w:tr>
      <w:tr w:rsidR="00000000" w14:paraId="53620856" w14:textId="77777777">
        <w:trPr>
          <w:divId w:val="174537193"/>
        </w:trPr>
        <w:tc>
          <w:tcPr>
            <w:tcW w:w="0" w:type="auto"/>
            <w:gridSpan w:val="3"/>
            <w:shd w:val="clear" w:color="auto" w:fill="FFFFFF"/>
            <w:tcMar>
              <w:top w:w="30" w:type="dxa"/>
              <w:left w:w="135" w:type="dxa"/>
              <w:bottom w:w="30" w:type="dxa"/>
              <w:right w:w="20" w:type="dxa"/>
            </w:tcMar>
            <w:vAlign w:val="bottom"/>
            <w:hideMark/>
          </w:tcPr>
          <w:p w14:paraId="1A27A0F4" w14:textId="77777777" w:rsidR="00000000" w:rsidRDefault="000A3118">
            <w:pPr>
              <w:rPr>
                <w:rFonts w:eastAsia="Times New Roman"/>
              </w:rPr>
            </w:pPr>
            <w:r>
              <w:rPr>
                <w:rFonts w:eastAsia="Times New Roman"/>
                <w:color w:val="000000"/>
                <w:sz w:val="16"/>
                <w:szCs w:val="16"/>
              </w:rPr>
              <w:t>Weighted average common shares for basic earnings per common share</w:t>
            </w:r>
          </w:p>
        </w:tc>
        <w:tc>
          <w:tcPr>
            <w:tcW w:w="0" w:type="auto"/>
            <w:gridSpan w:val="3"/>
            <w:shd w:val="clear" w:color="auto" w:fill="FFFFFF"/>
            <w:tcMar>
              <w:top w:w="0" w:type="dxa"/>
              <w:left w:w="20" w:type="dxa"/>
              <w:bottom w:w="0" w:type="dxa"/>
              <w:right w:w="20" w:type="dxa"/>
            </w:tcMar>
            <w:vAlign w:val="center"/>
            <w:hideMark/>
          </w:tcPr>
          <w:p w14:paraId="7D5662C4"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17E6E5" w14:textId="77777777" w:rsidR="00000000" w:rsidRDefault="000A3118">
            <w:pPr>
              <w:jc w:val="right"/>
              <w:rPr>
                <w:rFonts w:eastAsia="Times New Roman"/>
              </w:rPr>
            </w:pPr>
            <w:r>
              <w:rPr>
                <w:rFonts w:eastAsia="Times New Roman"/>
                <w:color w:val="000000"/>
                <w:sz w:val="16"/>
                <w:szCs w:val="16"/>
              </w:rPr>
              <w:t>63.4 </w:t>
            </w:r>
          </w:p>
        </w:tc>
        <w:tc>
          <w:tcPr>
            <w:tcW w:w="0" w:type="auto"/>
            <w:shd w:val="clear" w:color="auto" w:fill="FFFFFF"/>
            <w:tcMar>
              <w:top w:w="30" w:type="dxa"/>
              <w:left w:w="0" w:type="dxa"/>
              <w:bottom w:w="30" w:type="dxa"/>
              <w:right w:w="20" w:type="dxa"/>
            </w:tcMar>
            <w:vAlign w:val="bottom"/>
            <w:hideMark/>
          </w:tcPr>
          <w:p w14:paraId="0E01DC66"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70FC9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97D86C" w14:textId="77777777" w:rsidR="00000000" w:rsidRDefault="000A3118">
            <w:pPr>
              <w:jc w:val="right"/>
              <w:rPr>
                <w:rFonts w:eastAsia="Times New Roman"/>
              </w:rPr>
            </w:pPr>
            <w:r>
              <w:rPr>
                <w:rFonts w:eastAsia="Times New Roman"/>
                <w:color w:val="000000"/>
                <w:sz w:val="16"/>
                <w:szCs w:val="16"/>
              </w:rPr>
              <w:t>65.3 </w:t>
            </w:r>
          </w:p>
        </w:tc>
        <w:tc>
          <w:tcPr>
            <w:tcW w:w="0" w:type="auto"/>
            <w:shd w:val="clear" w:color="auto" w:fill="FFFFFF"/>
            <w:tcMar>
              <w:top w:w="30" w:type="dxa"/>
              <w:left w:w="0" w:type="dxa"/>
              <w:bottom w:w="30" w:type="dxa"/>
              <w:right w:w="20" w:type="dxa"/>
            </w:tcMar>
            <w:vAlign w:val="bottom"/>
            <w:hideMark/>
          </w:tcPr>
          <w:p w14:paraId="59566280"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620DBC56"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FF2867" w14:textId="77777777" w:rsidR="00000000" w:rsidRDefault="000A3118">
            <w:pPr>
              <w:jc w:val="right"/>
              <w:rPr>
                <w:rFonts w:eastAsia="Times New Roman"/>
              </w:rPr>
            </w:pPr>
            <w:r>
              <w:rPr>
                <w:rFonts w:eastAsia="Times New Roman"/>
                <w:color w:val="000000"/>
                <w:sz w:val="16"/>
                <w:szCs w:val="16"/>
              </w:rPr>
              <w:t>63.9 </w:t>
            </w:r>
          </w:p>
        </w:tc>
        <w:tc>
          <w:tcPr>
            <w:tcW w:w="0" w:type="auto"/>
            <w:shd w:val="clear" w:color="auto" w:fill="FFFFFF"/>
            <w:tcMar>
              <w:top w:w="30" w:type="dxa"/>
              <w:left w:w="0" w:type="dxa"/>
              <w:bottom w:w="30" w:type="dxa"/>
              <w:right w:w="20" w:type="dxa"/>
            </w:tcMar>
            <w:vAlign w:val="bottom"/>
            <w:hideMark/>
          </w:tcPr>
          <w:p w14:paraId="2EBDC63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B15A9"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2AC5C4" w14:textId="77777777" w:rsidR="00000000" w:rsidRDefault="000A3118">
            <w:pPr>
              <w:jc w:val="right"/>
              <w:rPr>
                <w:rFonts w:eastAsia="Times New Roman"/>
              </w:rPr>
            </w:pPr>
            <w:r>
              <w:rPr>
                <w:rFonts w:eastAsia="Times New Roman"/>
                <w:color w:val="000000"/>
                <w:sz w:val="16"/>
                <w:szCs w:val="16"/>
              </w:rPr>
              <w:t>66.4 </w:t>
            </w:r>
          </w:p>
        </w:tc>
        <w:tc>
          <w:tcPr>
            <w:tcW w:w="0" w:type="auto"/>
            <w:shd w:val="clear" w:color="auto" w:fill="FFFFFF"/>
            <w:tcMar>
              <w:top w:w="30" w:type="dxa"/>
              <w:left w:w="0" w:type="dxa"/>
              <w:bottom w:w="30" w:type="dxa"/>
              <w:right w:w="20" w:type="dxa"/>
            </w:tcMar>
            <w:vAlign w:val="bottom"/>
            <w:hideMark/>
          </w:tcPr>
          <w:p w14:paraId="37F1D415" w14:textId="77777777" w:rsidR="00000000" w:rsidRDefault="000A3118">
            <w:pPr>
              <w:jc w:val="right"/>
              <w:rPr>
                <w:rFonts w:eastAsia="Times New Roman"/>
              </w:rPr>
            </w:pPr>
          </w:p>
        </w:tc>
      </w:tr>
      <w:tr w:rsidR="00000000" w14:paraId="2C298349" w14:textId="77777777">
        <w:trPr>
          <w:divId w:val="174537193"/>
        </w:trPr>
        <w:tc>
          <w:tcPr>
            <w:tcW w:w="0" w:type="auto"/>
            <w:gridSpan w:val="3"/>
            <w:shd w:val="clear" w:color="auto" w:fill="CCEEFF"/>
            <w:tcMar>
              <w:top w:w="30" w:type="dxa"/>
              <w:left w:w="135" w:type="dxa"/>
              <w:bottom w:w="30" w:type="dxa"/>
              <w:right w:w="20" w:type="dxa"/>
            </w:tcMar>
            <w:vAlign w:val="bottom"/>
            <w:hideMark/>
          </w:tcPr>
          <w:p w14:paraId="72E6BBDB" w14:textId="77777777" w:rsidR="00000000" w:rsidRDefault="000A3118">
            <w:pPr>
              <w:rPr>
                <w:rFonts w:eastAsia="Times New Roman"/>
              </w:rPr>
            </w:pPr>
            <w:r>
              <w:rPr>
                <w:rFonts w:eastAsia="Times New Roman"/>
                <w:color w:val="000000"/>
                <w:sz w:val="16"/>
                <w:szCs w:val="16"/>
              </w:rPr>
              <w:t>Effect of dilutive securities</w:t>
            </w:r>
          </w:p>
        </w:tc>
        <w:tc>
          <w:tcPr>
            <w:tcW w:w="0" w:type="auto"/>
            <w:gridSpan w:val="3"/>
            <w:shd w:val="clear" w:color="auto" w:fill="CCEEFF"/>
            <w:tcMar>
              <w:top w:w="0" w:type="dxa"/>
              <w:left w:w="20" w:type="dxa"/>
              <w:bottom w:w="0" w:type="dxa"/>
              <w:right w:w="20" w:type="dxa"/>
            </w:tcMar>
            <w:vAlign w:val="center"/>
            <w:hideMark/>
          </w:tcPr>
          <w:p w14:paraId="18C1C0FD"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156A46" w14:textId="77777777" w:rsidR="00000000" w:rsidRDefault="000A3118">
            <w:pPr>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vAlign w:val="bottom"/>
            <w:hideMark/>
          </w:tcPr>
          <w:p w14:paraId="3C9ADA65"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B91BC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6C4969" w14:textId="77777777" w:rsidR="00000000" w:rsidRDefault="000A3118">
            <w:pPr>
              <w:jc w:val="right"/>
              <w:rPr>
                <w:rFonts w:eastAsia="Times New Roman"/>
              </w:rPr>
            </w:pPr>
            <w:r>
              <w:rPr>
                <w:rFonts w:eastAsia="Times New Roman"/>
                <w:color w:val="000000"/>
                <w:sz w:val="16"/>
                <w:szCs w:val="16"/>
              </w:rPr>
              <w:t>0.4 </w:t>
            </w:r>
          </w:p>
        </w:tc>
        <w:tc>
          <w:tcPr>
            <w:tcW w:w="0" w:type="auto"/>
            <w:shd w:val="clear" w:color="auto" w:fill="CCEEFF"/>
            <w:tcMar>
              <w:top w:w="30" w:type="dxa"/>
              <w:left w:w="0" w:type="dxa"/>
              <w:bottom w:w="30" w:type="dxa"/>
              <w:right w:w="20" w:type="dxa"/>
            </w:tcMar>
            <w:vAlign w:val="bottom"/>
            <w:hideMark/>
          </w:tcPr>
          <w:p w14:paraId="004914F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71191"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29B17C" w14:textId="77777777" w:rsidR="00000000" w:rsidRDefault="000A3118">
            <w:pPr>
              <w:jc w:val="right"/>
              <w:rPr>
                <w:rFonts w:eastAsia="Times New Roman"/>
              </w:rPr>
            </w:pPr>
            <w:r>
              <w:rPr>
                <w:rFonts w:eastAsia="Times New Roman"/>
                <w:color w:val="000000"/>
                <w:sz w:val="16"/>
                <w:szCs w:val="16"/>
              </w:rPr>
              <w:t>0.3 </w:t>
            </w:r>
          </w:p>
        </w:tc>
        <w:tc>
          <w:tcPr>
            <w:tcW w:w="0" w:type="auto"/>
            <w:shd w:val="clear" w:color="auto" w:fill="CCEEFF"/>
            <w:tcMar>
              <w:top w:w="30" w:type="dxa"/>
              <w:left w:w="0" w:type="dxa"/>
              <w:bottom w:w="30" w:type="dxa"/>
              <w:right w:w="20" w:type="dxa"/>
            </w:tcMar>
            <w:vAlign w:val="bottom"/>
            <w:hideMark/>
          </w:tcPr>
          <w:p w14:paraId="7A8AA0A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429C2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6CA04A" w14:textId="77777777" w:rsidR="00000000" w:rsidRDefault="000A3118">
            <w:pPr>
              <w:jc w:val="right"/>
              <w:rPr>
                <w:rFonts w:eastAsia="Times New Roman"/>
              </w:rPr>
            </w:pPr>
            <w:r>
              <w:rPr>
                <w:rFonts w:eastAsia="Times New Roman"/>
                <w:color w:val="000000"/>
                <w:sz w:val="16"/>
                <w:szCs w:val="16"/>
              </w:rPr>
              <w:t>0.3 </w:t>
            </w:r>
          </w:p>
        </w:tc>
        <w:tc>
          <w:tcPr>
            <w:tcW w:w="0" w:type="auto"/>
            <w:shd w:val="clear" w:color="auto" w:fill="CCEEFF"/>
            <w:tcMar>
              <w:top w:w="30" w:type="dxa"/>
              <w:left w:w="0" w:type="dxa"/>
              <w:bottom w:w="30" w:type="dxa"/>
              <w:right w:w="20" w:type="dxa"/>
            </w:tcMar>
            <w:vAlign w:val="bottom"/>
            <w:hideMark/>
          </w:tcPr>
          <w:p w14:paraId="6B4E0BD9" w14:textId="77777777" w:rsidR="00000000" w:rsidRDefault="000A3118">
            <w:pPr>
              <w:jc w:val="right"/>
              <w:rPr>
                <w:rFonts w:eastAsia="Times New Roman"/>
              </w:rPr>
            </w:pPr>
          </w:p>
        </w:tc>
      </w:tr>
      <w:tr w:rsidR="00000000" w14:paraId="0AA6C3A8" w14:textId="77777777">
        <w:trPr>
          <w:divId w:val="174537193"/>
        </w:trPr>
        <w:tc>
          <w:tcPr>
            <w:tcW w:w="0" w:type="auto"/>
            <w:gridSpan w:val="3"/>
            <w:tcBorders>
              <w:top w:val="single" w:sz="8" w:space="0" w:color="000000"/>
            </w:tcBorders>
            <w:shd w:val="clear" w:color="auto" w:fill="FFFFFF"/>
            <w:tcMar>
              <w:top w:w="30" w:type="dxa"/>
              <w:left w:w="135" w:type="dxa"/>
              <w:bottom w:w="30" w:type="dxa"/>
              <w:right w:w="20" w:type="dxa"/>
            </w:tcMar>
            <w:vAlign w:val="bottom"/>
            <w:hideMark/>
          </w:tcPr>
          <w:p w14:paraId="4F9E604F" w14:textId="77777777" w:rsidR="00000000" w:rsidRDefault="000A3118">
            <w:pPr>
              <w:rPr>
                <w:rFonts w:eastAsia="Times New Roman"/>
              </w:rPr>
            </w:pPr>
            <w:r>
              <w:rPr>
                <w:rFonts w:eastAsia="Times New Roman"/>
                <w:color w:val="000000"/>
                <w:sz w:val="16"/>
                <w:szCs w:val="16"/>
              </w:rPr>
              <w:t>Weighted average common shares for diluted earnings per common share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E199E8"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DA1FA4" w14:textId="77777777" w:rsidR="00000000" w:rsidRDefault="000A3118">
            <w:pPr>
              <w:jc w:val="right"/>
              <w:rPr>
                <w:rFonts w:eastAsia="Times New Roman"/>
              </w:rPr>
            </w:pPr>
            <w:r>
              <w:rPr>
                <w:rFonts w:eastAsia="Times New Roman"/>
                <w:color w:val="000000"/>
                <w:sz w:val="16"/>
                <w:szCs w:val="16"/>
              </w:rPr>
              <w:t>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FC9F90"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8207A3"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6BFE7C" w14:textId="77777777" w:rsidR="00000000" w:rsidRDefault="000A3118">
            <w:pPr>
              <w:jc w:val="right"/>
              <w:rPr>
                <w:rFonts w:eastAsia="Times New Roman"/>
              </w:rPr>
            </w:pPr>
            <w:r>
              <w:rPr>
                <w:rFonts w:eastAsia="Times New Roman"/>
                <w:color w:val="000000"/>
                <w:sz w:val="16"/>
                <w:szCs w:val="16"/>
              </w:rPr>
              <w:t>65.7 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0ED39B" w14:textId="77777777" w:rsidR="00000000" w:rsidRDefault="000A3118">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2D8C531"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11A126" w14:textId="77777777" w:rsidR="00000000" w:rsidRDefault="000A3118">
            <w:pPr>
              <w:jc w:val="right"/>
              <w:rPr>
                <w:rFonts w:eastAsia="Times New Roman"/>
              </w:rPr>
            </w:pPr>
            <w:r>
              <w:rPr>
                <w:rFonts w:eastAsia="Times New Roman"/>
                <w:color w:val="000000"/>
                <w:sz w:val="16"/>
                <w:szCs w:val="16"/>
              </w:rPr>
              <w:t>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5FF90F"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8E28E83"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821E2B" w14:textId="77777777" w:rsidR="00000000" w:rsidRDefault="000A3118">
            <w:pPr>
              <w:jc w:val="right"/>
              <w:rPr>
                <w:rFonts w:eastAsia="Times New Roman"/>
              </w:rPr>
            </w:pPr>
            <w:r>
              <w:rPr>
                <w:rFonts w:eastAsia="Times New Roman"/>
                <w:color w:val="000000"/>
                <w:sz w:val="16"/>
                <w:szCs w:val="16"/>
              </w:rPr>
              <w:t>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CC24A6" w14:textId="77777777" w:rsidR="00000000" w:rsidRDefault="000A3118">
            <w:pPr>
              <w:jc w:val="right"/>
              <w:rPr>
                <w:rFonts w:eastAsia="Times New Roman"/>
              </w:rPr>
            </w:pPr>
          </w:p>
        </w:tc>
      </w:tr>
      <w:tr w:rsidR="00000000" w14:paraId="799E4A26" w14:textId="77777777">
        <w:trPr>
          <w:divId w:val="174537193"/>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ACC538"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116D03C"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33F4DF0"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9DB63F"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365625C"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37B243D"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629F035"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F0F600"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1A2230" w14:textId="77777777" w:rsidR="00000000" w:rsidRDefault="000A3118">
            <w:pPr>
              <w:rPr>
                <w:rFonts w:eastAsia="Times New Roman"/>
                <w:sz w:val="20"/>
                <w:szCs w:val="20"/>
              </w:rPr>
            </w:pPr>
          </w:p>
        </w:tc>
      </w:tr>
      <w:tr w:rsidR="00000000" w14:paraId="0A710E46" w14:textId="77777777">
        <w:trPr>
          <w:divId w:val="17453719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88F9548" w14:textId="77777777" w:rsidR="00000000" w:rsidRDefault="000A3118">
            <w:pPr>
              <w:rPr>
                <w:rFonts w:eastAsia="Times New Roman"/>
              </w:rPr>
            </w:pPr>
            <w:r>
              <w:rPr>
                <w:rFonts w:eastAsia="Times New Roman"/>
                <w:color w:val="000000"/>
                <w:sz w:val="16"/>
                <w:szCs w:val="16"/>
              </w:rPr>
              <w:t>Weighted average securities which are not included in the calculation of diluted earnings per common share because their impact is anti-dilutive or their performance conditions have not been met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5EC033" w14:textId="77777777" w:rsidR="00000000" w:rsidRDefault="000A311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004497" w14:textId="77777777" w:rsidR="00000000" w:rsidRDefault="000A3118">
            <w:pPr>
              <w:jc w:val="right"/>
              <w:rPr>
                <w:rFonts w:eastAsia="Times New Roman"/>
              </w:rPr>
            </w:pPr>
            <w:r>
              <w:rPr>
                <w:rFonts w:eastAsia="Times New Roman"/>
                <w:color w:val="000000"/>
                <w:sz w:val="16"/>
                <w:szCs w:val="16"/>
              </w:rPr>
              <w:t>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540316"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4073F9B"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1FE444" w14:textId="77777777" w:rsidR="00000000" w:rsidRDefault="000A3118">
            <w:pPr>
              <w:jc w:val="right"/>
              <w:rPr>
                <w:rFonts w:eastAsia="Times New Roman"/>
              </w:rPr>
            </w:pPr>
            <w:r>
              <w:rPr>
                <w:rFonts w:eastAsia="Times New Roman"/>
                <w:color w:val="000000"/>
                <w:sz w:val="16"/>
                <w:szCs w:val="16"/>
              </w:rPr>
              <w:t>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84DF12" w14:textId="77777777" w:rsidR="00000000" w:rsidRDefault="000A3118">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B6E6B43"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15CC40" w14:textId="77777777" w:rsidR="00000000" w:rsidRDefault="000A3118">
            <w:pPr>
              <w:jc w:val="right"/>
              <w:rPr>
                <w:rFonts w:eastAsia="Times New Roman"/>
              </w:rPr>
            </w:pPr>
            <w:r>
              <w:rPr>
                <w:rFonts w:eastAsia="Times New Roman"/>
                <w:color w:val="000000"/>
                <w:sz w:val="16"/>
                <w:szCs w:val="16"/>
              </w:rPr>
              <w:t>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495DBD"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9DCEC3"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11E409" w14:textId="77777777" w:rsidR="00000000" w:rsidRDefault="000A3118">
            <w:pPr>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65F4E7" w14:textId="77777777" w:rsidR="00000000" w:rsidRDefault="000A3118">
            <w:pPr>
              <w:jc w:val="right"/>
              <w:rPr>
                <w:rFonts w:eastAsia="Times New Roman"/>
              </w:rPr>
            </w:pPr>
          </w:p>
        </w:tc>
      </w:tr>
      <w:tr w:rsidR="00000000" w14:paraId="36E1EFAA" w14:textId="77777777">
        <w:trPr>
          <w:divId w:val="174537193"/>
          <w:trHeight w:val="24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E3D4A6E"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05D1DE1"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F4FF1E5"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8FF97A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6A22D0"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C6719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2008CB7"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A2320AC"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0A9384E" w14:textId="77777777" w:rsidR="00000000" w:rsidRDefault="000A3118">
            <w:pPr>
              <w:rPr>
                <w:rFonts w:eastAsia="Times New Roman"/>
                <w:sz w:val="20"/>
                <w:szCs w:val="20"/>
              </w:rPr>
            </w:pPr>
          </w:p>
        </w:tc>
      </w:tr>
      <w:tr w:rsidR="00000000" w14:paraId="4312F72A" w14:textId="77777777">
        <w:trPr>
          <w:divId w:val="174537193"/>
        </w:trPr>
        <w:tc>
          <w:tcPr>
            <w:tcW w:w="0" w:type="auto"/>
            <w:gridSpan w:val="3"/>
            <w:shd w:val="clear" w:color="auto" w:fill="FFFFFF"/>
            <w:tcMar>
              <w:top w:w="30" w:type="dxa"/>
              <w:left w:w="20" w:type="dxa"/>
              <w:bottom w:w="30" w:type="dxa"/>
              <w:right w:w="20" w:type="dxa"/>
            </w:tcMar>
            <w:vAlign w:val="bottom"/>
            <w:hideMark/>
          </w:tcPr>
          <w:p w14:paraId="14B412BE" w14:textId="77777777" w:rsidR="00000000" w:rsidRDefault="000A3118">
            <w:pPr>
              <w:rPr>
                <w:rFonts w:eastAsia="Times New Roman"/>
              </w:rPr>
            </w:pPr>
            <w:r>
              <w:rPr>
                <w:rFonts w:eastAsia="Times New Roman"/>
                <w:color w:val="000000"/>
                <w:sz w:val="16"/>
                <w:szCs w:val="16"/>
              </w:rPr>
              <w:t>Basic earnings per common share</w:t>
            </w:r>
          </w:p>
        </w:tc>
        <w:tc>
          <w:tcPr>
            <w:tcW w:w="0" w:type="auto"/>
            <w:gridSpan w:val="3"/>
            <w:shd w:val="clear" w:color="auto" w:fill="FFFFFF"/>
            <w:tcMar>
              <w:top w:w="0" w:type="dxa"/>
              <w:left w:w="20" w:type="dxa"/>
              <w:bottom w:w="0" w:type="dxa"/>
              <w:right w:w="20" w:type="dxa"/>
            </w:tcMar>
            <w:vAlign w:val="center"/>
            <w:hideMark/>
          </w:tcPr>
          <w:p w14:paraId="5B3FCF86" w14:textId="77777777" w:rsidR="00000000" w:rsidRDefault="000A3118">
            <w:pPr>
              <w:rPr>
                <w:rFonts w:eastAsia="Times New Roman"/>
              </w:rPr>
            </w:pPr>
          </w:p>
        </w:tc>
        <w:tc>
          <w:tcPr>
            <w:tcW w:w="0" w:type="auto"/>
            <w:shd w:val="clear" w:color="auto" w:fill="FFFFFF"/>
            <w:tcMar>
              <w:top w:w="30" w:type="dxa"/>
              <w:left w:w="20" w:type="dxa"/>
              <w:bottom w:w="30" w:type="dxa"/>
              <w:right w:w="0" w:type="dxa"/>
            </w:tcMar>
            <w:vAlign w:val="bottom"/>
            <w:hideMark/>
          </w:tcPr>
          <w:p w14:paraId="3A0932FA"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DF57EDC" w14:textId="77777777" w:rsidR="00000000" w:rsidRDefault="000A3118">
            <w:pPr>
              <w:jc w:val="right"/>
              <w:rPr>
                <w:rFonts w:eastAsia="Times New Roman"/>
              </w:rPr>
            </w:pPr>
            <w:r>
              <w:rPr>
                <w:rFonts w:eastAsia="Times New Roman"/>
                <w:color w:val="000000"/>
                <w:sz w:val="16"/>
                <w:szCs w:val="16"/>
              </w:rPr>
              <w:t>1.29 </w:t>
            </w:r>
          </w:p>
        </w:tc>
        <w:tc>
          <w:tcPr>
            <w:tcW w:w="0" w:type="auto"/>
            <w:shd w:val="clear" w:color="auto" w:fill="FFFFFF"/>
            <w:tcMar>
              <w:top w:w="30" w:type="dxa"/>
              <w:left w:w="0" w:type="dxa"/>
              <w:bottom w:w="30" w:type="dxa"/>
              <w:right w:w="20" w:type="dxa"/>
            </w:tcMar>
            <w:vAlign w:val="bottom"/>
            <w:hideMark/>
          </w:tcPr>
          <w:p w14:paraId="1E106FD4"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ECA70"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1C93442"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EE68E56" w14:textId="77777777" w:rsidR="00000000" w:rsidRDefault="000A3118">
            <w:pPr>
              <w:jc w:val="right"/>
              <w:rPr>
                <w:rFonts w:eastAsia="Times New Roman"/>
              </w:rPr>
            </w:pPr>
            <w:r>
              <w:rPr>
                <w:rFonts w:eastAsia="Times New Roman"/>
                <w:color w:val="000000"/>
                <w:sz w:val="16"/>
                <w:szCs w:val="16"/>
              </w:rPr>
              <w:t>0.74 </w:t>
            </w:r>
          </w:p>
        </w:tc>
        <w:tc>
          <w:tcPr>
            <w:tcW w:w="0" w:type="auto"/>
            <w:shd w:val="clear" w:color="auto" w:fill="FFFFFF"/>
            <w:tcMar>
              <w:top w:w="30" w:type="dxa"/>
              <w:left w:w="0" w:type="dxa"/>
              <w:bottom w:w="30" w:type="dxa"/>
              <w:right w:w="20" w:type="dxa"/>
            </w:tcMar>
            <w:vAlign w:val="bottom"/>
            <w:hideMark/>
          </w:tcPr>
          <w:p w14:paraId="2DEF4239"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4ECC5B66"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DB37F7"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4FEC563" w14:textId="77777777" w:rsidR="00000000" w:rsidRDefault="000A3118">
            <w:pPr>
              <w:jc w:val="right"/>
              <w:rPr>
                <w:rFonts w:eastAsia="Times New Roman"/>
              </w:rPr>
            </w:pPr>
            <w:r>
              <w:rPr>
                <w:rFonts w:eastAsia="Times New Roman"/>
                <w:color w:val="000000"/>
                <w:sz w:val="16"/>
                <w:szCs w:val="16"/>
              </w:rPr>
              <w:t>1.77 </w:t>
            </w:r>
          </w:p>
        </w:tc>
        <w:tc>
          <w:tcPr>
            <w:tcW w:w="0" w:type="auto"/>
            <w:shd w:val="clear" w:color="auto" w:fill="FFFFFF"/>
            <w:tcMar>
              <w:top w:w="30" w:type="dxa"/>
              <w:left w:w="0" w:type="dxa"/>
              <w:bottom w:w="30" w:type="dxa"/>
              <w:right w:w="20" w:type="dxa"/>
            </w:tcMar>
            <w:vAlign w:val="bottom"/>
            <w:hideMark/>
          </w:tcPr>
          <w:p w14:paraId="7CE74BD1"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47D7F"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5F529E"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7F15D4C" w14:textId="77777777" w:rsidR="00000000" w:rsidRDefault="000A3118">
            <w:pPr>
              <w:jc w:val="right"/>
              <w:rPr>
                <w:rFonts w:eastAsia="Times New Roman"/>
              </w:rPr>
            </w:pPr>
            <w:r>
              <w:rPr>
                <w:rFonts w:eastAsia="Times New Roman"/>
                <w:color w:val="000000"/>
                <w:sz w:val="16"/>
                <w:szCs w:val="16"/>
              </w:rPr>
              <w:t>1.84 </w:t>
            </w:r>
          </w:p>
        </w:tc>
        <w:tc>
          <w:tcPr>
            <w:tcW w:w="0" w:type="auto"/>
            <w:shd w:val="clear" w:color="auto" w:fill="FFFFFF"/>
            <w:tcMar>
              <w:top w:w="30" w:type="dxa"/>
              <w:left w:w="0" w:type="dxa"/>
              <w:bottom w:w="30" w:type="dxa"/>
              <w:right w:w="20" w:type="dxa"/>
            </w:tcMar>
            <w:vAlign w:val="bottom"/>
            <w:hideMark/>
          </w:tcPr>
          <w:p w14:paraId="31952E03" w14:textId="77777777" w:rsidR="00000000" w:rsidRDefault="000A3118">
            <w:pPr>
              <w:jc w:val="right"/>
              <w:rPr>
                <w:rFonts w:eastAsia="Times New Roman"/>
              </w:rPr>
            </w:pPr>
          </w:p>
        </w:tc>
      </w:tr>
      <w:tr w:rsidR="00000000" w14:paraId="4009D27D" w14:textId="77777777">
        <w:trPr>
          <w:divId w:val="174537193"/>
          <w:trHeight w:val="24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A0EA70" w14:textId="77777777" w:rsidR="00000000" w:rsidRDefault="000A3118">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4E9EE8"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330A6B"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D236013"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296B07"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FBD93D"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4C9D001"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D3D7DD9" w14:textId="77777777" w:rsidR="00000000" w:rsidRDefault="000A311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B11AC40" w14:textId="77777777" w:rsidR="00000000" w:rsidRDefault="000A3118">
            <w:pPr>
              <w:rPr>
                <w:rFonts w:eastAsia="Times New Roman"/>
                <w:sz w:val="20"/>
                <w:szCs w:val="20"/>
              </w:rPr>
            </w:pPr>
          </w:p>
        </w:tc>
      </w:tr>
      <w:tr w:rsidR="00000000" w14:paraId="30504BC5" w14:textId="77777777">
        <w:trPr>
          <w:divId w:val="174537193"/>
        </w:trPr>
        <w:tc>
          <w:tcPr>
            <w:tcW w:w="0" w:type="auto"/>
            <w:gridSpan w:val="3"/>
            <w:tcBorders>
              <w:bottom w:val="double" w:sz="6" w:space="0" w:color="000000"/>
            </w:tcBorders>
            <w:shd w:val="clear" w:color="auto" w:fill="FFFFFF"/>
            <w:tcMar>
              <w:top w:w="30" w:type="dxa"/>
              <w:left w:w="20" w:type="dxa"/>
              <w:bottom w:w="30" w:type="dxa"/>
              <w:right w:w="20" w:type="dxa"/>
            </w:tcMar>
            <w:vAlign w:val="bottom"/>
            <w:hideMark/>
          </w:tcPr>
          <w:p w14:paraId="53DCEAF0" w14:textId="77777777" w:rsidR="00000000" w:rsidRDefault="000A3118">
            <w:pPr>
              <w:rPr>
                <w:rFonts w:eastAsia="Times New Roman"/>
              </w:rPr>
            </w:pPr>
            <w:r>
              <w:rPr>
                <w:rFonts w:eastAsia="Times New Roman"/>
                <w:color w:val="000000"/>
                <w:sz w:val="16"/>
                <w:szCs w:val="16"/>
              </w:rPr>
              <w:t>Diluted earnings per common share</w:t>
            </w: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5D2DD7BF" w14:textId="77777777" w:rsidR="00000000" w:rsidRDefault="000A3118">
            <w:pPr>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42BA9D11" w14:textId="77777777" w:rsidR="00000000" w:rsidRDefault="000A3118">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0C28777C" w14:textId="77777777" w:rsidR="00000000" w:rsidRDefault="000A3118">
            <w:pPr>
              <w:jc w:val="right"/>
              <w:rPr>
                <w:rFonts w:eastAsia="Times New Roman"/>
              </w:rPr>
            </w:pPr>
            <w:r>
              <w:rPr>
                <w:rFonts w:eastAsia="Times New Roman"/>
                <w:color w:val="000000"/>
                <w:sz w:val="16"/>
                <w:szCs w:val="16"/>
              </w:rPr>
              <w:t>1.29 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77C8F84" w14:textId="77777777" w:rsidR="00000000" w:rsidRDefault="000A3118">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509A68A9" w14:textId="77777777" w:rsidR="00000000" w:rsidRDefault="000A3118">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4EADED97" w14:textId="77777777" w:rsidR="00000000" w:rsidRDefault="000A3118">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01809DAA" w14:textId="77777777" w:rsidR="00000000" w:rsidRDefault="000A3118">
            <w:pPr>
              <w:jc w:val="right"/>
              <w:rPr>
                <w:rFonts w:eastAsia="Times New Roman"/>
              </w:rPr>
            </w:pPr>
            <w:r>
              <w:rPr>
                <w:rFonts w:eastAsia="Times New Roman"/>
                <w:color w:val="000000"/>
                <w:sz w:val="16"/>
                <w:szCs w:val="16"/>
              </w:rPr>
              <w:t>0.73 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3E2D3423" w14:textId="77777777" w:rsidR="00000000" w:rsidRDefault="000A3118">
            <w:pPr>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14:paraId="6735F117" w14:textId="77777777" w:rsidR="00000000" w:rsidRDefault="000A3118">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1B6EE483" w14:textId="77777777" w:rsidR="00000000" w:rsidRDefault="000A3118">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08413150" w14:textId="77777777" w:rsidR="00000000" w:rsidRDefault="000A3118">
            <w:pPr>
              <w:jc w:val="right"/>
              <w:rPr>
                <w:rFonts w:eastAsia="Times New Roman"/>
              </w:rPr>
            </w:pPr>
            <w:r>
              <w:rPr>
                <w:rFonts w:eastAsia="Times New Roman"/>
                <w:color w:val="000000"/>
                <w:sz w:val="16"/>
                <w:szCs w:val="16"/>
              </w:rPr>
              <w:t>1.76 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80D749F" w14:textId="77777777" w:rsidR="00000000" w:rsidRDefault="000A3118">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473FD832" w14:textId="77777777" w:rsidR="00000000" w:rsidRDefault="000A3118">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7755C73C" w14:textId="77777777" w:rsidR="00000000" w:rsidRDefault="000A3118">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0C9372B" w14:textId="77777777" w:rsidR="00000000" w:rsidRDefault="000A3118">
            <w:pPr>
              <w:jc w:val="right"/>
              <w:rPr>
                <w:rFonts w:eastAsia="Times New Roman"/>
              </w:rPr>
            </w:pPr>
            <w:r>
              <w:rPr>
                <w:rFonts w:eastAsia="Times New Roman"/>
                <w:color w:val="000000"/>
                <w:sz w:val="16"/>
                <w:szCs w:val="16"/>
              </w:rPr>
              <w:t>1.84 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32563587" w14:textId="77777777" w:rsidR="00000000" w:rsidRDefault="000A3118">
            <w:pPr>
              <w:jc w:val="right"/>
              <w:rPr>
                <w:rFonts w:eastAsia="Times New Roman"/>
              </w:rPr>
            </w:pPr>
          </w:p>
        </w:tc>
      </w:tr>
    </w:tbl>
    <w:p w14:paraId="1377823C" w14:textId="77777777" w:rsidR="00000000" w:rsidRDefault="000A3118">
      <w:pPr>
        <w:divId w:val="1109550520"/>
        <w:rPr>
          <w:rFonts w:eastAsia="Times New Roman"/>
        </w:rPr>
      </w:pPr>
      <w:r>
        <w:rPr>
          <w:rFonts w:eastAsia="Times New Roman"/>
          <w:b/>
          <w:bCs/>
          <w:color w:val="000000"/>
          <w:sz w:val="20"/>
          <w:szCs w:val="20"/>
        </w:rPr>
        <w:t>12. Commitments and Contingencies</w:t>
      </w:r>
    </w:p>
    <w:p w14:paraId="6ACBFE14" w14:textId="77777777" w:rsidR="00000000" w:rsidRDefault="000A3118">
      <w:pPr>
        <w:ind w:firstLine="720"/>
        <w:divId w:val="1543446952"/>
        <w:rPr>
          <w:rFonts w:eastAsia="Times New Roman"/>
        </w:rPr>
      </w:pPr>
      <w:r>
        <w:rPr>
          <w:rFonts w:eastAsia="Times New Roman"/>
          <w:color w:val="000000"/>
          <w:sz w:val="20"/>
          <w:szCs w:val="20"/>
        </w:rPr>
        <w:t> </w:t>
      </w:r>
    </w:p>
    <w:p w14:paraId="2EDF2DA4" w14:textId="77777777" w:rsidR="00000000" w:rsidRDefault="000A3118">
      <w:pPr>
        <w:ind w:firstLine="360"/>
        <w:jc w:val="both"/>
        <w:rPr>
          <w:rFonts w:eastAsia="Times New Roman"/>
        </w:rPr>
      </w:pPr>
      <w:r>
        <w:rPr>
          <w:rFonts w:eastAsia="Times New Roman"/>
          <w:b/>
          <w:bCs/>
          <w:color w:val="000000"/>
          <w:sz w:val="20"/>
          <w:szCs w:val="20"/>
        </w:rPr>
        <w:t>Tax Matters</w:t>
      </w:r>
    </w:p>
    <w:p w14:paraId="42E6C777" w14:textId="77777777" w:rsidR="00000000" w:rsidRDefault="000A3118">
      <w:pPr>
        <w:ind w:firstLine="1080"/>
        <w:jc w:val="both"/>
        <w:rPr>
          <w:rFonts w:eastAsia="Times New Roman"/>
        </w:rPr>
      </w:pPr>
      <w:r>
        <w:rPr>
          <w:rFonts w:eastAsia="Times New Roman"/>
          <w:color w:val="000000"/>
          <w:sz w:val="20"/>
          <w:szCs w:val="20"/>
        </w:rPr>
        <w:t> </w:t>
      </w:r>
    </w:p>
    <w:p w14:paraId="2A7F06BC" w14:textId="77777777" w:rsidR="00000000" w:rsidRDefault="000A3118">
      <w:pPr>
        <w:jc w:val="both"/>
        <w:divId w:val="1241598527"/>
        <w:rPr>
          <w:rFonts w:eastAsia="Times New Roman"/>
        </w:rPr>
      </w:pPr>
      <w:r>
        <w:rPr>
          <w:rFonts w:eastAsia="Times New Roman"/>
          <w:color w:val="000000"/>
          <w:sz w:val="20"/>
          <w:szCs w:val="20"/>
        </w:rPr>
        <w:t>    From time to time, we are under review by various domestic and foreign tax authorities with regard to indirect tax matters and are involved in various challenges and litigation in</w:t>
      </w:r>
      <w:r>
        <w:rPr>
          <w:rFonts w:eastAsia="Times New Roman"/>
          <w:color w:val="000000"/>
          <w:sz w:val="20"/>
          <w:szCs w:val="20"/>
        </w:rPr>
        <w:t xml:space="preserve"> a number of countries, including, in particular, Brazil and South Korea, where the amounts under controversy may be material. We believe that these assessments are without merit and are currently appealing the actions.</w:t>
      </w:r>
    </w:p>
    <w:p w14:paraId="6632205A" w14:textId="77777777" w:rsidR="00000000" w:rsidRDefault="000A3118">
      <w:pPr>
        <w:ind w:firstLine="360"/>
        <w:jc w:val="both"/>
        <w:divId w:val="1594511133"/>
        <w:rPr>
          <w:rFonts w:eastAsia="Times New Roman"/>
        </w:rPr>
      </w:pPr>
      <w:r>
        <w:rPr>
          <w:rFonts w:eastAsia="Times New Roman"/>
          <w:color w:val="000000"/>
          <w:sz w:val="20"/>
          <w:szCs w:val="20"/>
        </w:rPr>
        <w:t>During the quarter ended December 31</w:t>
      </w:r>
      <w:r>
        <w:rPr>
          <w:rFonts w:eastAsia="Times New Roman"/>
          <w:color w:val="000000"/>
          <w:sz w:val="20"/>
          <w:szCs w:val="20"/>
        </w:rPr>
        <w:t>, 2016, the Korean branch of one of our subsidiaries received assessments of approximately $9.7 million (KRW 11.3 billion) and during the quarter ended June 30, 2017, an assessment for an additional $17.3 million (KRW 20.1 billion) from the regional tax au</w:t>
      </w:r>
      <w:r>
        <w:rPr>
          <w:rFonts w:eastAsia="Times New Roman"/>
          <w:color w:val="000000"/>
          <w:sz w:val="20"/>
          <w:szCs w:val="20"/>
        </w:rPr>
        <w:t xml:space="preserve">thorities of Seoul, South Korea. The assessments primarily consist of fines and penalties for allegedly failing to issue Value Added Tax ("VAT") invoices and report certain transactions during the period 2011-2014. These assessments do not involve failure </w:t>
      </w:r>
      <w:r>
        <w:rPr>
          <w:rFonts w:eastAsia="Times New Roman"/>
          <w:color w:val="000000"/>
          <w:sz w:val="20"/>
          <w:szCs w:val="20"/>
        </w:rPr>
        <w:t>to pay or collect VAT. We believe that these assessments are without merit and are currently appealing the actions.</w:t>
      </w:r>
    </w:p>
    <w:p w14:paraId="2C101688" w14:textId="77777777" w:rsidR="00000000" w:rsidRDefault="000A3118">
      <w:pPr>
        <w:ind w:firstLine="360"/>
        <w:jc w:val="both"/>
        <w:divId w:val="1023896762"/>
        <w:rPr>
          <w:rFonts w:eastAsia="Times New Roman"/>
        </w:rPr>
      </w:pPr>
      <w:r>
        <w:rPr>
          <w:rFonts w:eastAsia="Times New Roman"/>
          <w:color w:val="000000"/>
          <w:sz w:val="20"/>
          <w:szCs w:val="20"/>
        </w:rPr>
        <w:t>We are also involved in a number of tax disputes with federal, state and municipal tax authorities in Brazil, relating primarily to a VAT tax known as ICMS. These disputes are at various stages of the legal process, including the administrative review phas</w:t>
      </w:r>
      <w:r>
        <w:rPr>
          <w:rFonts w:eastAsia="Times New Roman"/>
          <w:color w:val="000000"/>
          <w:sz w:val="20"/>
          <w:szCs w:val="20"/>
        </w:rPr>
        <w:t>e and the collection action phase, and include assessments of fixed amounts of principal and penalties, plus interest. One of our Brazilian subsidiaries is currently appealing an assessment of approximately $8.7 million (BRL 49.1 million) from the Brazilia</w:t>
      </w:r>
      <w:r>
        <w:rPr>
          <w:rFonts w:eastAsia="Times New Roman"/>
          <w:color w:val="000000"/>
          <w:sz w:val="20"/>
          <w:szCs w:val="20"/>
        </w:rPr>
        <w:t>n tax authorities relating to the ICMS rate used for certain transactions.  The assessment primarily consists of interest and penalties.  We believe that the assessment is without merit and are pursuing our remedies in the judicial court system.</w:t>
      </w:r>
    </w:p>
    <w:p w14:paraId="003D2039" w14:textId="77777777" w:rsidR="00000000" w:rsidRDefault="000A3118">
      <w:pPr>
        <w:jc w:val="both"/>
        <w:rPr>
          <w:rFonts w:eastAsia="Times New Roman"/>
        </w:rPr>
      </w:pPr>
      <w:r>
        <w:rPr>
          <w:rFonts w:eastAsia="Times New Roman"/>
          <w:color w:val="000000"/>
          <w:sz w:val="20"/>
          <w:szCs w:val="20"/>
        </w:rPr>
        <w:t>    When w</w:t>
      </w:r>
      <w:r>
        <w:rPr>
          <w:rFonts w:eastAsia="Times New Roman"/>
          <w:color w:val="000000"/>
          <w:sz w:val="20"/>
          <w:szCs w:val="20"/>
        </w:rPr>
        <w:t xml:space="preserve">e deem it appropriate and the amounts are reasonably estimable, we establish reserves for potential adjustments to our provision for the accrual of indirect taxes that may result from examinations or other actions by tax authorities. If events occur which </w:t>
      </w:r>
      <w:r>
        <w:rPr>
          <w:rFonts w:eastAsia="Times New Roman"/>
          <w:color w:val="000000"/>
          <w:sz w:val="20"/>
          <w:szCs w:val="20"/>
        </w:rPr>
        <w:t>indicate payment of these amounts is unnecessary, the reversal of the liabilities will result in the recognition of benefits in the period we determine the liabilities are no longer necessary. If our estimates of any of our federal, state, and foreign indi</w:t>
      </w:r>
      <w:r>
        <w:rPr>
          <w:rFonts w:eastAsia="Times New Roman"/>
          <w:color w:val="000000"/>
          <w:sz w:val="20"/>
          <w:szCs w:val="20"/>
        </w:rPr>
        <w:t>rect tax liabilities are less than the ultimate assessment, it could result in a further charge to expense. Except with respect to the matters described above, we believe that the final outcome of any pending examinations, agreements, administrative or jud</w:t>
      </w:r>
      <w:r>
        <w:rPr>
          <w:rFonts w:eastAsia="Times New Roman"/>
          <w:color w:val="000000"/>
          <w:sz w:val="20"/>
          <w:szCs w:val="20"/>
        </w:rPr>
        <w:t>icial proceedings will not have a material effect on our results of operations or cash flows.</w:t>
      </w:r>
    </w:p>
    <w:p w14:paraId="4409E2C1" w14:textId="77777777" w:rsidR="00000000" w:rsidRDefault="000A3118">
      <w:pPr>
        <w:jc w:val="both"/>
        <w:rPr>
          <w:rFonts w:eastAsia="Times New Roman"/>
        </w:rPr>
      </w:pPr>
    </w:p>
    <w:p w14:paraId="4A4CDADC" w14:textId="77777777" w:rsidR="00000000" w:rsidRDefault="000A3118">
      <w:pPr>
        <w:jc w:val="center"/>
        <w:divId w:val="1240747380"/>
        <w:rPr>
          <w:rFonts w:eastAsia="Times New Roman"/>
        </w:rPr>
      </w:pPr>
      <w:r>
        <w:rPr>
          <w:rFonts w:eastAsia="Times New Roman"/>
          <w:color w:val="000000"/>
          <w:sz w:val="20"/>
          <w:szCs w:val="20"/>
        </w:rPr>
        <w:t>23</w:t>
      </w:r>
    </w:p>
    <w:p w14:paraId="0174FC7F" w14:textId="77777777" w:rsidR="00000000" w:rsidRDefault="000A3118">
      <w:pPr>
        <w:rPr>
          <w:rFonts w:eastAsia="Times New Roman"/>
        </w:rPr>
      </w:pPr>
      <w:r>
        <w:rPr>
          <w:rFonts w:eastAsia="Times New Roman"/>
        </w:rPr>
        <w:pict w14:anchorId="47BF5CC8">
          <v:rect id="_x0000_i1051" style="width:0;height:1.5pt" o:hralign="center" o:hrstd="t" o:hr="t" fillcolor="#a0a0a0" stroked="f"/>
        </w:pict>
      </w:r>
    </w:p>
    <w:p w14:paraId="00074E0F" w14:textId="77777777" w:rsidR="00000000" w:rsidRDefault="000A3118">
      <w:pPr>
        <w:divId w:val="459884368"/>
        <w:rPr>
          <w:rFonts w:eastAsia="Times New Roman"/>
        </w:rPr>
      </w:pPr>
    </w:p>
    <w:p w14:paraId="334A5896" w14:textId="77777777" w:rsidR="00000000" w:rsidRDefault="000A3118">
      <w:pPr>
        <w:ind w:firstLine="360"/>
        <w:jc w:val="both"/>
        <w:rPr>
          <w:rFonts w:eastAsia="Times New Roman"/>
        </w:rPr>
      </w:pPr>
      <w:r>
        <w:rPr>
          <w:rFonts w:eastAsia="Times New Roman"/>
          <w:b/>
          <w:bCs/>
          <w:color w:val="000000"/>
          <w:sz w:val="20"/>
          <w:szCs w:val="20"/>
        </w:rPr>
        <w:t>Other Matters</w:t>
      </w:r>
    </w:p>
    <w:p w14:paraId="46354E3D" w14:textId="77777777" w:rsidR="00000000" w:rsidRDefault="000A3118">
      <w:pPr>
        <w:ind w:firstLine="360"/>
        <w:jc w:val="both"/>
        <w:rPr>
          <w:rFonts w:eastAsia="Times New Roman"/>
        </w:rPr>
      </w:pPr>
    </w:p>
    <w:p w14:paraId="0607626D" w14:textId="77777777" w:rsidR="00000000" w:rsidRDefault="000A3118">
      <w:pPr>
        <w:jc w:val="both"/>
        <w:divId w:val="892425538"/>
        <w:rPr>
          <w:rFonts w:eastAsia="Times New Roman"/>
        </w:rPr>
      </w:pPr>
      <w:r>
        <w:rPr>
          <w:rFonts w:eastAsia="Times New Roman"/>
          <w:color w:val="000000"/>
          <w:sz w:val="20"/>
          <w:szCs w:val="20"/>
        </w:rPr>
        <w:t>    We are also a party to various claims, complaints and proceedings arising in the ordinary course o</w:t>
      </w:r>
      <w:r>
        <w:rPr>
          <w:rFonts w:eastAsia="Times New Roman"/>
          <w:color w:val="000000"/>
          <w:sz w:val="20"/>
          <w:szCs w:val="20"/>
        </w:rPr>
        <w:t>f our business including, but not limited to, environmental claims, commercial and governmental contract claims, such as property damage, demurrage, personal injury, billing and fuel quality claims, as well as bankruptcy preference claims and tax and admin</w:t>
      </w:r>
      <w:r>
        <w:rPr>
          <w:rFonts w:eastAsia="Times New Roman"/>
          <w:color w:val="000000"/>
          <w:sz w:val="20"/>
          <w:szCs w:val="20"/>
        </w:rPr>
        <w:t>istrative claims. We have established loss provisions for these ordinary course claims as well as other matters in which losses are probable and can be reasonably estimated. As of September 30, 2020, we had recorded certain reserves that were not material.</w:t>
      </w:r>
      <w:r>
        <w:rPr>
          <w:rFonts w:eastAsia="Times New Roman"/>
          <w:color w:val="000000"/>
          <w:sz w:val="20"/>
          <w:szCs w:val="20"/>
        </w:rPr>
        <w:t xml:space="preserve"> For those matters where a reserve has not been established and for which we believe a loss is reasonably possible, as well as for matters where a reserve has been recorded but for which exposure to loss in excess of the amount accrued is reasonably possib</w:t>
      </w:r>
      <w:r>
        <w:rPr>
          <w:rFonts w:eastAsia="Times New Roman"/>
          <w:color w:val="000000"/>
          <w:sz w:val="20"/>
          <w:szCs w:val="20"/>
        </w:rPr>
        <w:t>le, we believe that such losses will not have a material adverse effect on our Consolidated Financial Statements. However, any adverse resolution of one or more such claims, complaints or proceedings during a particular period could have a material adverse</w:t>
      </w:r>
      <w:r>
        <w:rPr>
          <w:rFonts w:eastAsia="Times New Roman"/>
          <w:color w:val="000000"/>
          <w:sz w:val="20"/>
          <w:szCs w:val="20"/>
        </w:rPr>
        <w:t xml:space="preserve"> effect on our Consolidated Financial Statements or disclosures for that period. </w:t>
      </w:r>
    </w:p>
    <w:p w14:paraId="6457ACBD" w14:textId="77777777" w:rsidR="00000000" w:rsidRDefault="000A3118">
      <w:pPr>
        <w:jc w:val="both"/>
        <w:divId w:val="1645163805"/>
        <w:rPr>
          <w:rFonts w:eastAsia="Times New Roman"/>
        </w:rPr>
      </w:pPr>
      <w:r>
        <w:rPr>
          <w:rFonts w:eastAsia="Times New Roman"/>
          <w:color w:val="000000"/>
          <w:sz w:val="20"/>
          <w:szCs w:val="20"/>
        </w:rPr>
        <w:t>    Our estimates regarding potential losses and materiality are based on our judgment and assessment of the claims utilizing currently available information. Although we wil</w:t>
      </w:r>
      <w:r>
        <w:rPr>
          <w:rFonts w:eastAsia="Times New Roman"/>
          <w:color w:val="000000"/>
          <w:sz w:val="20"/>
          <w:szCs w:val="20"/>
        </w:rPr>
        <w:t>l continue to reassess our reserves and estimates based on future developments, our objective assessment of the legal merits of such claims may not always be predictive of the outcome and actual results may vary from our current estimates.</w:t>
      </w:r>
    </w:p>
    <w:p w14:paraId="128AB0E5" w14:textId="77777777" w:rsidR="00000000" w:rsidRDefault="000A3118">
      <w:pPr>
        <w:jc w:val="both"/>
        <w:rPr>
          <w:rFonts w:eastAsia="Times New Roman"/>
        </w:rPr>
      </w:pPr>
    </w:p>
    <w:p w14:paraId="6DB0F9AF" w14:textId="77777777" w:rsidR="00000000" w:rsidRDefault="000A3118">
      <w:pPr>
        <w:jc w:val="both"/>
        <w:divId w:val="1003362268"/>
        <w:rPr>
          <w:rFonts w:eastAsia="Times New Roman"/>
        </w:rPr>
      </w:pPr>
      <w:r>
        <w:rPr>
          <w:rFonts w:eastAsia="Times New Roman"/>
          <w:b/>
          <w:bCs/>
          <w:color w:val="000000"/>
          <w:sz w:val="20"/>
          <w:szCs w:val="20"/>
        </w:rPr>
        <w:t>13. Restructur</w:t>
      </w:r>
      <w:r>
        <w:rPr>
          <w:rFonts w:eastAsia="Times New Roman"/>
          <w:b/>
          <w:bCs/>
          <w:color w:val="000000"/>
          <w:sz w:val="20"/>
          <w:szCs w:val="20"/>
        </w:rPr>
        <w:t>ing</w:t>
      </w:r>
    </w:p>
    <w:p w14:paraId="3967AD21" w14:textId="77777777" w:rsidR="00000000" w:rsidRDefault="000A3118">
      <w:pPr>
        <w:jc w:val="both"/>
        <w:rPr>
          <w:rFonts w:eastAsia="Times New Roman"/>
        </w:rPr>
      </w:pPr>
    </w:p>
    <w:p w14:paraId="59699CE2" w14:textId="77777777" w:rsidR="00000000" w:rsidRDefault="000A3118">
      <w:pPr>
        <w:ind w:firstLine="360"/>
        <w:jc w:val="both"/>
        <w:rPr>
          <w:rFonts w:eastAsia="Times New Roman"/>
        </w:rPr>
      </w:pPr>
      <w:r>
        <w:rPr>
          <w:rFonts w:eastAsia="Times New Roman"/>
          <w:color w:val="000000"/>
          <w:sz w:val="20"/>
          <w:szCs w:val="20"/>
        </w:rPr>
        <w:t>As a result of the ongoing review of our land business and changes in the overall economic landscape for all our reportable segments due to the COVID-19 pandemic, we implemented a restructuring initiative focused on streamlining our operations and sh</w:t>
      </w:r>
      <w:r>
        <w:rPr>
          <w:rFonts w:eastAsia="Times New Roman"/>
          <w:color w:val="000000"/>
          <w:sz w:val="20"/>
          <w:szCs w:val="20"/>
        </w:rPr>
        <w:t>arpening the deployment and allocation of resources.  While we took several actions during the nine months ended September 30, 2020, we continue to evaluate and define the overall restructuring plan as the full impact of COVID-19 on our business and our cu</w:t>
      </w:r>
      <w:r>
        <w:rPr>
          <w:rFonts w:eastAsia="Times New Roman"/>
          <w:color w:val="000000"/>
          <w:sz w:val="20"/>
          <w:szCs w:val="20"/>
        </w:rPr>
        <w:t>stomers is unknown.</w:t>
      </w:r>
    </w:p>
    <w:p w14:paraId="43B47865" w14:textId="77777777" w:rsidR="00000000" w:rsidRDefault="000A3118">
      <w:pPr>
        <w:divId w:val="1594127261"/>
        <w:rPr>
          <w:rFonts w:eastAsia="Times New Roman"/>
        </w:rPr>
      </w:pPr>
    </w:p>
    <w:p w14:paraId="7D7BA2EA" w14:textId="77777777" w:rsidR="00000000" w:rsidRDefault="000A3118">
      <w:pPr>
        <w:ind w:firstLine="360"/>
        <w:jc w:val="both"/>
        <w:divId w:val="1920365857"/>
        <w:rPr>
          <w:rFonts w:eastAsia="Times New Roman"/>
        </w:rPr>
      </w:pPr>
      <w:r>
        <w:rPr>
          <w:rFonts w:eastAsia="Times New Roman"/>
          <w:color w:val="000000"/>
          <w:sz w:val="20"/>
          <w:szCs w:val="20"/>
        </w:rPr>
        <w:t>During the nine months ended September 30, 2020, we incurred $7.7 million in restructuring costs, comprised principally of certain severance costs included in Restructuring charges in our Consolidated Statements of Income and Comprehe</w:t>
      </w:r>
      <w:r>
        <w:rPr>
          <w:rFonts w:eastAsia="Times New Roman"/>
          <w:color w:val="000000"/>
          <w:sz w:val="20"/>
          <w:szCs w:val="20"/>
        </w:rPr>
        <w:t xml:space="preserve">nsive Income. Our accrued restructuring charges as of September 30, 2020 are included in Accrued expenses and other current liabilities on our Consolidated Balance Sheet. </w:t>
      </w:r>
    </w:p>
    <w:p w14:paraId="0B25DE40" w14:textId="77777777" w:rsidR="00000000" w:rsidRDefault="000A3118">
      <w:pPr>
        <w:ind w:firstLine="360"/>
        <w:jc w:val="both"/>
        <w:divId w:val="583341085"/>
        <w:rPr>
          <w:rFonts w:eastAsia="Times New Roman"/>
        </w:rPr>
      </w:pPr>
      <w:r>
        <w:rPr>
          <w:rFonts w:eastAsia="Times New Roman"/>
          <w:color w:val="000000"/>
          <w:sz w:val="20"/>
          <w:szCs w:val="20"/>
        </w:rPr>
        <w:t>The following table provides a summary of our restructuring activities during the ni</w:t>
      </w:r>
      <w:r>
        <w:rPr>
          <w:rFonts w:eastAsia="Times New Roman"/>
          <w:color w:val="000000"/>
          <w:sz w:val="20"/>
          <w:szCs w:val="20"/>
        </w:rPr>
        <w:t>ne months ended September 30, 2020 (in millions):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45"/>
        <w:gridCol w:w="3310"/>
        <w:gridCol w:w="36"/>
        <w:gridCol w:w="101"/>
        <w:gridCol w:w="842"/>
        <w:gridCol w:w="36"/>
        <w:gridCol w:w="101"/>
        <w:gridCol w:w="842"/>
        <w:gridCol w:w="36"/>
        <w:gridCol w:w="101"/>
        <w:gridCol w:w="842"/>
        <w:gridCol w:w="36"/>
        <w:gridCol w:w="101"/>
        <w:gridCol w:w="842"/>
        <w:gridCol w:w="36"/>
        <w:gridCol w:w="101"/>
        <w:gridCol w:w="849"/>
        <w:gridCol w:w="36"/>
      </w:tblGrid>
      <w:tr w:rsidR="00000000" w14:paraId="083E00A2" w14:textId="77777777">
        <w:trPr>
          <w:divId w:val="1481578638"/>
          <w:jc w:val="center"/>
        </w:trPr>
        <w:tc>
          <w:tcPr>
            <w:tcW w:w="50" w:type="pct"/>
            <w:vAlign w:val="center"/>
            <w:hideMark/>
          </w:tcPr>
          <w:p w14:paraId="46CBFED0" w14:textId="77777777" w:rsidR="00000000" w:rsidRDefault="000A3118">
            <w:pPr>
              <w:ind w:firstLine="360"/>
              <w:jc w:val="both"/>
              <w:rPr>
                <w:rFonts w:eastAsia="Times New Roman"/>
              </w:rPr>
            </w:pPr>
          </w:p>
        </w:tc>
        <w:tc>
          <w:tcPr>
            <w:tcW w:w="2016" w:type="pct"/>
            <w:vAlign w:val="center"/>
            <w:hideMark/>
          </w:tcPr>
          <w:p w14:paraId="1AFB48EE" w14:textId="77777777" w:rsidR="00000000" w:rsidRDefault="000A3118">
            <w:pPr>
              <w:rPr>
                <w:rFonts w:eastAsia="Times New Roman"/>
                <w:sz w:val="20"/>
                <w:szCs w:val="20"/>
              </w:rPr>
            </w:pPr>
          </w:p>
        </w:tc>
        <w:tc>
          <w:tcPr>
            <w:tcW w:w="5" w:type="pct"/>
            <w:vAlign w:val="center"/>
            <w:hideMark/>
          </w:tcPr>
          <w:p w14:paraId="3529A45C" w14:textId="77777777" w:rsidR="00000000" w:rsidRDefault="000A3118">
            <w:pPr>
              <w:rPr>
                <w:rFonts w:eastAsia="Times New Roman"/>
                <w:sz w:val="20"/>
                <w:szCs w:val="20"/>
              </w:rPr>
            </w:pPr>
          </w:p>
        </w:tc>
        <w:tc>
          <w:tcPr>
            <w:tcW w:w="50" w:type="pct"/>
            <w:vAlign w:val="center"/>
            <w:hideMark/>
          </w:tcPr>
          <w:p w14:paraId="1993255B" w14:textId="77777777" w:rsidR="00000000" w:rsidRDefault="000A3118">
            <w:pPr>
              <w:rPr>
                <w:rFonts w:eastAsia="Times New Roman"/>
                <w:sz w:val="20"/>
                <w:szCs w:val="20"/>
              </w:rPr>
            </w:pPr>
          </w:p>
        </w:tc>
        <w:tc>
          <w:tcPr>
            <w:tcW w:w="530" w:type="pct"/>
            <w:vAlign w:val="center"/>
            <w:hideMark/>
          </w:tcPr>
          <w:p w14:paraId="3D0CD5EC" w14:textId="77777777" w:rsidR="00000000" w:rsidRDefault="000A3118">
            <w:pPr>
              <w:rPr>
                <w:rFonts w:eastAsia="Times New Roman"/>
                <w:sz w:val="20"/>
                <w:szCs w:val="20"/>
              </w:rPr>
            </w:pPr>
          </w:p>
        </w:tc>
        <w:tc>
          <w:tcPr>
            <w:tcW w:w="5" w:type="pct"/>
            <w:vAlign w:val="center"/>
            <w:hideMark/>
          </w:tcPr>
          <w:p w14:paraId="30778B9D" w14:textId="77777777" w:rsidR="00000000" w:rsidRDefault="000A3118">
            <w:pPr>
              <w:rPr>
                <w:rFonts w:eastAsia="Times New Roman"/>
                <w:sz w:val="20"/>
                <w:szCs w:val="20"/>
              </w:rPr>
            </w:pPr>
          </w:p>
        </w:tc>
        <w:tc>
          <w:tcPr>
            <w:tcW w:w="50" w:type="pct"/>
            <w:vAlign w:val="center"/>
            <w:hideMark/>
          </w:tcPr>
          <w:p w14:paraId="7533C772" w14:textId="77777777" w:rsidR="00000000" w:rsidRDefault="000A3118">
            <w:pPr>
              <w:rPr>
                <w:rFonts w:eastAsia="Times New Roman"/>
                <w:sz w:val="20"/>
                <w:szCs w:val="20"/>
              </w:rPr>
            </w:pPr>
          </w:p>
        </w:tc>
        <w:tc>
          <w:tcPr>
            <w:tcW w:w="530" w:type="pct"/>
            <w:vAlign w:val="center"/>
            <w:hideMark/>
          </w:tcPr>
          <w:p w14:paraId="5E775035" w14:textId="77777777" w:rsidR="00000000" w:rsidRDefault="000A3118">
            <w:pPr>
              <w:rPr>
                <w:rFonts w:eastAsia="Times New Roman"/>
                <w:sz w:val="20"/>
                <w:szCs w:val="20"/>
              </w:rPr>
            </w:pPr>
          </w:p>
        </w:tc>
        <w:tc>
          <w:tcPr>
            <w:tcW w:w="5" w:type="pct"/>
            <w:vAlign w:val="center"/>
            <w:hideMark/>
          </w:tcPr>
          <w:p w14:paraId="224CDB65" w14:textId="77777777" w:rsidR="00000000" w:rsidRDefault="000A3118">
            <w:pPr>
              <w:rPr>
                <w:rFonts w:eastAsia="Times New Roman"/>
                <w:sz w:val="20"/>
                <w:szCs w:val="20"/>
              </w:rPr>
            </w:pPr>
          </w:p>
        </w:tc>
        <w:tc>
          <w:tcPr>
            <w:tcW w:w="50" w:type="pct"/>
            <w:vAlign w:val="center"/>
            <w:hideMark/>
          </w:tcPr>
          <w:p w14:paraId="798978DF" w14:textId="77777777" w:rsidR="00000000" w:rsidRDefault="000A3118">
            <w:pPr>
              <w:rPr>
                <w:rFonts w:eastAsia="Times New Roman"/>
                <w:sz w:val="20"/>
                <w:szCs w:val="20"/>
              </w:rPr>
            </w:pPr>
          </w:p>
        </w:tc>
        <w:tc>
          <w:tcPr>
            <w:tcW w:w="530" w:type="pct"/>
            <w:vAlign w:val="center"/>
            <w:hideMark/>
          </w:tcPr>
          <w:p w14:paraId="29EEF248" w14:textId="77777777" w:rsidR="00000000" w:rsidRDefault="000A3118">
            <w:pPr>
              <w:rPr>
                <w:rFonts w:eastAsia="Times New Roman"/>
                <w:sz w:val="20"/>
                <w:szCs w:val="20"/>
              </w:rPr>
            </w:pPr>
          </w:p>
        </w:tc>
        <w:tc>
          <w:tcPr>
            <w:tcW w:w="5" w:type="pct"/>
            <w:vAlign w:val="center"/>
            <w:hideMark/>
          </w:tcPr>
          <w:p w14:paraId="4ED183F4" w14:textId="77777777" w:rsidR="00000000" w:rsidRDefault="000A3118">
            <w:pPr>
              <w:rPr>
                <w:rFonts w:eastAsia="Times New Roman"/>
                <w:sz w:val="20"/>
                <w:szCs w:val="20"/>
              </w:rPr>
            </w:pPr>
          </w:p>
        </w:tc>
        <w:tc>
          <w:tcPr>
            <w:tcW w:w="50" w:type="pct"/>
            <w:vAlign w:val="center"/>
            <w:hideMark/>
          </w:tcPr>
          <w:p w14:paraId="56C012A3" w14:textId="77777777" w:rsidR="00000000" w:rsidRDefault="000A3118">
            <w:pPr>
              <w:rPr>
                <w:rFonts w:eastAsia="Times New Roman"/>
                <w:sz w:val="20"/>
                <w:szCs w:val="20"/>
              </w:rPr>
            </w:pPr>
          </w:p>
        </w:tc>
        <w:tc>
          <w:tcPr>
            <w:tcW w:w="530" w:type="pct"/>
            <w:vAlign w:val="center"/>
            <w:hideMark/>
          </w:tcPr>
          <w:p w14:paraId="2197DFBE" w14:textId="77777777" w:rsidR="00000000" w:rsidRDefault="000A3118">
            <w:pPr>
              <w:rPr>
                <w:rFonts w:eastAsia="Times New Roman"/>
                <w:sz w:val="20"/>
                <w:szCs w:val="20"/>
              </w:rPr>
            </w:pPr>
          </w:p>
        </w:tc>
        <w:tc>
          <w:tcPr>
            <w:tcW w:w="5" w:type="pct"/>
            <w:vAlign w:val="center"/>
            <w:hideMark/>
          </w:tcPr>
          <w:p w14:paraId="5A6F3E69" w14:textId="77777777" w:rsidR="00000000" w:rsidRDefault="000A3118">
            <w:pPr>
              <w:rPr>
                <w:rFonts w:eastAsia="Times New Roman"/>
                <w:sz w:val="20"/>
                <w:szCs w:val="20"/>
              </w:rPr>
            </w:pPr>
          </w:p>
        </w:tc>
        <w:tc>
          <w:tcPr>
            <w:tcW w:w="50" w:type="pct"/>
            <w:vAlign w:val="center"/>
            <w:hideMark/>
          </w:tcPr>
          <w:p w14:paraId="78BA196F" w14:textId="77777777" w:rsidR="00000000" w:rsidRDefault="000A3118">
            <w:pPr>
              <w:rPr>
                <w:rFonts w:eastAsia="Times New Roman"/>
                <w:sz w:val="20"/>
                <w:szCs w:val="20"/>
              </w:rPr>
            </w:pPr>
          </w:p>
        </w:tc>
        <w:tc>
          <w:tcPr>
            <w:tcW w:w="530" w:type="pct"/>
            <w:vAlign w:val="center"/>
            <w:hideMark/>
          </w:tcPr>
          <w:p w14:paraId="166EA89E" w14:textId="77777777" w:rsidR="00000000" w:rsidRDefault="000A3118">
            <w:pPr>
              <w:rPr>
                <w:rFonts w:eastAsia="Times New Roman"/>
                <w:sz w:val="20"/>
                <w:szCs w:val="20"/>
              </w:rPr>
            </w:pPr>
          </w:p>
        </w:tc>
        <w:tc>
          <w:tcPr>
            <w:tcW w:w="5" w:type="pct"/>
            <w:vAlign w:val="center"/>
            <w:hideMark/>
          </w:tcPr>
          <w:p w14:paraId="2E478174" w14:textId="77777777" w:rsidR="00000000" w:rsidRDefault="000A3118">
            <w:pPr>
              <w:rPr>
                <w:rFonts w:eastAsia="Times New Roman"/>
                <w:sz w:val="20"/>
                <w:szCs w:val="20"/>
              </w:rPr>
            </w:pPr>
          </w:p>
        </w:tc>
      </w:tr>
      <w:tr w:rsidR="00000000" w14:paraId="165726FD" w14:textId="77777777">
        <w:trPr>
          <w:divId w:val="1481578638"/>
          <w:jc w:val="center"/>
        </w:trPr>
        <w:tc>
          <w:tcPr>
            <w:tcW w:w="0" w:type="auto"/>
            <w:gridSpan w:val="3"/>
            <w:tcMar>
              <w:top w:w="0" w:type="dxa"/>
              <w:left w:w="20" w:type="dxa"/>
              <w:bottom w:w="0" w:type="dxa"/>
              <w:right w:w="20" w:type="dxa"/>
            </w:tcMar>
            <w:vAlign w:val="center"/>
            <w:hideMark/>
          </w:tcPr>
          <w:p w14:paraId="4DAAF0E3"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31E80A7C" w14:textId="77777777" w:rsidR="00000000" w:rsidRDefault="000A3118">
            <w:pPr>
              <w:jc w:val="right"/>
              <w:rPr>
                <w:rFonts w:eastAsia="Times New Roman"/>
              </w:rPr>
            </w:pPr>
            <w:r>
              <w:rPr>
                <w:rFonts w:eastAsia="Times New Roman"/>
                <w:b/>
                <w:bCs/>
                <w:color w:val="000000"/>
                <w:sz w:val="16"/>
                <w:szCs w:val="16"/>
              </w:rPr>
              <w:t>Aviation</w:t>
            </w:r>
          </w:p>
        </w:tc>
        <w:tc>
          <w:tcPr>
            <w:tcW w:w="0" w:type="auto"/>
            <w:gridSpan w:val="3"/>
            <w:tcMar>
              <w:top w:w="30" w:type="dxa"/>
              <w:left w:w="20" w:type="dxa"/>
              <w:bottom w:w="30" w:type="dxa"/>
              <w:right w:w="20" w:type="dxa"/>
            </w:tcMar>
            <w:vAlign w:val="bottom"/>
            <w:hideMark/>
          </w:tcPr>
          <w:p w14:paraId="2DE6FE9B" w14:textId="77777777" w:rsidR="00000000" w:rsidRDefault="000A3118">
            <w:pPr>
              <w:jc w:val="right"/>
              <w:rPr>
                <w:rFonts w:eastAsia="Times New Roman"/>
              </w:rPr>
            </w:pPr>
            <w:r>
              <w:rPr>
                <w:rFonts w:eastAsia="Times New Roman"/>
                <w:b/>
                <w:bCs/>
                <w:color w:val="000000"/>
                <w:sz w:val="16"/>
                <w:szCs w:val="16"/>
              </w:rPr>
              <w:t>Land</w:t>
            </w:r>
          </w:p>
        </w:tc>
        <w:tc>
          <w:tcPr>
            <w:tcW w:w="0" w:type="auto"/>
            <w:gridSpan w:val="3"/>
            <w:tcMar>
              <w:top w:w="30" w:type="dxa"/>
              <w:left w:w="20" w:type="dxa"/>
              <w:bottom w:w="30" w:type="dxa"/>
              <w:right w:w="20" w:type="dxa"/>
            </w:tcMar>
            <w:vAlign w:val="bottom"/>
            <w:hideMark/>
          </w:tcPr>
          <w:p w14:paraId="11C245B2" w14:textId="77777777" w:rsidR="00000000" w:rsidRDefault="000A3118">
            <w:pPr>
              <w:jc w:val="right"/>
              <w:rPr>
                <w:rFonts w:eastAsia="Times New Roman"/>
              </w:rPr>
            </w:pPr>
            <w:r>
              <w:rPr>
                <w:rFonts w:eastAsia="Times New Roman"/>
                <w:b/>
                <w:bCs/>
                <w:color w:val="000000"/>
                <w:sz w:val="16"/>
                <w:szCs w:val="16"/>
              </w:rPr>
              <w:t>Marine</w:t>
            </w:r>
          </w:p>
        </w:tc>
        <w:tc>
          <w:tcPr>
            <w:tcW w:w="0" w:type="auto"/>
            <w:gridSpan w:val="3"/>
            <w:tcMar>
              <w:top w:w="30" w:type="dxa"/>
              <w:left w:w="20" w:type="dxa"/>
              <w:bottom w:w="30" w:type="dxa"/>
              <w:right w:w="20" w:type="dxa"/>
            </w:tcMar>
            <w:vAlign w:val="bottom"/>
            <w:hideMark/>
          </w:tcPr>
          <w:p w14:paraId="64F878C8" w14:textId="77777777" w:rsidR="00000000" w:rsidRDefault="000A3118">
            <w:pPr>
              <w:jc w:val="right"/>
              <w:rPr>
                <w:rFonts w:eastAsia="Times New Roman"/>
              </w:rPr>
            </w:pPr>
            <w:r>
              <w:rPr>
                <w:rFonts w:eastAsia="Times New Roman"/>
                <w:b/>
                <w:bCs/>
                <w:color w:val="000000"/>
                <w:sz w:val="16"/>
                <w:szCs w:val="16"/>
              </w:rPr>
              <w:t>Corporate</w:t>
            </w:r>
          </w:p>
        </w:tc>
        <w:tc>
          <w:tcPr>
            <w:tcW w:w="0" w:type="auto"/>
            <w:gridSpan w:val="3"/>
            <w:tcMar>
              <w:top w:w="30" w:type="dxa"/>
              <w:left w:w="20" w:type="dxa"/>
              <w:bottom w:w="30" w:type="dxa"/>
              <w:right w:w="20" w:type="dxa"/>
            </w:tcMar>
            <w:vAlign w:val="bottom"/>
            <w:hideMark/>
          </w:tcPr>
          <w:p w14:paraId="2B3E768F" w14:textId="77777777" w:rsidR="00000000" w:rsidRDefault="000A3118">
            <w:pPr>
              <w:jc w:val="right"/>
              <w:rPr>
                <w:rFonts w:eastAsia="Times New Roman"/>
              </w:rPr>
            </w:pPr>
            <w:r>
              <w:rPr>
                <w:rFonts w:eastAsia="Times New Roman"/>
                <w:b/>
                <w:bCs/>
                <w:color w:val="000000"/>
                <w:sz w:val="16"/>
                <w:szCs w:val="16"/>
              </w:rPr>
              <w:t>Consolidated</w:t>
            </w:r>
          </w:p>
        </w:tc>
      </w:tr>
      <w:tr w:rsidR="00000000" w14:paraId="0505E5FC" w14:textId="77777777">
        <w:trPr>
          <w:divId w:val="148157863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7F85FD" w14:textId="77777777" w:rsidR="00000000" w:rsidRDefault="000A3118">
            <w:pPr>
              <w:rPr>
                <w:rFonts w:eastAsia="Times New Roman"/>
              </w:rPr>
            </w:pPr>
            <w:r>
              <w:rPr>
                <w:rFonts w:eastAsia="Times New Roman"/>
                <w:color w:val="000000"/>
                <w:sz w:val="16"/>
                <w:szCs w:val="16"/>
              </w:rPr>
              <w:t>Accrued balance as of December 31,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43F8B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A9CBCB" w14:textId="77777777" w:rsidR="00000000" w:rsidRDefault="000A3118">
            <w:pPr>
              <w:jc w:val="right"/>
              <w:rPr>
                <w:rFonts w:eastAsia="Times New Roman"/>
              </w:rPr>
            </w:pPr>
            <w:r>
              <w:rPr>
                <w:rFonts w:eastAsia="Times New Roman"/>
                <w:color w:val="000000"/>
                <w:sz w:val="16"/>
                <w:szCs w:val="16"/>
              </w:rPr>
              <w:t>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FBE484" w14:textId="77777777" w:rsidR="00000000" w:rsidRDefault="000A3118">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7A778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47DB71" w14:textId="77777777" w:rsidR="00000000" w:rsidRDefault="000A3118">
            <w:pPr>
              <w:jc w:val="right"/>
              <w:rPr>
                <w:rFonts w:eastAsia="Times New Roman"/>
              </w:rPr>
            </w:pPr>
            <w:r>
              <w:rPr>
                <w:rFonts w:eastAsia="Times New Roman"/>
                <w:color w:val="000000"/>
                <w:sz w:val="16"/>
                <w:szCs w:val="16"/>
              </w:rPr>
              <w:t>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BA6BC0" w14:textId="77777777" w:rsidR="00000000" w:rsidRDefault="000A3118">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C4553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067FEB" w14:textId="77777777" w:rsidR="00000000" w:rsidRDefault="000A3118">
            <w:pPr>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6618CA" w14:textId="77777777" w:rsidR="00000000" w:rsidRDefault="000A3118">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D1BC9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3E054A" w14:textId="77777777" w:rsidR="00000000" w:rsidRDefault="000A3118">
            <w:pPr>
              <w:jc w:val="right"/>
              <w:rPr>
                <w:rFonts w:eastAsia="Times New Roman"/>
              </w:rPr>
            </w:pPr>
            <w:r>
              <w:rPr>
                <w:rFonts w:eastAsia="Times New Roman"/>
                <w:color w:val="000000"/>
                <w:sz w:val="16"/>
                <w:szCs w:val="16"/>
              </w:rPr>
              <w:t>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5DC672" w14:textId="77777777" w:rsidR="00000000" w:rsidRDefault="000A3118">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92BFB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D24B3D" w14:textId="77777777" w:rsidR="00000000" w:rsidRDefault="000A3118">
            <w:pPr>
              <w:jc w:val="right"/>
              <w:rPr>
                <w:rFonts w:eastAsia="Times New Roman"/>
              </w:rPr>
            </w:pPr>
            <w:r>
              <w:rPr>
                <w:rFonts w:eastAsia="Times New Roman"/>
                <w:color w:val="000000"/>
                <w:sz w:val="16"/>
                <w:szCs w:val="16"/>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9D48FD" w14:textId="77777777" w:rsidR="00000000" w:rsidRDefault="000A3118">
            <w:pPr>
              <w:jc w:val="right"/>
              <w:rPr>
                <w:rFonts w:eastAsia="Times New Roman"/>
              </w:rPr>
            </w:pPr>
          </w:p>
        </w:tc>
      </w:tr>
      <w:tr w:rsidR="00000000" w14:paraId="02A80804" w14:textId="77777777">
        <w:trPr>
          <w:divId w:val="1481578638"/>
          <w:jc w:val="center"/>
        </w:trPr>
        <w:tc>
          <w:tcPr>
            <w:tcW w:w="0" w:type="auto"/>
            <w:gridSpan w:val="3"/>
            <w:tcMar>
              <w:top w:w="30" w:type="dxa"/>
              <w:left w:w="20" w:type="dxa"/>
              <w:bottom w:w="30" w:type="dxa"/>
              <w:right w:w="20" w:type="dxa"/>
            </w:tcMar>
            <w:vAlign w:val="bottom"/>
            <w:hideMark/>
          </w:tcPr>
          <w:p w14:paraId="4E54A061" w14:textId="77777777" w:rsidR="00000000" w:rsidRDefault="000A3118">
            <w:pPr>
              <w:rPr>
                <w:rFonts w:eastAsia="Times New Roman"/>
              </w:rPr>
            </w:pPr>
            <w:r>
              <w:rPr>
                <w:rFonts w:eastAsia="Times New Roman"/>
                <w:color w:val="000000"/>
                <w:sz w:val="16"/>
                <w:szCs w:val="16"/>
              </w:rPr>
              <w:t>Severance costs</w:t>
            </w:r>
          </w:p>
        </w:tc>
        <w:tc>
          <w:tcPr>
            <w:tcW w:w="0" w:type="auto"/>
            <w:gridSpan w:val="2"/>
            <w:tcMar>
              <w:top w:w="30" w:type="dxa"/>
              <w:left w:w="20" w:type="dxa"/>
              <w:bottom w:w="30" w:type="dxa"/>
              <w:right w:w="0" w:type="dxa"/>
            </w:tcMar>
            <w:vAlign w:val="bottom"/>
            <w:hideMark/>
          </w:tcPr>
          <w:p w14:paraId="1F998D0C" w14:textId="77777777" w:rsidR="00000000" w:rsidRDefault="000A3118">
            <w:pPr>
              <w:jc w:val="right"/>
              <w:rPr>
                <w:rFonts w:eastAsia="Times New Roman"/>
              </w:rPr>
            </w:pPr>
            <w:r>
              <w:rPr>
                <w:rFonts w:eastAsia="Times New Roman"/>
                <w:color w:val="000000"/>
                <w:sz w:val="16"/>
                <w:szCs w:val="16"/>
              </w:rPr>
              <w:t>2.1 </w:t>
            </w:r>
          </w:p>
        </w:tc>
        <w:tc>
          <w:tcPr>
            <w:tcW w:w="0" w:type="auto"/>
            <w:tcMar>
              <w:top w:w="30" w:type="dxa"/>
              <w:left w:w="0" w:type="dxa"/>
              <w:bottom w:w="30" w:type="dxa"/>
              <w:right w:w="20" w:type="dxa"/>
            </w:tcMar>
            <w:vAlign w:val="bottom"/>
            <w:hideMark/>
          </w:tcPr>
          <w:p w14:paraId="60C4B6BC" w14:textId="77777777" w:rsidR="00000000" w:rsidRDefault="000A3118">
            <w:pPr>
              <w:jc w:val="right"/>
              <w:rPr>
                <w:rFonts w:eastAsia="Times New Roman"/>
              </w:rPr>
            </w:pPr>
          </w:p>
        </w:tc>
        <w:tc>
          <w:tcPr>
            <w:tcW w:w="0" w:type="auto"/>
            <w:gridSpan w:val="2"/>
            <w:tcMar>
              <w:top w:w="30" w:type="dxa"/>
              <w:left w:w="20" w:type="dxa"/>
              <w:bottom w:w="30" w:type="dxa"/>
              <w:right w:w="0" w:type="dxa"/>
            </w:tcMar>
            <w:vAlign w:val="bottom"/>
            <w:hideMark/>
          </w:tcPr>
          <w:p w14:paraId="75A33F08" w14:textId="77777777" w:rsidR="00000000" w:rsidRDefault="000A3118">
            <w:pPr>
              <w:jc w:val="right"/>
              <w:rPr>
                <w:rFonts w:eastAsia="Times New Roman"/>
              </w:rPr>
            </w:pPr>
            <w:r>
              <w:rPr>
                <w:rFonts w:eastAsia="Times New Roman"/>
                <w:color w:val="000000"/>
                <w:sz w:val="16"/>
                <w:szCs w:val="16"/>
              </w:rPr>
              <w:t>3.1 </w:t>
            </w:r>
          </w:p>
        </w:tc>
        <w:tc>
          <w:tcPr>
            <w:tcW w:w="0" w:type="auto"/>
            <w:tcMar>
              <w:top w:w="30" w:type="dxa"/>
              <w:left w:w="0" w:type="dxa"/>
              <w:bottom w:w="30" w:type="dxa"/>
              <w:right w:w="20" w:type="dxa"/>
            </w:tcMar>
            <w:vAlign w:val="bottom"/>
            <w:hideMark/>
          </w:tcPr>
          <w:p w14:paraId="12B615F6" w14:textId="77777777" w:rsidR="00000000" w:rsidRDefault="000A3118">
            <w:pPr>
              <w:jc w:val="right"/>
              <w:rPr>
                <w:rFonts w:eastAsia="Times New Roman"/>
              </w:rPr>
            </w:pPr>
          </w:p>
        </w:tc>
        <w:tc>
          <w:tcPr>
            <w:tcW w:w="0" w:type="auto"/>
            <w:gridSpan w:val="2"/>
            <w:tcMar>
              <w:top w:w="30" w:type="dxa"/>
              <w:left w:w="20" w:type="dxa"/>
              <w:bottom w:w="30" w:type="dxa"/>
              <w:right w:w="0" w:type="dxa"/>
            </w:tcMar>
            <w:vAlign w:val="bottom"/>
            <w:hideMark/>
          </w:tcPr>
          <w:p w14:paraId="6E75422D" w14:textId="77777777" w:rsidR="00000000" w:rsidRDefault="000A3118">
            <w:pPr>
              <w:jc w:val="right"/>
              <w:rPr>
                <w:rFonts w:eastAsia="Times New Roman"/>
              </w:rPr>
            </w:pPr>
            <w:r>
              <w:rPr>
                <w:rFonts w:eastAsia="Times New Roman"/>
                <w:color w:val="000000"/>
                <w:sz w:val="16"/>
                <w:szCs w:val="16"/>
              </w:rPr>
              <w:t>1.3 </w:t>
            </w:r>
          </w:p>
        </w:tc>
        <w:tc>
          <w:tcPr>
            <w:tcW w:w="0" w:type="auto"/>
            <w:tcMar>
              <w:top w:w="30" w:type="dxa"/>
              <w:left w:w="0" w:type="dxa"/>
              <w:bottom w:w="30" w:type="dxa"/>
              <w:right w:w="20" w:type="dxa"/>
            </w:tcMar>
            <w:vAlign w:val="bottom"/>
            <w:hideMark/>
          </w:tcPr>
          <w:p w14:paraId="2378A0F3" w14:textId="77777777" w:rsidR="00000000" w:rsidRDefault="000A3118">
            <w:pPr>
              <w:jc w:val="right"/>
              <w:rPr>
                <w:rFonts w:eastAsia="Times New Roman"/>
              </w:rPr>
            </w:pPr>
          </w:p>
        </w:tc>
        <w:tc>
          <w:tcPr>
            <w:tcW w:w="0" w:type="auto"/>
            <w:gridSpan w:val="2"/>
            <w:tcMar>
              <w:top w:w="30" w:type="dxa"/>
              <w:left w:w="20" w:type="dxa"/>
              <w:bottom w:w="30" w:type="dxa"/>
              <w:right w:w="0" w:type="dxa"/>
            </w:tcMar>
            <w:vAlign w:val="bottom"/>
            <w:hideMark/>
          </w:tcPr>
          <w:p w14:paraId="65C353A1" w14:textId="77777777" w:rsidR="00000000" w:rsidRDefault="000A3118">
            <w:pPr>
              <w:jc w:val="right"/>
              <w:rPr>
                <w:rFonts w:eastAsia="Times New Roman"/>
              </w:rPr>
            </w:pPr>
            <w:r>
              <w:rPr>
                <w:rFonts w:eastAsia="Times New Roman"/>
                <w:color w:val="000000"/>
                <w:sz w:val="16"/>
                <w:szCs w:val="16"/>
              </w:rPr>
              <w:t>1.2 </w:t>
            </w:r>
          </w:p>
        </w:tc>
        <w:tc>
          <w:tcPr>
            <w:tcW w:w="0" w:type="auto"/>
            <w:tcMar>
              <w:top w:w="30" w:type="dxa"/>
              <w:left w:w="0" w:type="dxa"/>
              <w:bottom w:w="30" w:type="dxa"/>
              <w:right w:w="20" w:type="dxa"/>
            </w:tcMar>
            <w:vAlign w:val="bottom"/>
            <w:hideMark/>
          </w:tcPr>
          <w:p w14:paraId="116C4106" w14:textId="77777777" w:rsidR="00000000" w:rsidRDefault="000A3118">
            <w:pPr>
              <w:jc w:val="right"/>
              <w:rPr>
                <w:rFonts w:eastAsia="Times New Roman"/>
              </w:rPr>
            </w:pPr>
          </w:p>
        </w:tc>
        <w:tc>
          <w:tcPr>
            <w:tcW w:w="0" w:type="auto"/>
            <w:gridSpan w:val="2"/>
            <w:tcMar>
              <w:top w:w="30" w:type="dxa"/>
              <w:left w:w="20" w:type="dxa"/>
              <w:bottom w:w="30" w:type="dxa"/>
              <w:right w:w="0" w:type="dxa"/>
            </w:tcMar>
            <w:vAlign w:val="bottom"/>
            <w:hideMark/>
          </w:tcPr>
          <w:p w14:paraId="01074E7D" w14:textId="77777777" w:rsidR="00000000" w:rsidRDefault="000A3118">
            <w:pPr>
              <w:jc w:val="right"/>
              <w:rPr>
                <w:rFonts w:eastAsia="Times New Roman"/>
              </w:rPr>
            </w:pPr>
            <w:r>
              <w:rPr>
                <w:rFonts w:eastAsia="Times New Roman"/>
                <w:color w:val="000000"/>
                <w:sz w:val="16"/>
                <w:szCs w:val="16"/>
              </w:rPr>
              <w:t>7.7 </w:t>
            </w:r>
          </w:p>
        </w:tc>
        <w:tc>
          <w:tcPr>
            <w:tcW w:w="0" w:type="auto"/>
            <w:tcMar>
              <w:top w:w="30" w:type="dxa"/>
              <w:left w:w="0" w:type="dxa"/>
              <w:bottom w:w="30" w:type="dxa"/>
              <w:right w:w="20" w:type="dxa"/>
            </w:tcMar>
            <w:vAlign w:val="bottom"/>
            <w:hideMark/>
          </w:tcPr>
          <w:p w14:paraId="105AB395" w14:textId="77777777" w:rsidR="00000000" w:rsidRDefault="000A3118">
            <w:pPr>
              <w:jc w:val="right"/>
              <w:rPr>
                <w:rFonts w:eastAsia="Times New Roman"/>
              </w:rPr>
            </w:pPr>
          </w:p>
        </w:tc>
      </w:tr>
      <w:tr w:rsidR="00000000" w14:paraId="4C8EB1CF" w14:textId="77777777">
        <w:trPr>
          <w:divId w:val="1481578638"/>
          <w:jc w:val="center"/>
        </w:trPr>
        <w:tc>
          <w:tcPr>
            <w:tcW w:w="0" w:type="auto"/>
            <w:gridSpan w:val="3"/>
            <w:shd w:val="clear" w:color="auto" w:fill="CCEEFF"/>
            <w:tcMar>
              <w:top w:w="30" w:type="dxa"/>
              <w:left w:w="20" w:type="dxa"/>
              <w:bottom w:w="30" w:type="dxa"/>
              <w:right w:w="20" w:type="dxa"/>
            </w:tcMar>
            <w:vAlign w:val="bottom"/>
            <w:hideMark/>
          </w:tcPr>
          <w:p w14:paraId="034838DE" w14:textId="77777777" w:rsidR="00000000" w:rsidRDefault="000A3118">
            <w:pPr>
              <w:rPr>
                <w:rFonts w:eastAsia="Times New Roman"/>
              </w:rPr>
            </w:pPr>
            <w:r>
              <w:rPr>
                <w:rFonts w:eastAsia="Times New Roman"/>
                <w:color w:val="000000"/>
                <w:sz w:val="16"/>
                <w:szCs w:val="16"/>
              </w:rPr>
              <w:t>Payments</w:t>
            </w:r>
          </w:p>
        </w:tc>
        <w:tc>
          <w:tcPr>
            <w:tcW w:w="0" w:type="auto"/>
            <w:gridSpan w:val="2"/>
            <w:shd w:val="clear" w:color="auto" w:fill="CCEEFF"/>
            <w:tcMar>
              <w:top w:w="30" w:type="dxa"/>
              <w:left w:w="20" w:type="dxa"/>
              <w:bottom w:w="30" w:type="dxa"/>
              <w:right w:w="0" w:type="dxa"/>
            </w:tcMar>
            <w:vAlign w:val="bottom"/>
            <w:hideMark/>
          </w:tcPr>
          <w:p w14:paraId="04BA4959" w14:textId="77777777" w:rsidR="00000000" w:rsidRDefault="000A3118">
            <w:pPr>
              <w:jc w:val="right"/>
              <w:rPr>
                <w:rFonts w:eastAsia="Times New Roman"/>
              </w:rPr>
            </w:pPr>
            <w:r>
              <w:rPr>
                <w:rFonts w:eastAsia="Times New Roman"/>
                <w:color w:val="000000"/>
                <w:sz w:val="16"/>
                <w:szCs w:val="16"/>
              </w:rPr>
              <w:t>(1.4)</w:t>
            </w:r>
          </w:p>
        </w:tc>
        <w:tc>
          <w:tcPr>
            <w:tcW w:w="0" w:type="auto"/>
            <w:shd w:val="clear" w:color="auto" w:fill="CCEEFF"/>
            <w:tcMar>
              <w:top w:w="30" w:type="dxa"/>
              <w:left w:w="0" w:type="dxa"/>
              <w:bottom w:w="30" w:type="dxa"/>
              <w:right w:w="20" w:type="dxa"/>
            </w:tcMar>
            <w:vAlign w:val="bottom"/>
            <w:hideMark/>
          </w:tcPr>
          <w:p w14:paraId="799C9FFF" w14:textId="77777777" w:rsidR="00000000" w:rsidRDefault="000A311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B2F134" w14:textId="77777777" w:rsidR="00000000" w:rsidRDefault="000A3118">
            <w:pPr>
              <w:jc w:val="right"/>
              <w:rPr>
                <w:rFonts w:eastAsia="Times New Roman"/>
              </w:rPr>
            </w:pPr>
            <w:r>
              <w:rPr>
                <w:rFonts w:eastAsia="Times New Roman"/>
                <w:color w:val="000000"/>
                <w:sz w:val="16"/>
                <w:szCs w:val="16"/>
              </w:rPr>
              <w:t>(6.2)</w:t>
            </w:r>
          </w:p>
        </w:tc>
        <w:tc>
          <w:tcPr>
            <w:tcW w:w="0" w:type="auto"/>
            <w:shd w:val="clear" w:color="auto" w:fill="CCEEFF"/>
            <w:tcMar>
              <w:top w:w="30" w:type="dxa"/>
              <w:left w:w="0" w:type="dxa"/>
              <w:bottom w:w="30" w:type="dxa"/>
              <w:right w:w="20" w:type="dxa"/>
            </w:tcMar>
            <w:vAlign w:val="bottom"/>
            <w:hideMark/>
          </w:tcPr>
          <w:p w14:paraId="53DC07C5" w14:textId="77777777" w:rsidR="00000000" w:rsidRDefault="000A311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22ED07" w14:textId="77777777" w:rsidR="00000000" w:rsidRDefault="000A3118">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bottom"/>
            <w:hideMark/>
          </w:tcPr>
          <w:p w14:paraId="45EC04ED" w14:textId="77777777" w:rsidR="00000000" w:rsidRDefault="000A311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85DAB5" w14:textId="77777777" w:rsidR="00000000" w:rsidRDefault="000A3118">
            <w:pPr>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14:paraId="4C2406BA" w14:textId="77777777" w:rsidR="00000000" w:rsidRDefault="000A3118">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22F785" w14:textId="77777777" w:rsidR="00000000" w:rsidRDefault="000A3118">
            <w:pPr>
              <w:jc w:val="right"/>
              <w:rPr>
                <w:rFonts w:eastAsia="Times New Roman"/>
              </w:rPr>
            </w:pPr>
            <w:r>
              <w:rPr>
                <w:rFonts w:eastAsia="Times New Roman"/>
                <w:color w:val="000000"/>
                <w:sz w:val="16"/>
                <w:szCs w:val="16"/>
              </w:rPr>
              <w:t>(10.3)</w:t>
            </w:r>
          </w:p>
        </w:tc>
        <w:tc>
          <w:tcPr>
            <w:tcW w:w="0" w:type="auto"/>
            <w:shd w:val="clear" w:color="auto" w:fill="CCEEFF"/>
            <w:tcMar>
              <w:top w:w="30" w:type="dxa"/>
              <w:left w:w="0" w:type="dxa"/>
              <w:bottom w:w="30" w:type="dxa"/>
              <w:right w:w="20" w:type="dxa"/>
            </w:tcMar>
            <w:vAlign w:val="bottom"/>
            <w:hideMark/>
          </w:tcPr>
          <w:p w14:paraId="617E7D02" w14:textId="77777777" w:rsidR="00000000" w:rsidRDefault="000A3118">
            <w:pPr>
              <w:jc w:val="right"/>
              <w:rPr>
                <w:rFonts w:eastAsia="Times New Roman"/>
              </w:rPr>
            </w:pPr>
          </w:p>
        </w:tc>
      </w:tr>
      <w:tr w:rsidR="00000000" w14:paraId="56424A44" w14:textId="77777777">
        <w:trPr>
          <w:divId w:val="1481578638"/>
          <w:jc w:val="center"/>
        </w:trPr>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14:paraId="19482440" w14:textId="77777777" w:rsidR="00000000" w:rsidRDefault="000A3118">
            <w:pPr>
              <w:rPr>
                <w:rFonts w:eastAsia="Times New Roman"/>
              </w:rPr>
            </w:pPr>
            <w:r>
              <w:rPr>
                <w:rFonts w:eastAsia="Times New Roman"/>
                <w:color w:val="000000"/>
                <w:sz w:val="16"/>
                <w:szCs w:val="16"/>
              </w:rPr>
              <w:t>Accrued charges as of September 30, 2020</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FA35AC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38DD7E19" w14:textId="77777777" w:rsidR="00000000" w:rsidRDefault="000A3118">
            <w:pPr>
              <w:jc w:val="right"/>
              <w:rPr>
                <w:rFonts w:eastAsia="Times New Roman"/>
              </w:rPr>
            </w:pPr>
            <w:r>
              <w:rPr>
                <w:rFonts w:eastAsia="Times New Roman"/>
                <w:color w:val="000000"/>
                <w:sz w:val="16"/>
                <w:szCs w:val="16"/>
              </w:rPr>
              <w:t>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43B52C9" w14:textId="77777777" w:rsidR="00000000" w:rsidRDefault="000A3118">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2E3AA5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30B4DE2" w14:textId="77777777" w:rsidR="00000000" w:rsidRDefault="000A3118">
            <w:pPr>
              <w:jc w:val="right"/>
              <w:rPr>
                <w:rFonts w:eastAsia="Times New Roman"/>
              </w:rPr>
            </w:pPr>
            <w:r>
              <w:rPr>
                <w:rFonts w:eastAsia="Times New Roman"/>
                <w:color w:val="000000"/>
                <w:sz w:val="16"/>
                <w:szCs w:val="16"/>
              </w:rPr>
              <w:t>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3B7B55D" w14:textId="77777777" w:rsidR="00000000" w:rsidRDefault="000A3118">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59B5779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1B9CEA6" w14:textId="77777777" w:rsidR="00000000" w:rsidRDefault="000A3118">
            <w:pPr>
              <w:jc w:val="right"/>
              <w:rPr>
                <w:rFonts w:eastAsia="Times New Roman"/>
              </w:rPr>
            </w:pPr>
            <w:r>
              <w:rPr>
                <w:rFonts w:eastAsia="Times New Roman"/>
                <w:color w:val="000000"/>
                <w:sz w:val="16"/>
                <w:szCs w:val="16"/>
              </w:rPr>
              <w:t>0.9 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0397445" w14:textId="77777777" w:rsidR="00000000" w:rsidRDefault="000A3118">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72E5D3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78BB2BBF" w14:textId="77777777" w:rsidR="00000000" w:rsidRDefault="000A3118">
            <w:pPr>
              <w:jc w:val="right"/>
              <w:rPr>
                <w:rFonts w:eastAsia="Times New Roman"/>
              </w:rPr>
            </w:pPr>
            <w:r>
              <w:rPr>
                <w:rFonts w:eastAsia="Times New Roman"/>
                <w:color w:val="000000"/>
                <w:sz w:val="16"/>
                <w:szCs w:val="16"/>
              </w:rPr>
              <w:t>0.4 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F8A28A3" w14:textId="77777777" w:rsidR="00000000" w:rsidRDefault="000A3118">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3245BE9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38ACBA36" w14:textId="77777777" w:rsidR="00000000" w:rsidRDefault="000A3118">
            <w:pPr>
              <w:jc w:val="right"/>
              <w:rPr>
                <w:rFonts w:eastAsia="Times New Roman"/>
              </w:rPr>
            </w:pPr>
            <w:r>
              <w:rPr>
                <w:rFonts w:eastAsia="Times New Roman"/>
                <w:color w:val="000000"/>
                <w:sz w:val="16"/>
                <w:szCs w:val="16"/>
              </w:rPr>
              <w:t>6.9 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57074EB" w14:textId="77777777" w:rsidR="00000000" w:rsidRDefault="000A3118">
            <w:pPr>
              <w:jc w:val="right"/>
              <w:rPr>
                <w:rFonts w:eastAsia="Times New Roman"/>
              </w:rPr>
            </w:pPr>
          </w:p>
        </w:tc>
      </w:tr>
    </w:tbl>
    <w:p w14:paraId="4827E5F3" w14:textId="77777777" w:rsidR="00000000" w:rsidRDefault="000A3118">
      <w:pPr>
        <w:ind w:firstLine="360"/>
        <w:jc w:val="both"/>
        <w:rPr>
          <w:rFonts w:eastAsia="Times New Roman"/>
        </w:rPr>
      </w:pPr>
      <w:r>
        <w:rPr>
          <w:rFonts w:eastAsia="Times New Roman"/>
          <w:color w:val="000000"/>
          <w:sz w:val="20"/>
          <w:szCs w:val="20"/>
        </w:rPr>
        <w:t>During the second quarter of 2020, we implemented a cost reduction initiative to rationalize our global office footprint and approved the abandonment of certain office leases, including the transition of select offices to smaller or more cost-effective loc</w:t>
      </w:r>
      <w:r>
        <w:rPr>
          <w:rFonts w:eastAsia="Times New Roman"/>
          <w:color w:val="000000"/>
          <w:sz w:val="20"/>
          <w:szCs w:val="20"/>
        </w:rPr>
        <w:t>ations. These asset groups, consisting mainly of right-of-use assets and leasehold improvements, were tested for impairment. We concluded that the carrying amounts of these asset groups were not recoverable and the fair value determined was concluded to be</w:t>
      </w:r>
      <w:r>
        <w:rPr>
          <w:rFonts w:eastAsia="Times New Roman"/>
          <w:color w:val="000000"/>
          <w:sz w:val="20"/>
          <w:szCs w:val="20"/>
        </w:rPr>
        <w:t xml:space="preserve"> nominal based on a discounted cash flow model. As a result, an $18.6 million impairment charge was recorded during the second quarter of 2020 and included within Asset impairments on our Consolidated Statements of Income and Comprehensive Income.</w:t>
      </w:r>
    </w:p>
    <w:p w14:paraId="3DAD6D8D" w14:textId="77777777" w:rsidR="00000000" w:rsidRDefault="000A3118">
      <w:pPr>
        <w:ind w:firstLine="360"/>
        <w:jc w:val="both"/>
        <w:rPr>
          <w:rFonts w:eastAsia="Times New Roman"/>
        </w:rPr>
      </w:pPr>
    </w:p>
    <w:p w14:paraId="41507EA2" w14:textId="77777777" w:rsidR="00000000" w:rsidRDefault="000A3118">
      <w:pPr>
        <w:ind w:firstLine="360"/>
        <w:jc w:val="both"/>
        <w:rPr>
          <w:rFonts w:eastAsia="Times New Roman"/>
        </w:rPr>
      </w:pPr>
      <w:r>
        <w:rPr>
          <w:rFonts w:eastAsia="Times New Roman"/>
          <w:color w:val="000000"/>
          <w:sz w:val="20"/>
          <w:szCs w:val="20"/>
        </w:rPr>
        <w:t>The fo</w:t>
      </w:r>
      <w:r>
        <w:rPr>
          <w:rFonts w:eastAsia="Times New Roman"/>
          <w:color w:val="000000"/>
          <w:sz w:val="20"/>
          <w:szCs w:val="20"/>
        </w:rPr>
        <w:t>llowing table provides a summary of this impairment by reportable business segment for the nine months ended September 30, 2020 (in millions):</w:t>
      </w:r>
    </w:p>
    <w:p w14:paraId="4816E079" w14:textId="77777777" w:rsidR="00000000" w:rsidRDefault="000A3118">
      <w:pPr>
        <w:ind w:firstLine="360"/>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2108"/>
        <w:gridCol w:w="36"/>
        <w:gridCol w:w="101"/>
        <w:gridCol w:w="1086"/>
        <w:gridCol w:w="36"/>
        <w:gridCol w:w="101"/>
        <w:gridCol w:w="1086"/>
        <w:gridCol w:w="36"/>
        <w:gridCol w:w="101"/>
        <w:gridCol w:w="1086"/>
        <w:gridCol w:w="36"/>
        <w:gridCol w:w="101"/>
        <w:gridCol w:w="1086"/>
        <w:gridCol w:w="36"/>
        <w:gridCol w:w="101"/>
        <w:gridCol w:w="1088"/>
        <w:gridCol w:w="36"/>
      </w:tblGrid>
      <w:tr w:rsidR="00000000" w14:paraId="5AC62DD8" w14:textId="77777777">
        <w:trPr>
          <w:divId w:val="1692291845"/>
        </w:trPr>
        <w:tc>
          <w:tcPr>
            <w:tcW w:w="50" w:type="pct"/>
            <w:vAlign w:val="center"/>
            <w:hideMark/>
          </w:tcPr>
          <w:p w14:paraId="30AE50B5" w14:textId="77777777" w:rsidR="00000000" w:rsidRDefault="000A3118">
            <w:pPr>
              <w:ind w:firstLine="360"/>
              <w:jc w:val="both"/>
              <w:rPr>
                <w:rFonts w:eastAsia="Times New Roman"/>
              </w:rPr>
            </w:pPr>
          </w:p>
        </w:tc>
        <w:tc>
          <w:tcPr>
            <w:tcW w:w="1290" w:type="pct"/>
            <w:vAlign w:val="center"/>
            <w:hideMark/>
          </w:tcPr>
          <w:p w14:paraId="2A5B05EC" w14:textId="77777777" w:rsidR="00000000" w:rsidRDefault="000A3118">
            <w:pPr>
              <w:rPr>
                <w:rFonts w:eastAsia="Times New Roman"/>
                <w:sz w:val="20"/>
                <w:szCs w:val="20"/>
              </w:rPr>
            </w:pPr>
          </w:p>
        </w:tc>
        <w:tc>
          <w:tcPr>
            <w:tcW w:w="5" w:type="pct"/>
            <w:vAlign w:val="center"/>
            <w:hideMark/>
          </w:tcPr>
          <w:p w14:paraId="00FF043B" w14:textId="77777777" w:rsidR="00000000" w:rsidRDefault="000A3118">
            <w:pPr>
              <w:rPr>
                <w:rFonts w:eastAsia="Times New Roman"/>
                <w:sz w:val="20"/>
                <w:szCs w:val="20"/>
              </w:rPr>
            </w:pPr>
          </w:p>
        </w:tc>
        <w:tc>
          <w:tcPr>
            <w:tcW w:w="50" w:type="pct"/>
            <w:vAlign w:val="center"/>
            <w:hideMark/>
          </w:tcPr>
          <w:p w14:paraId="52520893" w14:textId="77777777" w:rsidR="00000000" w:rsidRDefault="000A3118">
            <w:pPr>
              <w:rPr>
                <w:rFonts w:eastAsia="Times New Roman"/>
                <w:sz w:val="20"/>
                <w:szCs w:val="20"/>
              </w:rPr>
            </w:pPr>
          </w:p>
        </w:tc>
        <w:tc>
          <w:tcPr>
            <w:tcW w:w="675" w:type="pct"/>
            <w:vAlign w:val="center"/>
            <w:hideMark/>
          </w:tcPr>
          <w:p w14:paraId="301FD1A3" w14:textId="77777777" w:rsidR="00000000" w:rsidRDefault="000A3118">
            <w:pPr>
              <w:rPr>
                <w:rFonts w:eastAsia="Times New Roman"/>
                <w:sz w:val="20"/>
                <w:szCs w:val="20"/>
              </w:rPr>
            </w:pPr>
          </w:p>
        </w:tc>
        <w:tc>
          <w:tcPr>
            <w:tcW w:w="5" w:type="pct"/>
            <w:vAlign w:val="center"/>
            <w:hideMark/>
          </w:tcPr>
          <w:p w14:paraId="4FBA1E2D" w14:textId="77777777" w:rsidR="00000000" w:rsidRDefault="000A3118">
            <w:pPr>
              <w:rPr>
                <w:rFonts w:eastAsia="Times New Roman"/>
                <w:sz w:val="20"/>
                <w:szCs w:val="20"/>
              </w:rPr>
            </w:pPr>
          </w:p>
        </w:tc>
        <w:tc>
          <w:tcPr>
            <w:tcW w:w="50" w:type="pct"/>
            <w:vAlign w:val="center"/>
            <w:hideMark/>
          </w:tcPr>
          <w:p w14:paraId="32247486" w14:textId="77777777" w:rsidR="00000000" w:rsidRDefault="000A3118">
            <w:pPr>
              <w:rPr>
                <w:rFonts w:eastAsia="Times New Roman"/>
                <w:sz w:val="20"/>
                <w:szCs w:val="20"/>
              </w:rPr>
            </w:pPr>
          </w:p>
        </w:tc>
        <w:tc>
          <w:tcPr>
            <w:tcW w:w="675" w:type="pct"/>
            <w:vAlign w:val="center"/>
            <w:hideMark/>
          </w:tcPr>
          <w:p w14:paraId="3B96F9CB" w14:textId="77777777" w:rsidR="00000000" w:rsidRDefault="000A3118">
            <w:pPr>
              <w:rPr>
                <w:rFonts w:eastAsia="Times New Roman"/>
                <w:sz w:val="20"/>
                <w:szCs w:val="20"/>
              </w:rPr>
            </w:pPr>
          </w:p>
        </w:tc>
        <w:tc>
          <w:tcPr>
            <w:tcW w:w="5" w:type="pct"/>
            <w:vAlign w:val="center"/>
            <w:hideMark/>
          </w:tcPr>
          <w:p w14:paraId="29F9B4AB" w14:textId="77777777" w:rsidR="00000000" w:rsidRDefault="000A3118">
            <w:pPr>
              <w:rPr>
                <w:rFonts w:eastAsia="Times New Roman"/>
                <w:sz w:val="20"/>
                <w:szCs w:val="20"/>
              </w:rPr>
            </w:pPr>
          </w:p>
        </w:tc>
        <w:tc>
          <w:tcPr>
            <w:tcW w:w="50" w:type="pct"/>
            <w:vAlign w:val="center"/>
            <w:hideMark/>
          </w:tcPr>
          <w:p w14:paraId="6B94C861" w14:textId="77777777" w:rsidR="00000000" w:rsidRDefault="000A3118">
            <w:pPr>
              <w:rPr>
                <w:rFonts w:eastAsia="Times New Roman"/>
                <w:sz w:val="20"/>
                <w:szCs w:val="20"/>
              </w:rPr>
            </w:pPr>
          </w:p>
        </w:tc>
        <w:tc>
          <w:tcPr>
            <w:tcW w:w="675" w:type="pct"/>
            <w:vAlign w:val="center"/>
            <w:hideMark/>
          </w:tcPr>
          <w:p w14:paraId="45D81D49" w14:textId="77777777" w:rsidR="00000000" w:rsidRDefault="000A3118">
            <w:pPr>
              <w:rPr>
                <w:rFonts w:eastAsia="Times New Roman"/>
                <w:sz w:val="20"/>
                <w:szCs w:val="20"/>
              </w:rPr>
            </w:pPr>
          </w:p>
        </w:tc>
        <w:tc>
          <w:tcPr>
            <w:tcW w:w="5" w:type="pct"/>
            <w:vAlign w:val="center"/>
            <w:hideMark/>
          </w:tcPr>
          <w:p w14:paraId="0EE850AA" w14:textId="77777777" w:rsidR="00000000" w:rsidRDefault="000A3118">
            <w:pPr>
              <w:rPr>
                <w:rFonts w:eastAsia="Times New Roman"/>
                <w:sz w:val="20"/>
                <w:szCs w:val="20"/>
              </w:rPr>
            </w:pPr>
          </w:p>
        </w:tc>
        <w:tc>
          <w:tcPr>
            <w:tcW w:w="50" w:type="pct"/>
            <w:vAlign w:val="center"/>
            <w:hideMark/>
          </w:tcPr>
          <w:p w14:paraId="016B46C1" w14:textId="77777777" w:rsidR="00000000" w:rsidRDefault="000A3118">
            <w:pPr>
              <w:rPr>
                <w:rFonts w:eastAsia="Times New Roman"/>
                <w:sz w:val="20"/>
                <w:szCs w:val="20"/>
              </w:rPr>
            </w:pPr>
          </w:p>
        </w:tc>
        <w:tc>
          <w:tcPr>
            <w:tcW w:w="675" w:type="pct"/>
            <w:vAlign w:val="center"/>
            <w:hideMark/>
          </w:tcPr>
          <w:p w14:paraId="0B86080C" w14:textId="77777777" w:rsidR="00000000" w:rsidRDefault="000A3118">
            <w:pPr>
              <w:rPr>
                <w:rFonts w:eastAsia="Times New Roman"/>
                <w:sz w:val="20"/>
                <w:szCs w:val="20"/>
              </w:rPr>
            </w:pPr>
          </w:p>
        </w:tc>
        <w:tc>
          <w:tcPr>
            <w:tcW w:w="5" w:type="pct"/>
            <w:vAlign w:val="center"/>
            <w:hideMark/>
          </w:tcPr>
          <w:p w14:paraId="2FEF751A" w14:textId="77777777" w:rsidR="00000000" w:rsidRDefault="000A3118">
            <w:pPr>
              <w:rPr>
                <w:rFonts w:eastAsia="Times New Roman"/>
                <w:sz w:val="20"/>
                <w:szCs w:val="20"/>
              </w:rPr>
            </w:pPr>
          </w:p>
        </w:tc>
        <w:tc>
          <w:tcPr>
            <w:tcW w:w="50" w:type="pct"/>
            <w:vAlign w:val="center"/>
            <w:hideMark/>
          </w:tcPr>
          <w:p w14:paraId="106C2307" w14:textId="77777777" w:rsidR="00000000" w:rsidRDefault="000A3118">
            <w:pPr>
              <w:rPr>
                <w:rFonts w:eastAsia="Times New Roman"/>
                <w:sz w:val="20"/>
                <w:szCs w:val="20"/>
              </w:rPr>
            </w:pPr>
          </w:p>
        </w:tc>
        <w:tc>
          <w:tcPr>
            <w:tcW w:w="676" w:type="pct"/>
            <w:vAlign w:val="center"/>
            <w:hideMark/>
          </w:tcPr>
          <w:p w14:paraId="1F8884B2" w14:textId="77777777" w:rsidR="00000000" w:rsidRDefault="000A3118">
            <w:pPr>
              <w:rPr>
                <w:rFonts w:eastAsia="Times New Roman"/>
                <w:sz w:val="20"/>
                <w:szCs w:val="20"/>
              </w:rPr>
            </w:pPr>
          </w:p>
        </w:tc>
        <w:tc>
          <w:tcPr>
            <w:tcW w:w="5" w:type="pct"/>
            <w:vAlign w:val="center"/>
            <w:hideMark/>
          </w:tcPr>
          <w:p w14:paraId="535764E3" w14:textId="77777777" w:rsidR="00000000" w:rsidRDefault="000A3118">
            <w:pPr>
              <w:rPr>
                <w:rFonts w:eastAsia="Times New Roman"/>
                <w:sz w:val="20"/>
                <w:szCs w:val="20"/>
              </w:rPr>
            </w:pPr>
          </w:p>
        </w:tc>
      </w:tr>
      <w:tr w:rsidR="00000000" w14:paraId="31AD060B" w14:textId="77777777">
        <w:trPr>
          <w:divId w:val="1692291845"/>
        </w:trPr>
        <w:tc>
          <w:tcPr>
            <w:tcW w:w="0" w:type="auto"/>
            <w:gridSpan w:val="3"/>
            <w:tcMar>
              <w:top w:w="0" w:type="dxa"/>
              <w:left w:w="20" w:type="dxa"/>
              <w:bottom w:w="0" w:type="dxa"/>
              <w:right w:w="20" w:type="dxa"/>
            </w:tcMar>
            <w:vAlign w:val="center"/>
            <w:hideMark/>
          </w:tcPr>
          <w:p w14:paraId="7FD9A3A9"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vAlign w:val="bottom"/>
            <w:hideMark/>
          </w:tcPr>
          <w:p w14:paraId="5B6895AF" w14:textId="77777777" w:rsidR="00000000" w:rsidRDefault="000A3118">
            <w:pPr>
              <w:jc w:val="right"/>
              <w:rPr>
                <w:rFonts w:eastAsia="Times New Roman"/>
              </w:rPr>
            </w:pPr>
            <w:r>
              <w:rPr>
                <w:rFonts w:eastAsia="Times New Roman"/>
                <w:b/>
                <w:bCs/>
                <w:color w:val="000000"/>
                <w:sz w:val="16"/>
                <w:szCs w:val="16"/>
              </w:rPr>
              <w:t>Aviation</w:t>
            </w:r>
          </w:p>
        </w:tc>
        <w:tc>
          <w:tcPr>
            <w:tcW w:w="0" w:type="auto"/>
            <w:gridSpan w:val="3"/>
            <w:tcMar>
              <w:top w:w="30" w:type="dxa"/>
              <w:left w:w="20" w:type="dxa"/>
              <w:bottom w:w="30" w:type="dxa"/>
              <w:right w:w="20" w:type="dxa"/>
            </w:tcMar>
            <w:vAlign w:val="bottom"/>
            <w:hideMark/>
          </w:tcPr>
          <w:p w14:paraId="56434E30" w14:textId="77777777" w:rsidR="00000000" w:rsidRDefault="000A3118">
            <w:pPr>
              <w:jc w:val="right"/>
              <w:rPr>
                <w:rFonts w:eastAsia="Times New Roman"/>
              </w:rPr>
            </w:pPr>
            <w:r>
              <w:rPr>
                <w:rFonts w:eastAsia="Times New Roman"/>
                <w:b/>
                <w:bCs/>
                <w:color w:val="000000"/>
                <w:sz w:val="16"/>
                <w:szCs w:val="16"/>
              </w:rPr>
              <w:t>Land</w:t>
            </w:r>
          </w:p>
        </w:tc>
        <w:tc>
          <w:tcPr>
            <w:tcW w:w="0" w:type="auto"/>
            <w:gridSpan w:val="3"/>
            <w:tcMar>
              <w:top w:w="30" w:type="dxa"/>
              <w:left w:w="20" w:type="dxa"/>
              <w:bottom w:w="30" w:type="dxa"/>
              <w:right w:w="20" w:type="dxa"/>
            </w:tcMar>
            <w:vAlign w:val="bottom"/>
            <w:hideMark/>
          </w:tcPr>
          <w:p w14:paraId="6F1B6BB0" w14:textId="77777777" w:rsidR="00000000" w:rsidRDefault="000A3118">
            <w:pPr>
              <w:jc w:val="right"/>
              <w:rPr>
                <w:rFonts w:eastAsia="Times New Roman"/>
              </w:rPr>
            </w:pPr>
            <w:r>
              <w:rPr>
                <w:rFonts w:eastAsia="Times New Roman"/>
                <w:b/>
                <w:bCs/>
                <w:color w:val="000000"/>
                <w:sz w:val="16"/>
                <w:szCs w:val="16"/>
              </w:rPr>
              <w:t>Marine</w:t>
            </w:r>
          </w:p>
        </w:tc>
        <w:tc>
          <w:tcPr>
            <w:tcW w:w="0" w:type="auto"/>
            <w:gridSpan w:val="3"/>
            <w:tcMar>
              <w:top w:w="30" w:type="dxa"/>
              <w:left w:w="20" w:type="dxa"/>
              <w:bottom w:w="30" w:type="dxa"/>
              <w:right w:w="20" w:type="dxa"/>
            </w:tcMar>
            <w:vAlign w:val="bottom"/>
            <w:hideMark/>
          </w:tcPr>
          <w:p w14:paraId="09FF407E" w14:textId="77777777" w:rsidR="00000000" w:rsidRDefault="000A3118">
            <w:pPr>
              <w:jc w:val="right"/>
              <w:rPr>
                <w:rFonts w:eastAsia="Times New Roman"/>
              </w:rPr>
            </w:pPr>
            <w:r>
              <w:rPr>
                <w:rFonts w:eastAsia="Times New Roman"/>
                <w:b/>
                <w:bCs/>
                <w:color w:val="000000"/>
                <w:sz w:val="16"/>
                <w:szCs w:val="16"/>
              </w:rPr>
              <w:t>Corporate</w:t>
            </w:r>
          </w:p>
        </w:tc>
        <w:tc>
          <w:tcPr>
            <w:tcW w:w="0" w:type="auto"/>
            <w:gridSpan w:val="3"/>
            <w:tcMar>
              <w:top w:w="30" w:type="dxa"/>
              <w:left w:w="20" w:type="dxa"/>
              <w:bottom w:w="30" w:type="dxa"/>
              <w:right w:w="20" w:type="dxa"/>
            </w:tcMar>
            <w:vAlign w:val="bottom"/>
            <w:hideMark/>
          </w:tcPr>
          <w:p w14:paraId="2059D780" w14:textId="77777777" w:rsidR="00000000" w:rsidRDefault="000A3118">
            <w:pPr>
              <w:jc w:val="right"/>
              <w:rPr>
                <w:rFonts w:eastAsia="Times New Roman"/>
              </w:rPr>
            </w:pPr>
            <w:r>
              <w:rPr>
                <w:rFonts w:eastAsia="Times New Roman"/>
                <w:b/>
                <w:bCs/>
                <w:color w:val="000000"/>
                <w:sz w:val="16"/>
                <w:szCs w:val="16"/>
              </w:rPr>
              <w:t>Consolidated</w:t>
            </w:r>
          </w:p>
        </w:tc>
      </w:tr>
      <w:tr w:rsidR="00000000" w14:paraId="71A96438" w14:textId="77777777">
        <w:trPr>
          <w:divId w:val="1692291845"/>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55CDA4D8" w14:textId="77777777" w:rsidR="00000000" w:rsidRDefault="000A3118">
            <w:pPr>
              <w:rPr>
                <w:rFonts w:eastAsia="Times New Roman"/>
              </w:rPr>
            </w:pPr>
            <w:r>
              <w:rPr>
                <w:rFonts w:eastAsia="Times New Roman"/>
                <w:color w:val="000000"/>
                <w:sz w:val="16"/>
                <w:szCs w:val="16"/>
              </w:rPr>
              <w:t>Asset impairments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39CBE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516505" w14:textId="77777777" w:rsidR="00000000" w:rsidRDefault="000A3118">
            <w:pPr>
              <w:jc w:val="right"/>
              <w:rPr>
                <w:rFonts w:eastAsia="Times New Roman"/>
              </w:rPr>
            </w:pPr>
            <w:r>
              <w:rPr>
                <w:rFonts w:eastAsia="Times New Roman"/>
                <w:color w:val="000000"/>
                <w:sz w:val="16"/>
                <w:szCs w:val="16"/>
              </w:rPr>
              <w:t>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9D3872" w14:textId="77777777" w:rsidR="00000000" w:rsidRDefault="000A3118">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8B602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F3AF6C" w14:textId="77777777" w:rsidR="00000000" w:rsidRDefault="000A3118">
            <w:pPr>
              <w:jc w:val="right"/>
              <w:rPr>
                <w:rFonts w:eastAsia="Times New Roman"/>
              </w:rPr>
            </w:pPr>
            <w:r>
              <w:rPr>
                <w:rFonts w:eastAsia="Times New Roman"/>
                <w:color w:val="000000"/>
                <w:sz w:val="16"/>
                <w:szCs w:val="16"/>
              </w:rPr>
              <w:t>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9DAF7B" w14:textId="77777777" w:rsidR="00000000" w:rsidRDefault="000A3118">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61D51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384079" w14:textId="77777777" w:rsidR="00000000" w:rsidRDefault="000A3118">
            <w:pPr>
              <w:jc w:val="right"/>
              <w:rPr>
                <w:rFonts w:eastAsia="Times New Roman"/>
              </w:rPr>
            </w:pPr>
            <w:r>
              <w:rPr>
                <w:rFonts w:eastAsia="Times New Roman"/>
                <w:color w:val="000000"/>
                <w:sz w:val="16"/>
                <w:szCs w:val="16"/>
              </w:rPr>
              <w:t>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0E447C" w14:textId="77777777" w:rsidR="00000000" w:rsidRDefault="000A3118">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6643C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43175C" w14:textId="77777777" w:rsidR="00000000" w:rsidRDefault="000A3118">
            <w:pPr>
              <w:jc w:val="right"/>
              <w:rPr>
                <w:rFonts w:eastAsia="Times New Roman"/>
              </w:rPr>
            </w:pPr>
            <w:r>
              <w:rPr>
                <w:rFonts w:eastAsia="Times New Roman"/>
                <w:color w:val="000000"/>
                <w:sz w:val="16"/>
                <w:szCs w:val="16"/>
              </w:rPr>
              <w:t>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E41E1B" w14:textId="77777777" w:rsidR="00000000" w:rsidRDefault="000A3118">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63CB0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717203" w14:textId="77777777" w:rsidR="00000000" w:rsidRDefault="000A3118">
            <w:pPr>
              <w:jc w:val="right"/>
              <w:rPr>
                <w:rFonts w:eastAsia="Times New Roman"/>
              </w:rPr>
            </w:pPr>
            <w:r>
              <w:rPr>
                <w:rFonts w:eastAsia="Times New Roman"/>
                <w:color w:val="000000"/>
                <w:sz w:val="16"/>
                <w:szCs w:val="16"/>
              </w:rPr>
              <w:t>18.6 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2FB115" w14:textId="77777777" w:rsidR="00000000" w:rsidRDefault="000A3118">
            <w:pPr>
              <w:jc w:val="right"/>
              <w:rPr>
                <w:rFonts w:eastAsia="Times New Roman"/>
              </w:rPr>
            </w:pPr>
          </w:p>
        </w:tc>
      </w:tr>
    </w:tbl>
    <w:p w14:paraId="0A76A046" w14:textId="77777777" w:rsidR="00000000" w:rsidRDefault="000A3118">
      <w:pPr>
        <w:jc w:val="center"/>
        <w:divId w:val="124199490"/>
        <w:rPr>
          <w:rFonts w:eastAsia="Times New Roman"/>
        </w:rPr>
      </w:pPr>
      <w:r>
        <w:rPr>
          <w:rFonts w:eastAsia="Times New Roman"/>
          <w:color w:val="000000"/>
          <w:sz w:val="20"/>
          <w:szCs w:val="20"/>
        </w:rPr>
        <w:t>24</w:t>
      </w:r>
    </w:p>
    <w:p w14:paraId="03EF4E83" w14:textId="77777777" w:rsidR="00000000" w:rsidRDefault="000A3118">
      <w:pPr>
        <w:rPr>
          <w:rFonts w:eastAsia="Times New Roman"/>
        </w:rPr>
      </w:pPr>
      <w:r>
        <w:rPr>
          <w:rFonts w:eastAsia="Times New Roman"/>
        </w:rPr>
        <w:pict w14:anchorId="13574983">
          <v:rect id="_x0000_i1052" style="width:0;height:1.5pt" o:hralign="center" o:hrstd="t" o:hr="t" fillcolor="#a0a0a0" stroked="f"/>
        </w:pict>
      </w:r>
    </w:p>
    <w:p w14:paraId="0EA3AA18" w14:textId="77777777" w:rsidR="00000000" w:rsidRDefault="000A3118">
      <w:pPr>
        <w:divId w:val="765929563"/>
        <w:rPr>
          <w:rFonts w:eastAsia="Times New Roman"/>
        </w:rPr>
      </w:pPr>
    </w:p>
    <w:p w14:paraId="37C11E88" w14:textId="77777777" w:rsidR="00000000" w:rsidRDefault="000A3118">
      <w:pPr>
        <w:ind w:hanging="1080"/>
        <w:divId w:val="123930348"/>
        <w:rPr>
          <w:rFonts w:eastAsia="Times New Roman"/>
        </w:rPr>
      </w:pPr>
      <w:r>
        <w:rPr>
          <w:rFonts w:eastAsia="Times New Roman"/>
          <w:b/>
          <w:bCs/>
          <w:color w:val="000000"/>
          <w:sz w:val="20"/>
          <w:szCs w:val="20"/>
        </w:rPr>
        <w:t>Item 2.     Management’s Discussion and Analysis of Financial Condition and Results of Operations</w:t>
      </w:r>
    </w:p>
    <w:p w14:paraId="06BD09A6" w14:textId="77777777" w:rsidR="00000000" w:rsidRDefault="000A3118">
      <w:pPr>
        <w:ind w:firstLine="720"/>
        <w:divId w:val="403575881"/>
        <w:rPr>
          <w:rFonts w:eastAsia="Times New Roman"/>
        </w:rPr>
      </w:pPr>
      <w:r>
        <w:rPr>
          <w:rFonts w:eastAsia="Times New Roman"/>
          <w:color w:val="000000"/>
          <w:sz w:val="20"/>
          <w:szCs w:val="20"/>
        </w:rPr>
        <w:t> </w:t>
      </w:r>
    </w:p>
    <w:p w14:paraId="1D27C84C" w14:textId="77777777" w:rsidR="00000000" w:rsidRDefault="000A3118">
      <w:pPr>
        <w:ind w:firstLine="360"/>
        <w:jc w:val="both"/>
        <w:rPr>
          <w:rFonts w:eastAsia="Times New Roman"/>
        </w:rPr>
      </w:pPr>
      <w:r>
        <w:rPr>
          <w:rFonts w:eastAsia="Times New Roman"/>
          <w:color w:val="000000"/>
          <w:sz w:val="20"/>
          <w:szCs w:val="20"/>
        </w:rPr>
        <w:t>The follow</w:t>
      </w:r>
      <w:r>
        <w:rPr>
          <w:rFonts w:eastAsia="Times New Roman"/>
          <w:color w:val="000000"/>
          <w:sz w:val="20"/>
          <w:szCs w:val="20"/>
        </w:rPr>
        <w:t>ing discussion should be read in conjunction with our 2019 10-K Report and the Consolidated Financial Statements and related notes in Item 1 — Financial Statements appearing elsewhere in this 10-Q Report. The following discussion may contain forward-lookin</w:t>
      </w:r>
      <w:r>
        <w:rPr>
          <w:rFonts w:eastAsia="Times New Roman"/>
          <w:color w:val="000000"/>
          <w:sz w:val="20"/>
          <w:szCs w:val="20"/>
        </w:rPr>
        <w:t>g statements, and our actual results may differ materially from the results suggested by these forward-looking statements. Some factors that may cause our results to differ are disclosed in Item 1A - Risk Factors of our 2019 10-K Report as updated and supp</w:t>
      </w:r>
      <w:r>
        <w:rPr>
          <w:rFonts w:eastAsia="Times New Roman"/>
          <w:color w:val="000000"/>
          <w:sz w:val="20"/>
          <w:szCs w:val="20"/>
        </w:rPr>
        <w:t>lemented by Part II - Item 1A of this 10-Q Report.</w:t>
      </w:r>
    </w:p>
    <w:p w14:paraId="1A3BDEC8" w14:textId="77777777" w:rsidR="00000000" w:rsidRDefault="000A3118">
      <w:pPr>
        <w:ind w:firstLine="360"/>
        <w:jc w:val="both"/>
        <w:rPr>
          <w:rFonts w:eastAsia="Times New Roman"/>
        </w:rPr>
      </w:pPr>
    </w:p>
    <w:p w14:paraId="05DE69F7" w14:textId="77777777" w:rsidR="00000000" w:rsidRDefault="000A3118">
      <w:pPr>
        <w:ind w:firstLine="360"/>
        <w:jc w:val="both"/>
        <w:rPr>
          <w:rFonts w:eastAsia="Times New Roman"/>
        </w:rPr>
      </w:pPr>
      <w:r>
        <w:rPr>
          <w:rFonts w:eastAsia="Times New Roman"/>
          <w:b/>
          <w:bCs/>
          <w:color w:val="000000"/>
          <w:sz w:val="20"/>
          <w:szCs w:val="20"/>
        </w:rPr>
        <w:t>Forward-Looking Statements</w:t>
      </w:r>
    </w:p>
    <w:p w14:paraId="4093CAE6" w14:textId="77777777" w:rsidR="00000000" w:rsidRDefault="000A3118">
      <w:pPr>
        <w:ind w:firstLine="360"/>
        <w:jc w:val="both"/>
        <w:rPr>
          <w:rFonts w:eastAsia="Times New Roman"/>
        </w:rPr>
      </w:pPr>
      <w:r>
        <w:rPr>
          <w:rFonts w:eastAsia="Times New Roman"/>
          <w:color w:val="000000"/>
          <w:sz w:val="20"/>
          <w:szCs w:val="20"/>
        </w:rPr>
        <w:t> </w:t>
      </w:r>
    </w:p>
    <w:p w14:paraId="00DBACCE" w14:textId="77777777" w:rsidR="00000000" w:rsidRDefault="000A3118">
      <w:pPr>
        <w:ind w:firstLine="360"/>
        <w:jc w:val="both"/>
        <w:rPr>
          <w:rFonts w:eastAsia="Times New Roman"/>
        </w:rPr>
      </w:pPr>
      <w:r>
        <w:rPr>
          <w:rFonts w:eastAsia="Times New Roman"/>
          <w:color w:val="000000"/>
          <w:sz w:val="20"/>
          <w:szCs w:val="20"/>
        </w:rPr>
        <w:t>This 10-Q Report and the information incorporated by reference in it, or made by us in other reports, filings with the SEC, press releases, teleconferences, industry conferences or otherwise, contain “forward-looking statements” within the meaning of the P</w:t>
      </w:r>
      <w:r>
        <w:rPr>
          <w:rFonts w:eastAsia="Times New Roman"/>
          <w:color w:val="000000"/>
          <w:sz w:val="20"/>
          <w:szCs w:val="20"/>
        </w:rPr>
        <w:t>rivate Securities Litigation Reform Act of 1995. The forward-looking statements include, without limitation, any statement that may predict, forecast, indicate or imply future results, performance or achievements, and may contain the words “believe,” “anti</w:t>
      </w:r>
      <w:r>
        <w:rPr>
          <w:rFonts w:eastAsia="Times New Roman"/>
          <w:color w:val="000000"/>
          <w:sz w:val="20"/>
          <w:szCs w:val="20"/>
        </w:rPr>
        <w:t>cipate,” “expect,” “estimate,” “project,” “could,” “would,” “will,” “will be,” “will continue,” “will likely result,” “plan,” or words or phrases of similar meaning. Specifically, this 10-Q Report includes forward-looking statements about (i) the impact of</w:t>
      </w:r>
      <w:r>
        <w:rPr>
          <w:rFonts w:eastAsia="Times New Roman"/>
          <w:color w:val="000000"/>
          <w:sz w:val="20"/>
          <w:szCs w:val="20"/>
        </w:rPr>
        <w:t xml:space="preserve"> COVID-19 on us and our customers, including our expectations about demand, volume, profitability and the impact of fuel prices, (ii) our expectations regarding the conditions in the aviation, land, and marine markets and their impact on our business, (iii</w:t>
      </w:r>
      <w:r>
        <w:rPr>
          <w:rFonts w:eastAsia="Times New Roman"/>
          <w:color w:val="000000"/>
          <w:sz w:val="20"/>
          <w:szCs w:val="20"/>
        </w:rPr>
        <w:t>) our expectations regarding government-related activity in Afghanistan with the North Atlantic Treaty Organization (NATO) and the impact of the U.S. troop withdrawal, as well as the related profit contribution, (iv) our estimates regarding the expected be</w:t>
      </w:r>
      <w:r>
        <w:rPr>
          <w:rFonts w:eastAsia="Times New Roman"/>
          <w:color w:val="000000"/>
          <w:sz w:val="20"/>
          <w:szCs w:val="20"/>
        </w:rPr>
        <w:t>nefits from our actions to reduce cost and our restructuring initiatives, including the rationalization of our global office footprint, (v) our expectations regarding our working capital, liquidity, capital expenditure requirements, (vi) our expectations a</w:t>
      </w:r>
      <w:r>
        <w:rPr>
          <w:rFonts w:eastAsia="Times New Roman"/>
          <w:color w:val="000000"/>
          <w:sz w:val="20"/>
          <w:szCs w:val="20"/>
        </w:rPr>
        <w:t>nd estimates regarding certain tax, legal and accounting matters, including the impact on our financial statements, (vii) our expectations regarding the financial impact and other benefits of previous acquisitions, including estimates of future expenses an</w:t>
      </w:r>
      <w:r>
        <w:rPr>
          <w:rFonts w:eastAsia="Times New Roman"/>
          <w:color w:val="000000"/>
          <w:sz w:val="20"/>
          <w:szCs w:val="20"/>
        </w:rPr>
        <w:t>d our ability to realize estimated synergies, and (viii) estimates regarding the financial impact of our derivative contracts. These forward-looking statements are qualified in their entirety by cautionary statements and risk factor disclosures contained i</w:t>
      </w:r>
      <w:r>
        <w:rPr>
          <w:rFonts w:eastAsia="Times New Roman"/>
          <w:color w:val="000000"/>
          <w:sz w:val="20"/>
          <w:szCs w:val="20"/>
        </w:rPr>
        <w:t>n our SEC filings.</w:t>
      </w:r>
    </w:p>
    <w:p w14:paraId="068106BF" w14:textId="77777777" w:rsidR="00000000" w:rsidRDefault="000A3118">
      <w:pPr>
        <w:ind w:firstLine="360"/>
        <w:jc w:val="both"/>
        <w:rPr>
          <w:rFonts w:eastAsia="Times New Roman"/>
        </w:rPr>
      </w:pPr>
    </w:p>
    <w:p w14:paraId="1EEC91CD" w14:textId="77777777" w:rsidR="00000000" w:rsidRDefault="000A3118">
      <w:pPr>
        <w:ind w:firstLine="360"/>
        <w:jc w:val="both"/>
        <w:divId w:val="1276912212"/>
        <w:rPr>
          <w:rFonts w:eastAsia="Times New Roman"/>
        </w:rPr>
      </w:pPr>
      <w:r>
        <w:rPr>
          <w:rFonts w:eastAsia="Times New Roman"/>
          <w:color w:val="000000"/>
          <w:sz w:val="20"/>
          <w:szCs w:val="20"/>
        </w:rPr>
        <w:t>These forward-looking statements are estimates and projections reflecting our best judgment and involve risks, uncertainties or other factors relating to our operations and business environment, all of which are difficult to predict an</w:t>
      </w:r>
      <w:r>
        <w:rPr>
          <w:rFonts w:eastAsia="Times New Roman"/>
          <w:color w:val="000000"/>
          <w:sz w:val="20"/>
          <w:szCs w:val="20"/>
        </w:rPr>
        <w:t xml:space="preserve">d many of which are beyond our control. Although we believe that the estimates and projections reflected in the forward-looking statements are reasonable, our expectations may prove to be incorrect. Our actual results may differ materially from the future </w:t>
      </w:r>
      <w:r>
        <w:rPr>
          <w:rFonts w:eastAsia="Times New Roman"/>
          <w:color w:val="000000"/>
          <w:sz w:val="20"/>
          <w:szCs w:val="20"/>
        </w:rPr>
        <w:t>results, performance or achievements expressed or implied by the forward-looking statements.</w:t>
      </w:r>
    </w:p>
    <w:p w14:paraId="74A21E39" w14:textId="77777777" w:rsidR="00000000" w:rsidRDefault="000A3118">
      <w:pPr>
        <w:ind w:firstLine="360"/>
        <w:jc w:val="both"/>
        <w:rPr>
          <w:rFonts w:eastAsia="Times New Roman"/>
        </w:rPr>
      </w:pPr>
      <w:r>
        <w:rPr>
          <w:rFonts w:eastAsia="Times New Roman"/>
          <w:color w:val="000000"/>
          <w:sz w:val="20"/>
          <w:szCs w:val="20"/>
        </w:rPr>
        <w:t>Important factors that could cause actual results to differ materially from the results and events anticipated or implied by such forward-looking statements includ</w:t>
      </w:r>
      <w:r>
        <w:rPr>
          <w:rFonts w:eastAsia="Times New Roman"/>
          <w:color w:val="000000"/>
          <w:sz w:val="20"/>
          <w:szCs w:val="20"/>
        </w:rPr>
        <w:t>e, but are not limited to:</w:t>
      </w:r>
    </w:p>
    <w:p w14:paraId="0A6E6CD4" w14:textId="77777777" w:rsidR="00000000" w:rsidRDefault="000A3118">
      <w:pPr>
        <w:ind w:firstLine="360"/>
        <w:jc w:val="both"/>
        <w:rPr>
          <w:rFonts w:eastAsia="Times New Roman"/>
        </w:rPr>
      </w:pPr>
      <w:r>
        <w:rPr>
          <w:rFonts w:eastAsia="Times New Roman"/>
          <w:color w:val="000000"/>
          <w:sz w:val="20"/>
          <w:szCs w:val="20"/>
        </w:rPr>
        <w:t> </w:t>
      </w:r>
    </w:p>
    <w:p w14:paraId="4951C37A" w14:textId="77777777" w:rsidR="00000000" w:rsidRDefault="000A3118">
      <w:pPr>
        <w:ind w:hanging="360"/>
        <w:jc w:val="both"/>
        <w:divId w:val="1955673608"/>
        <w:rPr>
          <w:rFonts w:eastAsia="Times New Roman"/>
        </w:rPr>
      </w:pPr>
      <w:r>
        <w:rPr>
          <w:rFonts w:ascii="Arial" w:eastAsia="Times New Roman" w:hAnsi="Arial" w:cs="Arial"/>
          <w:color w:val="000000"/>
          <w:sz w:val="20"/>
          <w:szCs w:val="20"/>
        </w:rPr>
        <w:t>•</w:t>
      </w:r>
      <w:r>
        <w:rPr>
          <w:rFonts w:eastAsia="Times New Roman"/>
          <w:color w:val="000000"/>
          <w:sz w:val="20"/>
          <w:szCs w:val="20"/>
        </w:rPr>
        <w:t>customer and counterparty creditworthiness and our ability to collect accounts receivable and settle derivative contracts, particularly for those customers most significantly impacted by the COVID-19 pandemic;</w:t>
      </w:r>
    </w:p>
    <w:p w14:paraId="60C4FD94" w14:textId="77777777" w:rsidR="00000000" w:rsidRDefault="000A3118">
      <w:pPr>
        <w:ind w:hanging="360"/>
        <w:jc w:val="both"/>
        <w:divId w:val="1447627193"/>
        <w:rPr>
          <w:rFonts w:eastAsia="Times New Roman"/>
        </w:rPr>
      </w:pPr>
      <w:r>
        <w:rPr>
          <w:rFonts w:eastAsia="Times New Roman"/>
          <w:color w:val="000000"/>
          <w:sz w:val="20"/>
          <w:szCs w:val="20"/>
        </w:rPr>
        <w:t>•</w:t>
      </w:r>
      <w:r>
        <w:rPr>
          <w:rFonts w:eastAsia="Times New Roman"/>
          <w:color w:val="000000"/>
          <w:sz w:val="20"/>
          <w:szCs w:val="20"/>
        </w:rPr>
        <w:t xml:space="preserve">the extent of the impact of the pandemic, including the duration, spread, severity and scope of related government orders and restrictions, on ours and our customers' sales, profitability, operations and supply chains; </w:t>
      </w:r>
    </w:p>
    <w:p w14:paraId="004103F1" w14:textId="77777777" w:rsidR="00000000" w:rsidRDefault="000A3118">
      <w:pPr>
        <w:ind w:hanging="360"/>
        <w:jc w:val="both"/>
        <w:divId w:val="455026584"/>
        <w:rPr>
          <w:rFonts w:eastAsia="Times New Roman"/>
        </w:rPr>
      </w:pPr>
      <w:r>
        <w:rPr>
          <w:rFonts w:eastAsia="Times New Roman"/>
          <w:color w:val="000000"/>
          <w:sz w:val="20"/>
          <w:szCs w:val="20"/>
        </w:rPr>
        <w:t>•loss of, or reduced sales to a sign</w:t>
      </w:r>
      <w:r>
        <w:rPr>
          <w:rFonts w:eastAsia="Times New Roman"/>
          <w:color w:val="000000"/>
          <w:sz w:val="20"/>
          <w:szCs w:val="20"/>
        </w:rPr>
        <w:t>ificant government customer, such as NATO;</w:t>
      </w:r>
    </w:p>
    <w:p w14:paraId="5940DA9D" w14:textId="77777777" w:rsidR="00000000" w:rsidRDefault="000A3118">
      <w:pPr>
        <w:ind w:hanging="360"/>
        <w:jc w:val="both"/>
        <w:divId w:val="2029407834"/>
        <w:rPr>
          <w:rFonts w:eastAsia="Times New Roman"/>
        </w:rPr>
      </w:pPr>
      <w:r>
        <w:rPr>
          <w:rFonts w:eastAsia="Times New Roman"/>
          <w:color w:val="000000"/>
          <w:sz w:val="20"/>
          <w:szCs w:val="20"/>
        </w:rPr>
        <w:t>•the availability of cash and sufficient liquidity to fund our working capital and strategic investment needs, particularly in light of the impact of the pandemic on the financial markets;</w:t>
      </w:r>
    </w:p>
    <w:p w14:paraId="280F9D5E" w14:textId="77777777" w:rsidR="00000000" w:rsidRDefault="000A3118">
      <w:pPr>
        <w:ind w:hanging="360"/>
        <w:jc w:val="both"/>
        <w:divId w:val="2018843231"/>
        <w:rPr>
          <w:rFonts w:eastAsia="Times New Roman"/>
        </w:rPr>
      </w:pPr>
      <w:r>
        <w:rPr>
          <w:rFonts w:eastAsia="Times New Roman"/>
          <w:color w:val="000000"/>
          <w:sz w:val="20"/>
          <w:szCs w:val="20"/>
        </w:rPr>
        <w:t>•adverse conditions in t</w:t>
      </w:r>
      <w:r>
        <w:rPr>
          <w:rFonts w:eastAsia="Times New Roman"/>
          <w:color w:val="000000"/>
          <w:sz w:val="20"/>
          <w:szCs w:val="20"/>
        </w:rPr>
        <w:t>he industries in which our customers operate such as the current global economic environment as a result of the coronavirus pandemic;</w:t>
      </w:r>
    </w:p>
    <w:p w14:paraId="7A14E953" w14:textId="77777777" w:rsidR="00000000" w:rsidRDefault="000A3118">
      <w:pPr>
        <w:ind w:hanging="360"/>
        <w:jc w:val="both"/>
        <w:divId w:val="1077171393"/>
        <w:rPr>
          <w:rFonts w:eastAsia="Times New Roman"/>
        </w:rPr>
      </w:pPr>
      <w:r>
        <w:rPr>
          <w:rFonts w:eastAsia="Times New Roman"/>
          <w:color w:val="000000"/>
          <w:sz w:val="20"/>
          <w:szCs w:val="20"/>
        </w:rPr>
        <w:t>•sudden changes in the market price of fuel or extremely high or low fuel prices that continue for an extended period of t</w:t>
      </w:r>
      <w:r>
        <w:rPr>
          <w:rFonts w:eastAsia="Times New Roman"/>
          <w:color w:val="000000"/>
          <w:sz w:val="20"/>
          <w:szCs w:val="20"/>
        </w:rPr>
        <w:t>ime;</w:t>
      </w:r>
    </w:p>
    <w:p w14:paraId="0F480E9D" w14:textId="77777777" w:rsidR="00000000" w:rsidRDefault="000A3118">
      <w:pPr>
        <w:ind w:hanging="360"/>
        <w:jc w:val="both"/>
        <w:divId w:val="181826115"/>
        <w:rPr>
          <w:rFonts w:eastAsia="Times New Roman"/>
        </w:rPr>
      </w:pPr>
      <w:r>
        <w:rPr>
          <w:rFonts w:eastAsia="Times New Roman"/>
          <w:color w:val="000000"/>
          <w:sz w:val="20"/>
          <w:szCs w:val="20"/>
        </w:rPr>
        <w:t>•our failure to comply with restrictions and covenants in our senior revolving credit facility (“Credit Facility”) and our senior term loans (“Term Loans”), including our financial covenants;</w:t>
      </w:r>
    </w:p>
    <w:p w14:paraId="5A656172" w14:textId="77777777" w:rsidR="00000000" w:rsidRDefault="000A3118">
      <w:pPr>
        <w:ind w:hanging="360"/>
        <w:jc w:val="both"/>
        <w:divId w:val="741292864"/>
        <w:rPr>
          <w:rFonts w:eastAsia="Times New Roman"/>
        </w:rPr>
      </w:pPr>
      <w:r>
        <w:rPr>
          <w:rFonts w:eastAsia="Times New Roman"/>
          <w:color w:val="000000"/>
          <w:sz w:val="20"/>
          <w:szCs w:val="20"/>
        </w:rPr>
        <w:t>•changes in the political, economic or regulatory environme</w:t>
      </w:r>
      <w:r>
        <w:rPr>
          <w:rFonts w:eastAsia="Times New Roman"/>
          <w:color w:val="000000"/>
          <w:sz w:val="20"/>
          <w:szCs w:val="20"/>
        </w:rPr>
        <w:t>nt generally and in the markets in which we operate, such as IMO 2020 (defined below);</w:t>
      </w:r>
    </w:p>
    <w:p w14:paraId="7E582608" w14:textId="77777777" w:rsidR="00000000" w:rsidRDefault="000A3118">
      <w:pPr>
        <w:ind w:hanging="360"/>
        <w:jc w:val="both"/>
        <w:divId w:val="347175816"/>
        <w:rPr>
          <w:rFonts w:eastAsia="Times New Roman"/>
        </w:rPr>
      </w:pPr>
      <w:r>
        <w:rPr>
          <w:rFonts w:eastAsia="Times New Roman"/>
          <w:color w:val="000000"/>
          <w:sz w:val="20"/>
          <w:szCs w:val="20"/>
        </w:rPr>
        <w:t>•our failure to effectively hedge certain financial risks and other risks associated with derivatives;</w:t>
      </w:r>
    </w:p>
    <w:p w14:paraId="16B7F606" w14:textId="77777777" w:rsidR="00000000" w:rsidRDefault="000A3118">
      <w:pPr>
        <w:ind w:hanging="360"/>
        <w:jc w:val="both"/>
        <w:divId w:val="1213538562"/>
        <w:rPr>
          <w:rFonts w:eastAsia="Times New Roman"/>
        </w:rPr>
      </w:pPr>
      <w:r>
        <w:rPr>
          <w:rFonts w:eastAsia="Times New Roman"/>
          <w:color w:val="000000"/>
          <w:sz w:val="20"/>
          <w:szCs w:val="20"/>
        </w:rPr>
        <w:t>•changes in credit terms extended to us from our suppliers;</w:t>
      </w:r>
    </w:p>
    <w:p w14:paraId="2A65F40F" w14:textId="77777777" w:rsidR="00000000" w:rsidRDefault="000A3118">
      <w:pPr>
        <w:ind w:hanging="360"/>
        <w:jc w:val="both"/>
        <w:divId w:val="1653562351"/>
        <w:rPr>
          <w:rFonts w:eastAsia="Times New Roman"/>
        </w:rPr>
      </w:pPr>
      <w:r>
        <w:rPr>
          <w:rFonts w:eastAsia="Times New Roman"/>
          <w:color w:val="000000"/>
          <w:sz w:val="20"/>
          <w:szCs w:val="20"/>
        </w:rPr>
        <w:t>•non-p</w:t>
      </w:r>
      <w:r>
        <w:rPr>
          <w:rFonts w:eastAsia="Times New Roman"/>
          <w:color w:val="000000"/>
          <w:sz w:val="20"/>
          <w:szCs w:val="20"/>
        </w:rPr>
        <w:t>erformance of suppliers on their sale commitments and customers on their purchase commitments;</w:t>
      </w:r>
    </w:p>
    <w:p w14:paraId="2450BFEA" w14:textId="77777777" w:rsidR="00000000" w:rsidRDefault="000A3118">
      <w:pPr>
        <w:ind w:hanging="360"/>
        <w:jc w:val="both"/>
        <w:divId w:val="262613421"/>
        <w:rPr>
          <w:rFonts w:eastAsia="Times New Roman"/>
        </w:rPr>
      </w:pPr>
      <w:r>
        <w:rPr>
          <w:rFonts w:eastAsia="Times New Roman"/>
          <w:color w:val="000000"/>
          <w:sz w:val="20"/>
          <w:szCs w:val="20"/>
        </w:rPr>
        <w:t>•non-performance of third-party service providers;</w:t>
      </w:r>
    </w:p>
    <w:p w14:paraId="48DF2D07" w14:textId="77777777" w:rsidR="00000000" w:rsidRDefault="000A3118">
      <w:pPr>
        <w:jc w:val="center"/>
        <w:divId w:val="1811440886"/>
        <w:rPr>
          <w:rFonts w:eastAsia="Times New Roman"/>
        </w:rPr>
      </w:pPr>
      <w:r>
        <w:rPr>
          <w:rFonts w:eastAsia="Times New Roman"/>
          <w:color w:val="000000"/>
          <w:sz w:val="20"/>
          <w:szCs w:val="20"/>
        </w:rPr>
        <w:t>25</w:t>
      </w:r>
    </w:p>
    <w:p w14:paraId="34CF4826" w14:textId="77777777" w:rsidR="00000000" w:rsidRDefault="000A3118">
      <w:pPr>
        <w:rPr>
          <w:rFonts w:eastAsia="Times New Roman"/>
        </w:rPr>
      </w:pPr>
      <w:r>
        <w:rPr>
          <w:rFonts w:eastAsia="Times New Roman"/>
        </w:rPr>
        <w:pict w14:anchorId="16ABECCD">
          <v:rect id="_x0000_i1053" style="width:0;height:1.5pt" o:hralign="center" o:hrstd="t" o:hr="t" fillcolor="#a0a0a0" stroked="f"/>
        </w:pict>
      </w:r>
    </w:p>
    <w:p w14:paraId="0F0FB525" w14:textId="77777777" w:rsidR="00000000" w:rsidRDefault="000A3118">
      <w:pPr>
        <w:divId w:val="9450995"/>
        <w:rPr>
          <w:rFonts w:eastAsia="Times New Roman"/>
        </w:rPr>
      </w:pPr>
    </w:p>
    <w:p w14:paraId="68A51006" w14:textId="77777777" w:rsidR="00000000" w:rsidRDefault="000A3118">
      <w:pPr>
        <w:ind w:hanging="360"/>
        <w:jc w:val="both"/>
        <w:divId w:val="1713922980"/>
        <w:rPr>
          <w:rFonts w:eastAsia="Times New Roman"/>
        </w:rPr>
      </w:pPr>
      <w:r>
        <w:rPr>
          <w:rFonts w:eastAsia="Times New Roman"/>
          <w:color w:val="000000"/>
          <w:sz w:val="20"/>
          <w:szCs w:val="20"/>
        </w:rPr>
        <w:t>•our ability to meet financial forecasts associated with our operati</w:t>
      </w:r>
      <w:r>
        <w:rPr>
          <w:rFonts w:eastAsia="Times New Roman"/>
          <w:color w:val="000000"/>
          <w:sz w:val="20"/>
          <w:szCs w:val="20"/>
        </w:rPr>
        <w:t>ng plan;</w:t>
      </w:r>
    </w:p>
    <w:p w14:paraId="1F64B03D" w14:textId="77777777" w:rsidR="00000000" w:rsidRDefault="000A3118">
      <w:pPr>
        <w:ind w:hanging="360"/>
        <w:jc w:val="both"/>
        <w:divId w:val="739063227"/>
        <w:rPr>
          <w:rFonts w:eastAsia="Times New Roman"/>
        </w:rPr>
      </w:pPr>
      <w:r>
        <w:rPr>
          <w:rFonts w:eastAsia="Times New Roman"/>
          <w:color w:val="000000"/>
          <w:sz w:val="20"/>
          <w:szCs w:val="20"/>
        </w:rPr>
        <w:t>•lower than expected valuations associated with our cash flows and revenues, which could impair our ability to realize the value of recorded intangible assets and goodwill;</w:t>
      </w:r>
    </w:p>
    <w:p w14:paraId="74C9E9E0" w14:textId="77777777" w:rsidR="00000000" w:rsidRDefault="000A3118">
      <w:pPr>
        <w:ind w:hanging="360"/>
        <w:jc w:val="both"/>
        <w:divId w:val="1466196212"/>
        <w:rPr>
          <w:rFonts w:eastAsia="Times New Roman"/>
        </w:rPr>
      </w:pPr>
      <w:r>
        <w:rPr>
          <w:rFonts w:eastAsia="Times New Roman"/>
          <w:color w:val="000000"/>
          <w:sz w:val="20"/>
          <w:szCs w:val="20"/>
        </w:rPr>
        <w:t>•the impact of cyber and other information security-related incidents;</w:t>
      </w:r>
    </w:p>
    <w:p w14:paraId="011E2ECA" w14:textId="77777777" w:rsidR="00000000" w:rsidRDefault="000A3118">
      <w:pPr>
        <w:ind w:hanging="360"/>
        <w:jc w:val="both"/>
        <w:divId w:val="62143473"/>
        <w:rPr>
          <w:rFonts w:eastAsia="Times New Roman"/>
        </w:rPr>
      </w:pPr>
      <w:r>
        <w:rPr>
          <w:rFonts w:eastAsia="Times New Roman"/>
          <w:color w:val="000000"/>
          <w:sz w:val="20"/>
          <w:szCs w:val="20"/>
        </w:rPr>
        <w:t>•cu</w:t>
      </w:r>
      <w:r>
        <w:rPr>
          <w:rFonts w:eastAsia="Times New Roman"/>
          <w:color w:val="000000"/>
          <w:sz w:val="20"/>
          <w:szCs w:val="20"/>
        </w:rPr>
        <w:t>rrency exchange fluctuations and the impacts associated with Brexit;</w:t>
      </w:r>
    </w:p>
    <w:p w14:paraId="7DF5AAF5" w14:textId="77777777" w:rsidR="00000000" w:rsidRDefault="000A3118">
      <w:pPr>
        <w:ind w:hanging="360"/>
        <w:jc w:val="both"/>
        <w:divId w:val="442965291"/>
        <w:rPr>
          <w:rFonts w:eastAsia="Times New Roman"/>
        </w:rPr>
      </w:pPr>
      <w:r>
        <w:rPr>
          <w:rFonts w:eastAsia="Times New Roman"/>
          <w:color w:val="000000"/>
          <w:sz w:val="20"/>
          <w:szCs w:val="20"/>
        </w:rPr>
        <w:t xml:space="preserve">•ability to effectively leverage technology and operating systems and realize the anticipated benefits; </w:t>
      </w:r>
    </w:p>
    <w:p w14:paraId="54AC8652" w14:textId="77777777" w:rsidR="00000000" w:rsidRDefault="000A3118">
      <w:pPr>
        <w:ind w:hanging="360"/>
        <w:jc w:val="both"/>
        <w:divId w:val="463237779"/>
        <w:rPr>
          <w:rFonts w:eastAsia="Times New Roman"/>
        </w:rPr>
      </w:pPr>
      <w:r>
        <w:rPr>
          <w:rFonts w:eastAsia="Times New Roman"/>
          <w:color w:val="000000"/>
          <w:sz w:val="20"/>
          <w:szCs w:val="20"/>
        </w:rPr>
        <w:t>•failure of fuel and other products we sell to meet specifications;</w:t>
      </w:r>
    </w:p>
    <w:p w14:paraId="79A9CCD4" w14:textId="77777777" w:rsidR="00000000" w:rsidRDefault="000A3118">
      <w:pPr>
        <w:ind w:hanging="360"/>
        <w:jc w:val="both"/>
        <w:divId w:val="165175327"/>
        <w:rPr>
          <w:rFonts w:eastAsia="Times New Roman"/>
        </w:rPr>
      </w:pPr>
      <w:r>
        <w:rPr>
          <w:rFonts w:eastAsia="Times New Roman"/>
          <w:color w:val="000000"/>
          <w:sz w:val="20"/>
          <w:szCs w:val="20"/>
        </w:rPr>
        <w:t>•our ability t</w:t>
      </w:r>
      <w:r>
        <w:rPr>
          <w:rFonts w:eastAsia="Times New Roman"/>
          <w:color w:val="000000"/>
          <w:sz w:val="20"/>
          <w:szCs w:val="20"/>
        </w:rPr>
        <w:t>o effectively integrate and derive benefits from acquired businesses;</w:t>
      </w:r>
    </w:p>
    <w:p w14:paraId="0223E771" w14:textId="77777777" w:rsidR="00000000" w:rsidRDefault="000A3118">
      <w:pPr>
        <w:ind w:hanging="360"/>
        <w:jc w:val="both"/>
        <w:divId w:val="825828908"/>
        <w:rPr>
          <w:rFonts w:eastAsia="Times New Roman"/>
        </w:rPr>
      </w:pPr>
      <w:r>
        <w:rPr>
          <w:rFonts w:eastAsia="Times New Roman"/>
          <w:color w:val="000000"/>
          <w:sz w:val="20"/>
          <w:szCs w:val="20"/>
        </w:rPr>
        <w:t>•our ability to achieve the expected level of benefit from our restructuring activities and cost reduction initiatives;</w:t>
      </w:r>
    </w:p>
    <w:p w14:paraId="3672886F" w14:textId="77777777" w:rsidR="00000000" w:rsidRDefault="000A3118">
      <w:pPr>
        <w:jc w:val="both"/>
        <w:divId w:val="1901625110"/>
        <w:rPr>
          <w:rFonts w:eastAsia="Times New Roman"/>
        </w:rPr>
      </w:pPr>
      <w:r>
        <w:rPr>
          <w:rFonts w:eastAsia="Times New Roman"/>
          <w:color w:val="000000"/>
          <w:sz w:val="20"/>
          <w:szCs w:val="20"/>
        </w:rPr>
        <w:t>•environmental and other risks associated with the storage, transp</w:t>
      </w:r>
      <w:r>
        <w:rPr>
          <w:rFonts w:eastAsia="Times New Roman"/>
          <w:color w:val="000000"/>
          <w:sz w:val="20"/>
          <w:szCs w:val="20"/>
        </w:rPr>
        <w:t>ortation and delivery of petroleum products;</w:t>
      </w:r>
    </w:p>
    <w:p w14:paraId="62E8CE82" w14:textId="77777777" w:rsidR="00000000" w:rsidRDefault="000A3118">
      <w:pPr>
        <w:ind w:hanging="360"/>
        <w:jc w:val="both"/>
        <w:divId w:val="202836404"/>
        <w:rPr>
          <w:rFonts w:eastAsia="Times New Roman"/>
        </w:rPr>
      </w:pPr>
      <w:r>
        <w:rPr>
          <w:rFonts w:eastAsia="Times New Roman"/>
          <w:color w:val="000000"/>
          <w:sz w:val="20"/>
          <w:szCs w:val="20"/>
        </w:rPr>
        <w:t>•risks associated with operating in high-risk locations, including supply disruptions, border closures and other logistical difficulties that arise when working in these areas;</w:t>
      </w:r>
    </w:p>
    <w:p w14:paraId="18474D50" w14:textId="77777777" w:rsidR="00000000" w:rsidRDefault="000A3118">
      <w:pPr>
        <w:ind w:hanging="360"/>
        <w:jc w:val="both"/>
        <w:divId w:val="1010529305"/>
        <w:rPr>
          <w:rFonts w:eastAsia="Times New Roman"/>
        </w:rPr>
      </w:pPr>
      <w:r>
        <w:rPr>
          <w:rFonts w:eastAsia="Times New Roman"/>
          <w:color w:val="000000"/>
          <w:sz w:val="20"/>
          <w:szCs w:val="20"/>
        </w:rPr>
        <w:t>•uninsured losses;</w:t>
      </w:r>
    </w:p>
    <w:p w14:paraId="026DA1C0" w14:textId="77777777" w:rsidR="00000000" w:rsidRDefault="000A3118">
      <w:pPr>
        <w:ind w:hanging="360"/>
        <w:jc w:val="both"/>
        <w:divId w:val="495535438"/>
        <w:rPr>
          <w:rFonts w:eastAsia="Times New Roman"/>
        </w:rPr>
      </w:pPr>
      <w:r>
        <w:rPr>
          <w:rFonts w:eastAsia="Times New Roman"/>
          <w:color w:val="000000"/>
          <w:sz w:val="20"/>
          <w:szCs w:val="20"/>
        </w:rPr>
        <w:t xml:space="preserve">•the impact of </w:t>
      </w:r>
      <w:r>
        <w:rPr>
          <w:rFonts w:eastAsia="Times New Roman"/>
          <w:color w:val="000000"/>
          <w:sz w:val="20"/>
          <w:szCs w:val="20"/>
        </w:rPr>
        <w:t>natural disasters, such as earthquakes and hurricanes;</w:t>
      </w:r>
    </w:p>
    <w:p w14:paraId="42E2F241" w14:textId="77777777" w:rsidR="00000000" w:rsidRDefault="000A3118">
      <w:pPr>
        <w:ind w:hanging="360"/>
        <w:jc w:val="both"/>
        <w:divId w:val="1269972765"/>
        <w:rPr>
          <w:rFonts w:eastAsia="Times New Roman"/>
        </w:rPr>
      </w:pPr>
      <w:r>
        <w:rPr>
          <w:rFonts w:eastAsia="Times New Roman"/>
          <w:color w:val="000000"/>
          <w:sz w:val="20"/>
          <w:szCs w:val="20"/>
        </w:rPr>
        <w:t>•seasonal variability that adversely affects our revenues and operating results;</w:t>
      </w:r>
    </w:p>
    <w:p w14:paraId="1774879A" w14:textId="77777777" w:rsidR="00000000" w:rsidRDefault="000A3118">
      <w:pPr>
        <w:ind w:hanging="360"/>
        <w:jc w:val="both"/>
        <w:divId w:val="1696152729"/>
        <w:rPr>
          <w:rFonts w:eastAsia="Times New Roman"/>
        </w:rPr>
      </w:pPr>
      <w:r>
        <w:rPr>
          <w:rFonts w:eastAsia="Times New Roman"/>
          <w:color w:val="000000"/>
          <w:sz w:val="20"/>
          <w:szCs w:val="20"/>
        </w:rPr>
        <w:t>•</w:t>
      </w:r>
      <w:r>
        <w:rPr>
          <w:rFonts w:eastAsia="Times New Roman"/>
          <w:color w:val="000000"/>
          <w:sz w:val="20"/>
          <w:szCs w:val="20"/>
        </w:rPr>
        <w:t>declines in the value and liquidity of cash equivalents and investments;</w:t>
      </w:r>
    </w:p>
    <w:p w14:paraId="6C82DD35" w14:textId="77777777" w:rsidR="00000000" w:rsidRDefault="000A3118">
      <w:pPr>
        <w:ind w:hanging="360"/>
        <w:jc w:val="both"/>
        <w:divId w:val="1542011728"/>
        <w:rPr>
          <w:rFonts w:eastAsia="Times New Roman"/>
        </w:rPr>
      </w:pPr>
      <w:r>
        <w:rPr>
          <w:rFonts w:eastAsia="Times New Roman"/>
          <w:color w:val="000000"/>
          <w:sz w:val="20"/>
          <w:szCs w:val="20"/>
        </w:rPr>
        <w:t>•our ability to retain and attract senior management and other key employees;</w:t>
      </w:r>
    </w:p>
    <w:p w14:paraId="736D3848" w14:textId="77777777" w:rsidR="00000000" w:rsidRDefault="000A3118">
      <w:pPr>
        <w:ind w:hanging="360"/>
        <w:jc w:val="both"/>
        <w:divId w:val="100802132"/>
        <w:rPr>
          <w:rFonts w:eastAsia="Times New Roman"/>
        </w:rPr>
      </w:pPr>
      <w:r>
        <w:rPr>
          <w:rFonts w:eastAsia="Times New Roman"/>
          <w:color w:val="000000"/>
          <w:sz w:val="20"/>
          <w:szCs w:val="20"/>
        </w:rPr>
        <w:t>•changes in U.S. or foreign tax laws (including the Tax Cuts and Jobs Act), interpretations of such laws,</w:t>
      </w:r>
      <w:r>
        <w:rPr>
          <w:rFonts w:eastAsia="Times New Roman"/>
          <w:color w:val="000000"/>
          <w:sz w:val="20"/>
          <w:szCs w:val="20"/>
        </w:rPr>
        <w:t xml:space="preserve"> changes in the mix of taxable income among different tax jurisdictions, or adverse results of tax audits, assessments, or disputes;</w:t>
      </w:r>
    </w:p>
    <w:p w14:paraId="40151014" w14:textId="77777777" w:rsidR="00000000" w:rsidRDefault="000A3118">
      <w:pPr>
        <w:ind w:hanging="360"/>
        <w:jc w:val="both"/>
        <w:divId w:val="433866467"/>
        <w:rPr>
          <w:rFonts w:eastAsia="Times New Roman"/>
        </w:rPr>
      </w:pPr>
      <w:r>
        <w:rPr>
          <w:rFonts w:eastAsia="Times New Roman"/>
          <w:color w:val="000000"/>
          <w:sz w:val="20"/>
          <w:szCs w:val="20"/>
        </w:rPr>
        <w:t>•our failure to generate sufficient future taxable income in jurisdictions with material deferred tax assets and net operat</w:t>
      </w:r>
      <w:r>
        <w:rPr>
          <w:rFonts w:eastAsia="Times New Roman"/>
          <w:color w:val="000000"/>
          <w:sz w:val="20"/>
          <w:szCs w:val="20"/>
        </w:rPr>
        <w:t>ing loss carryforwards;</w:t>
      </w:r>
    </w:p>
    <w:p w14:paraId="031694BA" w14:textId="77777777" w:rsidR="00000000" w:rsidRDefault="000A3118">
      <w:pPr>
        <w:ind w:hanging="360"/>
        <w:jc w:val="both"/>
        <w:divId w:val="347566681"/>
        <w:rPr>
          <w:rFonts w:eastAsia="Times New Roman"/>
        </w:rPr>
      </w:pPr>
      <w:r>
        <w:rPr>
          <w:rFonts w:eastAsia="Times New Roman"/>
          <w:color w:val="000000"/>
          <w:sz w:val="20"/>
          <w:szCs w:val="20"/>
        </w:rPr>
        <w:t>•the impact of the U.K.’s exit from the European Union, known as Brexit, on our business, operations and financial condition;</w:t>
      </w:r>
    </w:p>
    <w:p w14:paraId="145465A9" w14:textId="77777777" w:rsidR="00000000" w:rsidRDefault="000A3118">
      <w:pPr>
        <w:ind w:hanging="360"/>
        <w:jc w:val="both"/>
        <w:divId w:val="2004234348"/>
        <w:rPr>
          <w:rFonts w:eastAsia="Times New Roman"/>
        </w:rPr>
      </w:pPr>
      <w:r>
        <w:rPr>
          <w:rFonts w:eastAsia="Times New Roman"/>
          <w:color w:val="000000"/>
          <w:sz w:val="20"/>
          <w:szCs w:val="20"/>
        </w:rPr>
        <w:t>•our ability to comply with U.S. and international laws and regulations including those related to anti-co</w:t>
      </w:r>
      <w:r>
        <w:rPr>
          <w:rFonts w:eastAsia="Times New Roman"/>
          <w:color w:val="000000"/>
          <w:sz w:val="20"/>
          <w:szCs w:val="20"/>
        </w:rPr>
        <w:t>rruption, economic sanction programs and environmental matters;</w:t>
      </w:r>
    </w:p>
    <w:p w14:paraId="04CCBFD2" w14:textId="77777777" w:rsidR="00000000" w:rsidRDefault="000A3118">
      <w:pPr>
        <w:ind w:hanging="360"/>
        <w:jc w:val="both"/>
        <w:divId w:val="866409491"/>
        <w:rPr>
          <w:rFonts w:eastAsia="Times New Roman"/>
        </w:rPr>
      </w:pPr>
      <w:r>
        <w:rPr>
          <w:rFonts w:eastAsia="Times New Roman"/>
          <w:color w:val="000000"/>
          <w:sz w:val="20"/>
          <w:szCs w:val="20"/>
        </w:rPr>
        <w:t>•the outcome of litigation and other proceedings, including the costs associated in defending any actions;</w:t>
      </w:r>
    </w:p>
    <w:p w14:paraId="3DE780FA" w14:textId="77777777" w:rsidR="00000000" w:rsidRDefault="000A3118">
      <w:pPr>
        <w:ind w:hanging="360"/>
        <w:jc w:val="both"/>
        <w:divId w:val="1481848427"/>
        <w:rPr>
          <w:rFonts w:eastAsia="Times New Roman"/>
        </w:rPr>
      </w:pPr>
      <w:r>
        <w:rPr>
          <w:rFonts w:eastAsia="Times New Roman"/>
          <w:color w:val="000000"/>
          <w:sz w:val="20"/>
          <w:szCs w:val="20"/>
        </w:rPr>
        <w:t>•increases in interest rates; and</w:t>
      </w:r>
    </w:p>
    <w:p w14:paraId="754BDEAB" w14:textId="77777777" w:rsidR="00000000" w:rsidRDefault="000A3118">
      <w:pPr>
        <w:ind w:hanging="360"/>
        <w:divId w:val="1059355059"/>
        <w:rPr>
          <w:rFonts w:eastAsia="Times New Roman"/>
        </w:rPr>
      </w:pPr>
      <w:r>
        <w:rPr>
          <w:rFonts w:eastAsia="Times New Roman"/>
          <w:color w:val="000000"/>
          <w:sz w:val="20"/>
          <w:szCs w:val="20"/>
        </w:rPr>
        <w:t xml:space="preserve">•other risks, including those described in Item 1A </w:t>
      </w:r>
      <w:r>
        <w:rPr>
          <w:rFonts w:eastAsia="Times New Roman"/>
          <w:color w:val="000000"/>
          <w:sz w:val="20"/>
          <w:szCs w:val="20"/>
        </w:rPr>
        <w:t>- Risk Factors in our 2019 10-K Report, Part II, Item 1A of this 10-Q Report, as well as those described from time to time in our other filings with the SEC.</w:t>
      </w:r>
    </w:p>
    <w:p w14:paraId="7AAA3CE1" w14:textId="77777777" w:rsidR="00000000" w:rsidRDefault="000A3118">
      <w:pPr>
        <w:ind w:firstLine="720"/>
        <w:jc w:val="both"/>
        <w:rPr>
          <w:rFonts w:eastAsia="Times New Roman"/>
        </w:rPr>
      </w:pPr>
      <w:r>
        <w:rPr>
          <w:rFonts w:eastAsia="Times New Roman"/>
          <w:color w:val="000000"/>
          <w:sz w:val="20"/>
          <w:szCs w:val="20"/>
        </w:rPr>
        <w:t> </w:t>
      </w:r>
    </w:p>
    <w:p w14:paraId="6FEE8031" w14:textId="77777777" w:rsidR="00000000" w:rsidRDefault="000A3118">
      <w:pPr>
        <w:ind w:firstLine="360"/>
        <w:jc w:val="both"/>
        <w:rPr>
          <w:rFonts w:eastAsia="Times New Roman"/>
        </w:rPr>
      </w:pPr>
      <w:r>
        <w:rPr>
          <w:rFonts w:eastAsia="Times New Roman"/>
          <w:color w:val="000000"/>
          <w:sz w:val="20"/>
          <w:szCs w:val="20"/>
        </w:rPr>
        <w:t>We operate in a very competitive and rapidly changing environment. New risks emerge from time to</w:t>
      </w:r>
      <w:r>
        <w:rPr>
          <w:rFonts w:eastAsia="Times New Roman"/>
          <w:color w:val="000000"/>
          <w:sz w:val="20"/>
          <w:szCs w:val="20"/>
        </w:rPr>
        <w:t xml:space="preserve"> time. It is not possible for us to predict all of those risks, nor can we assess the impact of all of those risks on our business or the extent to which any factor may cause actual results to differ materially from those contained in any forward-looking s</w:t>
      </w:r>
      <w:r>
        <w:rPr>
          <w:rFonts w:eastAsia="Times New Roman"/>
          <w:color w:val="000000"/>
          <w:sz w:val="20"/>
          <w:szCs w:val="20"/>
        </w:rPr>
        <w:t>tatement. Further, forward-looking statements speak only as of the date they are made, and unless required by law, we expressly disclaim any obligation or undertaking to publicly update any of them in light of new information, future events, or otherwise. </w:t>
      </w:r>
      <w:r>
        <w:rPr>
          <w:rFonts w:eastAsia="Times New Roman"/>
          <w:color w:val="000000"/>
          <w:sz w:val="20"/>
          <w:szCs w:val="20"/>
        </w:rPr>
        <w:t>Any public statements or disclosures by us following this report that modify or impact any of the forward-looking statements contained in or accompanying this 10-Q Report will be deemed to modify or supersede such forward-looking statements.</w:t>
      </w:r>
    </w:p>
    <w:p w14:paraId="2BB8CCC4" w14:textId="77777777" w:rsidR="00000000" w:rsidRDefault="000A3118">
      <w:pPr>
        <w:ind w:firstLine="1080"/>
        <w:jc w:val="both"/>
        <w:rPr>
          <w:rFonts w:eastAsia="Times New Roman"/>
        </w:rPr>
      </w:pPr>
      <w:r>
        <w:rPr>
          <w:rFonts w:eastAsia="Times New Roman"/>
          <w:color w:val="000000"/>
          <w:sz w:val="20"/>
          <w:szCs w:val="20"/>
        </w:rPr>
        <w:t> </w:t>
      </w:r>
    </w:p>
    <w:p w14:paraId="6B944382" w14:textId="77777777" w:rsidR="00000000" w:rsidRDefault="000A3118">
      <w:pPr>
        <w:ind w:firstLine="360"/>
        <w:jc w:val="both"/>
        <w:rPr>
          <w:rFonts w:eastAsia="Times New Roman"/>
        </w:rPr>
      </w:pPr>
      <w:r>
        <w:rPr>
          <w:rFonts w:eastAsia="Times New Roman"/>
          <w:color w:val="000000"/>
          <w:sz w:val="20"/>
          <w:szCs w:val="20"/>
        </w:rPr>
        <w:t>For these statements, we claim the protection of the safe harbor for forward-looking statements contained in Section 27A of the Securities Act of 1933, as amended, and Section 21E of the Securities Exchange Act, as amended (the “Exchange Act”). </w:t>
      </w:r>
    </w:p>
    <w:p w14:paraId="31EEB6EE" w14:textId="77777777" w:rsidR="00000000" w:rsidRDefault="000A3118">
      <w:pPr>
        <w:ind w:firstLine="360"/>
        <w:jc w:val="both"/>
        <w:rPr>
          <w:rFonts w:eastAsia="Times New Roman"/>
        </w:rPr>
      </w:pPr>
      <w:r>
        <w:rPr>
          <w:rFonts w:eastAsia="Times New Roman"/>
          <w:color w:val="000000"/>
          <w:sz w:val="20"/>
          <w:szCs w:val="20"/>
        </w:rPr>
        <w:t> </w:t>
      </w:r>
    </w:p>
    <w:p w14:paraId="2DECA719" w14:textId="77777777" w:rsidR="00000000" w:rsidRDefault="000A3118">
      <w:pPr>
        <w:jc w:val="center"/>
        <w:divId w:val="1666124875"/>
        <w:rPr>
          <w:rFonts w:eastAsia="Times New Roman"/>
        </w:rPr>
      </w:pPr>
      <w:r>
        <w:rPr>
          <w:rFonts w:eastAsia="Times New Roman"/>
          <w:color w:val="000000"/>
          <w:sz w:val="20"/>
          <w:szCs w:val="20"/>
        </w:rPr>
        <w:t>26</w:t>
      </w:r>
    </w:p>
    <w:p w14:paraId="6AD32D5E" w14:textId="77777777" w:rsidR="00000000" w:rsidRDefault="000A3118">
      <w:pPr>
        <w:rPr>
          <w:rFonts w:eastAsia="Times New Roman"/>
        </w:rPr>
      </w:pPr>
      <w:r>
        <w:rPr>
          <w:rFonts w:eastAsia="Times New Roman"/>
        </w:rPr>
        <w:pict w14:anchorId="5CA82F84">
          <v:rect id="_x0000_i1054" style="width:0;height:1.5pt" o:hralign="center" o:hrstd="t" o:hr="t" fillcolor="#a0a0a0" stroked="f"/>
        </w:pict>
      </w:r>
    </w:p>
    <w:p w14:paraId="42804D55" w14:textId="77777777" w:rsidR="00000000" w:rsidRDefault="000A3118">
      <w:pPr>
        <w:divId w:val="874467049"/>
        <w:rPr>
          <w:rFonts w:eastAsia="Times New Roman"/>
        </w:rPr>
      </w:pPr>
    </w:p>
    <w:p w14:paraId="4F239C28" w14:textId="77777777" w:rsidR="00000000" w:rsidRDefault="000A3118">
      <w:pPr>
        <w:ind w:firstLine="360"/>
        <w:jc w:val="both"/>
        <w:rPr>
          <w:rFonts w:eastAsia="Times New Roman"/>
        </w:rPr>
      </w:pPr>
      <w:r>
        <w:rPr>
          <w:rFonts w:eastAsia="Times New Roman"/>
          <w:b/>
          <w:bCs/>
          <w:color w:val="000000"/>
          <w:sz w:val="20"/>
          <w:szCs w:val="20"/>
        </w:rPr>
        <w:t>Business Overview</w:t>
      </w:r>
    </w:p>
    <w:p w14:paraId="242A820D" w14:textId="77777777" w:rsidR="00000000" w:rsidRDefault="000A3118">
      <w:pPr>
        <w:jc w:val="both"/>
        <w:rPr>
          <w:rFonts w:eastAsia="Times New Roman"/>
        </w:rPr>
      </w:pPr>
      <w:r>
        <w:rPr>
          <w:rFonts w:eastAsia="Times New Roman"/>
          <w:color w:val="000000"/>
          <w:sz w:val="20"/>
          <w:szCs w:val="20"/>
        </w:rPr>
        <w:t> </w:t>
      </w:r>
    </w:p>
    <w:p w14:paraId="0DCBE632" w14:textId="77777777" w:rsidR="00000000" w:rsidRDefault="000A3118">
      <w:pPr>
        <w:ind w:firstLine="360"/>
        <w:jc w:val="both"/>
        <w:rPr>
          <w:rFonts w:eastAsia="Times New Roman"/>
        </w:rPr>
      </w:pPr>
      <w:r>
        <w:rPr>
          <w:rFonts w:eastAsia="Times New Roman"/>
          <w:color w:val="000000"/>
          <w:sz w:val="20"/>
          <w:szCs w:val="20"/>
        </w:rPr>
        <w:t>We are a leading global fuel services company, principally engaged in the distribution of fuel and related products and services in the aviation, land and marine transportation industries. In recent yea</w:t>
      </w:r>
      <w:r>
        <w:rPr>
          <w:rFonts w:eastAsia="Times New Roman"/>
          <w:color w:val="000000"/>
          <w:sz w:val="20"/>
          <w:szCs w:val="20"/>
        </w:rPr>
        <w:t>rs, we have expanded our land product and service offerings to include energy advisory services and supply fulfillment for natural gas and power to commercial, industrial and government customers. Our intention is to become a leading global energy manageme</w:t>
      </w:r>
      <w:r>
        <w:rPr>
          <w:rFonts w:eastAsia="Times New Roman"/>
          <w:color w:val="000000"/>
          <w:sz w:val="20"/>
          <w:szCs w:val="20"/>
        </w:rPr>
        <w:t>nt company offering a full suite of energy advisory, management and fulfillment services, technology solutions, as well as sustainability products and services across the energy product spectrum. We also offer payment management solutions, principally in t</w:t>
      </w:r>
      <w:r>
        <w:rPr>
          <w:rFonts w:eastAsia="Times New Roman"/>
          <w:color w:val="000000"/>
          <w:sz w:val="20"/>
          <w:szCs w:val="20"/>
        </w:rPr>
        <w:t>he aviation industry. We will continue to focus on enhancing the portfolio of products and services we provide based on changes in customer demand, including sustainability offerings and renewable energy solutions.</w:t>
      </w:r>
    </w:p>
    <w:p w14:paraId="624ACBDA" w14:textId="77777777" w:rsidR="00000000" w:rsidRDefault="000A3118">
      <w:pPr>
        <w:ind w:firstLine="360"/>
        <w:jc w:val="both"/>
        <w:rPr>
          <w:rFonts w:eastAsia="Times New Roman"/>
        </w:rPr>
      </w:pPr>
    </w:p>
    <w:p w14:paraId="6A7B532B" w14:textId="77777777" w:rsidR="00000000" w:rsidRDefault="000A3118">
      <w:pPr>
        <w:ind w:firstLine="360"/>
        <w:jc w:val="both"/>
        <w:rPr>
          <w:rFonts w:eastAsia="Times New Roman"/>
        </w:rPr>
      </w:pPr>
      <w:r>
        <w:rPr>
          <w:rFonts w:eastAsia="Times New Roman"/>
          <w:b/>
          <w:bCs/>
          <w:color w:val="000000"/>
          <w:sz w:val="20"/>
          <w:szCs w:val="20"/>
        </w:rPr>
        <w:t>COVID-19</w:t>
      </w:r>
    </w:p>
    <w:p w14:paraId="183284D2" w14:textId="77777777" w:rsidR="00000000" w:rsidRDefault="000A3118">
      <w:pPr>
        <w:ind w:firstLine="360"/>
        <w:jc w:val="both"/>
        <w:rPr>
          <w:rFonts w:eastAsia="Times New Roman"/>
        </w:rPr>
      </w:pPr>
    </w:p>
    <w:p w14:paraId="651E2ADA" w14:textId="77777777" w:rsidR="00000000" w:rsidRDefault="000A3118">
      <w:pPr>
        <w:ind w:firstLine="360"/>
        <w:jc w:val="both"/>
        <w:rPr>
          <w:rFonts w:eastAsia="Times New Roman"/>
        </w:rPr>
      </w:pPr>
      <w:r>
        <w:rPr>
          <w:rFonts w:eastAsia="Times New Roman"/>
          <w:color w:val="000000"/>
          <w:sz w:val="20"/>
          <w:szCs w:val="20"/>
        </w:rPr>
        <w:t xml:space="preserve">Beginning in the first quarter of 2020 and through the date of this filing, the aviation, marine and land transportation industries, along with global economic conditions generally, have been significantly impacted by the COVID-19 pandemic. A large number </w:t>
      </w:r>
      <w:r>
        <w:rPr>
          <w:rFonts w:eastAsia="Times New Roman"/>
          <w:color w:val="000000"/>
          <w:sz w:val="20"/>
          <w:szCs w:val="20"/>
        </w:rPr>
        <w:t>of our customers in these industries have experienced a substantial decline in business activity, especially commercial airlines and cruise lines, which have been particularly impacted by ongoing travel restrictions. Customers in our marine and land segmen</w:t>
      </w:r>
      <w:r>
        <w:rPr>
          <w:rFonts w:eastAsia="Times New Roman"/>
          <w:color w:val="000000"/>
          <w:sz w:val="20"/>
          <w:szCs w:val="20"/>
        </w:rPr>
        <w:t>ts have also been adversely affected by these restrictions and the reduction in operations of various businesses in affected regions. In response to these developments, we took swift action to ensure the safety of our employees and other stakeholders and i</w:t>
      </w:r>
      <w:r>
        <w:rPr>
          <w:rFonts w:eastAsia="Times New Roman"/>
          <w:color w:val="000000"/>
          <w:sz w:val="20"/>
          <w:szCs w:val="20"/>
        </w:rPr>
        <w:t>nitiated a number of initiatives relating to cost reduction, liquidity and operating efficiencies.</w:t>
      </w:r>
    </w:p>
    <w:p w14:paraId="515EE0BC" w14:textId="77777777" w:rsidR="00000000" w:rsidRDefault="000A3118">
      <w:pPr>
        <w:ind w:firstLine="360"/>
        <w:jc w:val="both"/>
        <w:rPr>
          <w:rFonts w:eastAsia="Times New Roman"/>
        </w:rPr>
      </w:pPr>
    </w:p>
    <w:p w14:paraId="3FE06995" w14:textId="77777777" w:rsidR="00000000" w:rsidRDefault="000A3118">
      <w:pPr>
        <w:ind w:firstLine="360"/>
        <w:jc w:val="both"/>
        <w:rPr>
          <w:rFonts w:eastAsia="Times New Roman"/>
        </w:rPr>
      </w:pPr>
      <w:r>
        <w:rPr>
          <w:rFonts w:eastAsia="Times New Roman"/>
          <w:color w:val="000000"/>
          <w:sz w:val="20"/>
          <w:szCs w:val="20"/>
        </w:rPr>
        <w:t>While the pandemic and associated impacts on economic activity had a limited adverse effect on our results of operations and financial condition in the beg</w:t>
      </w:r>
      <w:r>
        <w:rPr>
          <w:rFonts w:eastAsia="Times New Roman"/>
          <w:color w:val="000000"/>
          <w:sz w:val="20"/>
          <w:szCs w:val="20"/>
        </w:rPr>
        <w:t>inning of 2020, we experienced a sharp decline in demand and related sales during the second quarter, as large sectors of the global economy were adversely impacted by the crisis. Demand showed some moderate improvement during the third quarter of 2020, ho</w:t>
      </w:r>
      <w:r>
        <w:rPr>
          <w:rFonts w:eastAsia="Times New Roman"/>
          <w:color w:val="000000"/>
          <w:sz w:val="20"/>
          <w:szCs w:val="20"/>
        </w:rPr>
        <w:t>wever, our results remained well below pre-pandemic levels as described in greater detail below. Since the level of activity in our business and that of our customers has historically been driven by the level of economic activity globally, we generally exp</w:t>
      </w:r>
      <w:r>
        <w:rPr>
          <w:rFonts w:eastAsia="Times New Roman"/>
          <w:color w:val="000000"/>
          <w:sz w:val="20"/>
          <w:szCs w:val="20"/>
        </w:rPr>
        <w:t>ect these negative impacts to continue through the balance of the year and into 2021 as the periodic increases in COVID-19 cases have caused delays in the full reopening of various economies around the world.</w:t>
      </w:r>
    </w:p>
    <w:p w14:paraId="1F3F5871" w14:textId="77777777" w:rsidR="00000000" w:rsidRDefault="000A3118">
      <w:pPr>
        <w:ind w:firstLine="360"/>
        <w:jc w:val="both"/>
        <w:rPr>
          <w:rFonts w:eastAsia="Times New Roman"/>
        </w:rPr>
      </w:pPr>
      <w:r>
        <w:rPr>
          <w:rFonts w:eastAsia="Times New Roman"/>
          <w:b/>
          <w:bCs/>
          <w:color w:val="000000"/>
          <w:sz w:val="20"/>
          <w:szCs w:val="20"/>
        </w:rPr>
        <w:t>Aviation Segment</w:t>
      </w:r>
    </w:p>
    <w:p w14:paraId="5C309C53" w14:textId="77777777" w:rsidR="00000000" w:rsidRDefault="000A3118">
      <w:pPr>
        <w:ind w:firstLine="360"/>
        <w:jc w:val="both"/>
        <w:rPr>
          <w:rFonts w:eastAsia="Times New Roman"/>
        </w:rPr>
      </w:pPr>
    </w:p>
    <w:p w14:paraId="4FE9FB9C" w14:textId="77777777" w:rsidR="00000000" w:rsidRDefault="000A3118">
      <w:pPr>
        <w:ind w:firstLine="360"/>
        <w:jc w:val="both"/>
        <w:rPr>
          <w:rFonts w:eastAsia="Times New Roman"/>
        </w:rPr>
      </w:pPr>
      <w:r>
        <w:rPr>
          <w:rFonts w:eastAsia="Times New Roman"/>
          <w:color w:val="000000"/>
          <w:sz w:val="20"/>
          <w:szCs w:val="20"/>
        </w:rPr>
        <w:t>Our aviation segment has ben</w:t>
      </w:r>
      <w:r>
        <w:rPr>
          <w:rFonts w:eastAsia="Times New Roman"/>
          <w:color w:val="000000"/>
          <w:sz w:val="20"/>
          <w:szCs w:val="20"/>
        </w:rPr>
        <w:t>efited from growth in our fuel and related services offerings, as well as our improving logistics capability and the impact of expanding our aviation fueling operations footprint into additional international airport locations. However, as a result of COVI</w:t>
      </w:r>
      <w:r>
        <w:rPr>
          <w:rFonts w:eastAsia="Times New Roman"/>
          <w:color w:val="000000"/>
          <w:sz w:val="20"/>
          <w:szCs w:val="20"/>
        </w:rPr>
        <w:t>D-19, the overall aviation market, principally commercial passenger airlines, has been significantly impacted by global travel restrictions and a sharp decrease in demand for air travel. Accordingly, during the second and third quarter of 2020, we experien</w:t>
      </w:r>
      <w:r>
        <w:rPr>
          <w:rFonts w:eastAsia="Times New Roman"/>
          <w:color w:val="000000"/>
          <w:sz w:val="20"/>
          <w:szCs w:val="20"/>
        </w:rPr>
        <w:t>ced a material volume decline in our commercial aviation business as compared to 2019 and, to a somewhat lesser extent, a significant reduction in our business and general aviation activities. Our results of operations in these lines of business for the ba</w:t>
      </w:r>
      <w:r>
        <w:rPr>
          <w:rFonts w:eastAsia="Times New Roman"/>
          <w:color w:val="000000"/>
          <w:sz w:val="20"/>
          <w:szCs w:val="20"/>
        </w:rPr>
        <w:t>lance of 2020 and into 2021 will be highly contingent on the timing and extent to which international border and quarantine restrictions are lifted and the global economy begins to recover from the effects of the current crisis.</w:t>
      </w:r>
    </w:p>
    <w:p w14:paraId="5E66793F" w14:textId="77777777" w:rsidR="00000000" w:rsidRDefault="000A3118">
      <w:pPr>
        <w:ind w:firstLine="360"/>
        <w:jc w:val="both"/>
        <w:rPr>
          <w:rFonts w:eastAsia="Times New Roman"/>
        </w:rPr>
      </w:pPr>
    </w:p>
    <w:p w14:paraId="1C463D1B" w14:textId="77777777" w:rsidR="00000000" w:rsidRDefault="000A3118">
      <w:pPr>
        <w:ind w:firstLine="360"/>
        <w:jc w:val="both"/>
        <w:rPr>
          <w:rFonts w:eastAsia="Times New Roman"/>
        </w:rPr>
      </w:pPr>
      <w:r>
        <w:rPr>
          <w:rFonts w:eastAsia="Times New Roman"/>
          <w:color w:val="000000"/>
          <w:sz w:val="20"/>
          <w:szCs w:val="20"/>
        </w:rPr>
        <w:t>Furthermore, our aviation</w:t>
      </w:r>
      <w:r>
        <w:rPr>
          <w:rFonts w:eastAsia="Times New Roman"/>
          <w:color w:val="000000"/>
          <w:sz w:val="20"/>
          <w:szCs w:val="20"/>
        </w:rPr>
        <w:t xml:space="preserve"> segment has benefited from significant sales to NATO in Afghanistan, which accounts for a material portion of our aviation segment's profitability. The current contract for these sales to NATO has been renewed through December 2021, with an additional one</w:t>
      </w:r>
      <w:r>
        <w:rPr>
          <w:rFonts w:eastAsia="Times New Roman"/>
          <w:color w:val="000000"/>
          <w:sz w:val="20"/>
          <w:szCs w:val="20"/>
        </w:rPr>
        <w:t>-year renewal option remaining at NATO's discretion. The level of troop deployments and military-related activities can cause our government customer sales to vary significantly and materially impact our operating results. Specifically, the U.S. government</w:t>
      </w:r>
      <w:r>
        <w:rPr>
          <w:rFonts w:eastAsia="Times New Roman"/>
          <w:color w:val="000000"/>
          <w:sz w:val="20"/>
          <w:szCs w:val="20"/>
        </w:rPr>
        <w:t xml:space="preserve"> has announced its intention to significantly reduce the level of U.S. troops in the Middle East, including the troops supporting NATO in Afghanistan. In connection therewith, in the early part of 2020, the U.S. entered into an agreement with the Taliban w</w:t>
      </w:r>
      <w:r>
        <w:rPr>
          <w:rFonts w:eastAsia="Times New Roman"/>
          <w:color w:val="000000"/>
          <w:sz w:val="20"/>
          <w:szCs w:val="20"/>
        </w:rPr>
        <w:t>here it agreed to reduce the level of troops and negotiate a full withdrawal by 2021, subject to various conditions including a peace agreement being reached between the government of Afghanistan and the Taliban. The U.S. government has since moved forward</w:t>
      </w:r>
      <w:r>
        <w:rPr>
          <w:rFonts w:eastAsia="Times New Roman"/>
          <w:color w:val="000000"/>
          <w:sz w:val="20"/>
          <w:szCs w:val="20"/>
        </w:rPr>
        <w:t xml:space="preserve"> with a significant reduction in the level of troops. While the exact timing and full impact of the troop withdrawal remains uncertain, we have experienced a material decline in demand since the end of the first quarter of 2020 and expect to continue to ex</w:t>
      </w:r>
      <w:r>
        <w:rPr>
          <w:rFonts w:eastAsia="Times New Roman"/>
          <w:color w:val="000000"/>
          <w:sz w:val="20"/>
          <w:szCs w:val="20"/>
        </w:rPr>
        <w:t xml:space="preserve">perience further reductions in demand over the balance of the year and into 2021. </w:t>
      </w:r>
    </w:p>
    <w:p w14:paraId="4DA2F8C5" w14:textId="77777777" w:rsidR="00000000" w:rsidRDefault="000A3118">
      <w:pPr>
        <w:ind w:firstLine="360"/>
        <w:jc w:val="both"/>
        <w:rPr>
          <w:rFonts w:eastAsia="Times New Roman"/>
        </w:rPr>
      </w:pPr>
    </w:p>
    <w:p w14:paraId="002E6DBE" w14:textId="77777777" w:rsidR="00000000" w:rsidRDefault="000A3118">
      <w:pPr>
        <w:jc w:val="center"/>
        <w:divId w:val="268436427"/>
        <w:rPr>
          <w:rFonts w:eastAsia="Times New Roman"/>
        </w:rPr>
      </w:pPr>
      <w:r>
        <w:rPr>
          <w:rFonts w:eastAsia="Times New Roman"/>
          <w:color w:val="000000"/>
          <w:sz w:val="20"/>
          <w:szCs w:val="20"/>
        </w:rPr>
        <w:t>27</w:t>
      </w:r>
    </w:p>
    <w:p w14:paraId="1034D324" w14:textId="77777777" w:rsidR="00000000" w:rsidRDefault="000A3118">
      <w:pPr>
        <w:rPr>
          <w:rFonts w:eastAsia="Times New Roman"/>
        </w:rPr>
      </w:pPr>
      <w:r>
        <w:rPr>
          <w:rFonts w:eastAsia="Times New Roman"/>
        </w:rPr>
        <w:pict w14:anchorId="3B33B9E3">
          <v:rect id="_x0000_i1055" style="width:0;height:1.5pt" o:hralign="center" o:hrstd="t" o:hr="t" fillcolor="#a0a0a0" stroked="f"/>
        </w:pict>
      </w:r>
    </w:p>
    <w:p w14:paraId="5594B9A3" w14:textId="77777777" w:rsidR="00000000" w:rsidRDefault="000A3118">
      <w:pPr>
        <w:divId w:val="737703983"/>
        <w:rPr>
          <w:rFonts w:eastAsia="Times New Roman"/>
        </w:rPr>
      </w:pPr>
    </w:p>
    <w:p w14:paraId="45A274D8" w14:textId="77777777" w:rsidR="00000000" w:rsidRDefault="000A3118">
      <w:pPr>
        <w:ind w:firstLine="360"/>
        <w:jc w:val="both"/>
        <w:rPr>
          <w:rFonts w:eastAsia="Times New Roman"/>
        </w:rPr>
      </w:pPr>
      <w:r>
        <w:rPr>
          <w:rFonts w:eastAsia="Times New Roman"/>
          <w:b/>
          <w:bCs/>
          <w:color w:val="000000"/>
          <w:sz w:val="20"/>
          <w:szCs w:val="20"/>
        </w:rPr>
        <w:t>Land Segment</w:t>
      </w:r>
    </w:p>
    <w:p w14:paraId="04694B3A" w14:textId="77777777" w:rsidR="00000000" w:rsidRDefault="000A3118">
      <w:pPr>
        <w:ind w:firstLine="360"/>
        <w:jc w:val="both"/>
        <w:rPr>
          <w:rFonts w:eastAsia="Times New Roman"/>
        </w:rPr>
      </w:pPr>
    </w:p>
    <w:p w14:paraId="5677B1DB" w14:textId="77777777" w:rsidR="00000000" w:rsidRDefault="000A3118">
      <w:pPr>
        <w:ind w:firstLine="360"/>
        <w:jc w:val="both"/>
        <w:rPr>
          <w:rFonts w:eastAsia="Times New Roman"/>
        </w:rPr>
      </w:pPr>
      <w:r>
        <w:rPr>
          <w:rFonts w:eastAsia="Times New Roman"/>
          <w:color w:val="000000"/>
          <w:sz w:val="20"/>
          <w:szCs w:val="20"/>
        </w:rPr>
        <w:t>Our land segment primarily consists of land fuel distribution in the U.S. and the U.K., further complemented by our</w:t>
      </w:r>
      <w:r>
        <w:rPr>
          <w:rFonts w:eastAsia="Times New Roman"/>
          <w:color w:val="000000"/>
          <w:sz w:val="20"/>
          <w:szCs w:val="20"/>
        </w:rPr>
        <w:t xml:space="preserve"> expansion into energy advisory, brokerage and fulfillment solutions with respect to power, natural gas and other energy products. We also offer sustainability consulting, renewable fuel products, and carbon management and renewable energy solutions throug</w:t>
      </w:r>
      <w:r>
        <w:rPr>
          <w:rFonts w:eastAsia="Times New Roman"/>
          <w:color w:val="000000"/>
          <w:sz w:val="20"/>
          <w:szCs w:val="20"/>
        </w:rPr>
        <w:t>h our World Kinect Energy Services, our global energy management brand. Due to the diverse portfolio of customers, businesses and activities within our land segment, the COVID-19 related impacts are more difficult to predict. For example, during the second</w:t>
      </w:r>
      <w:r>
        <w:rPr>
          <w:rFonts w:eastAsia="Times New Roman"/>
          <w:color w:val="000000"/>
          <w:sz w:val="20"/>
          <w:szCs w:val="20"/>
        </w:rPr>
        <w:t xml:space="preserve"> quarter of 2020, our operating results in our land segment benefited from improvements in the U.K. However, this increase was largely offset by a decline in profitability in North America, primarily due to a material decrease in sales to retail, commercia</w:t>
      </w:r>
      <w:r>
        <w:rPr>
          <w:rFonts w:eastAsia="Times New Roman"/>
          <w:color w:val="000000"/>
          <w:sz w:val="20"/>
          <w:szCs w:val="20"/>
        </w:rPr>
        <w:t>l and industrial customers in connection with the continued negative impacts of the pandemic, particularly throughout much of the U.S. The extent of any improvements in these activities will continue to be dependent on the timing and extent to which quaran</w:t>
      </w:r>
      <w:r>
        <w:rPr>
          <w:rFonts w:eastAsia="Times New Roman"/>
          <w:color w:val="000000"/>
          <w:sz w:val="20"/>
          <w:szCs w:val="20"/>
        </w:rPr>
        <w:t>tine restrictions are lifted and local business activities fully reopen. Furthermore, for the same reasons as those described in the aviation segment, we have experienced a material decline in demand since the end of the first quarter of 2020 and expect to</w:t>
      </w:r>
      <w:r>
        <w:rPr>
          <w:rFonts w:eastAsia="Times New Roman"/>
          <w:color w:val="000000"/>
          <w:sz w:val="20"/>
          <w:szCs w:val="20"/>
        </w:rPr>
        <w:t xml:space="preserve"> continue to experience further reductions in demand over the balance of the year and into 2021.</w:t>
      </w:r>
    </w:p>
    <w:p w14:paraId="48EF0AD4" w14:textId="77777777" w:rsidR="00000000" w:rsidRDefault="000A3118">
      <w:pPr>
        <w:ind w:firstLine="360"/>
        <w:jc w:val="both"/>
        <w:rPr>
          <w:rFonts w:eastAsia="Times New Roman"/>
        </w:rPr>
      </w:pPr>
    </w:p>
    <w:p w14:paraId="157F52EA" w14:textId="77777777" w:rsidR="00000000" w:rsidRDefault="000A3118">
      <w:pPr>
        <w:ind w:firstLine="360"/>
        <w:jc w:val="both"/>
        <w:rPr>
          <w:rFonts w:eastAsia="Times New Roman"/>
        </w:rPr>
      </w:pPr>
      <w:r>
        <w:rPr>
          <w:rFonts w:eastAsia="Times New Roman"/>
          <w:b/>
          <w:bCs/>
          <w:color w:val="000000"/>
          <w:sz w:val="20"/>
          <w:szCs w:val="20"/>
        </w:rPr>
        <w:t>Marine Segment</w:t>
      </w:r>
    </w:p>
    <w:p w14:paraId="509CA410" w14:textId="77777777" w:rsidR="00000000" w:rsidRDefault="000A3118">
      <w:pPr>
        <w:ind w:firstLine="360"/>
        <w:jc w:val="both"/>
        <w:rPr>
          <w:rFonts w:eastAsia="Times New Roman"/>
        </w:rPr>
      </w:pPr>
    </w:p>
    <w:p w14:paraId="244ED77A" w14:textId="77777777" w:rsidR="00000000" w:rsidRDefault="000A3118">
      <w:pPr>
        <w:ind w:firstLine="360"/>
        <w:jc w:val="both"/>
        <w:rPr>
          <w:rFonts w:eastAsia="Times New Roman"/>
        </w:rPr>
      </w:pPr>
      <w:r>
        <w:rPr>
          <w:rFonts w:eastAsia="Times New Roman"/>
          <w:color w:val="000000"/>
          <w:sz w:val="20"/>
          <w:szCs w:val="20"/>
        </w:rPr>
        <w:t>Our marine segment has posted strong quarterly comparative results in recent periods despite challenging conditions within the global shippi</w:t>
      </w:r>
      <w:r>
        <w:rPr>
          <w:rFonts w:eastAsia="Times New Roman"/>
          <w:color w:val="000000"/>
          <w:sz w:val="20"/>
          <w:szCs w:val="20"/>
        </w:rPr>
        <w:t>ng and offshore exploration markets. Overall, throughout 2019 and into early 2020, higher average fuel prices, combined with our focus on reshaping our portfolio and cost management, improved profitability. In addition, the implementation of the Internatio</w:t>
      </w:r>
      <w:r>
        <w:rPr>
          <w:rFonts w:eastAsia="Times New Roman"/>
          <w:color w:val="000000"/>
          <w:sz w:val="20"/>
          <w:szCs w:val="20"/>
        </w:rPr>
        <w:t>nal Maritime Organization's mandatory low sulfur regulations that took effect on January 1, 2020 ("IMO 2020") resulted in certain supply imbalances and price volatility in late 2019 and through much of the first quarter of 2020 that positively impacted our</w:t>
      </w:r>
      <w:r>
        <w:rPr>
          <w:rFonts w:eastAsia="Times New Roman"/>
          <w:color w:val="000000"/>
          <w:sz w:val="20"/>
          <w:szCs w:val="20"/>
        </w:rPr>
        <w:t xml:space="preserve"> operating results in those periods. However, beginning in the latter part of the first quarter of 2020 and throughout the second and third quarters of 2020, we have experienced a decline in volume and profitability due to the impact of the COVID-19 pandem</w:t>
      </w:r>
      <w:r>
        <w:rPr>
          <w:rFonts w:eastAsia="Times New Roman"/>
          <w:color w:val="000000"/>
          <w:sz w:val="20"/>
          <w:szCs w:val="20"/>
        </w:rPr>
        <w:t>ic coupled with the significant decline in fuel prices. We expect our marine segment’s volume and profitability to continue to be impacted by the pandemic for the balance of the year and into 2021, particularly with respect to weakened demand from cruise l</w:t>
      </w:r>
      <w:r>
        <w:rPr>
          <w:rFonts w:eastAsia="Times New Roman"/>
          <w:color w:val="000000"/>
          <w:sz w:val="20"/>
          <w:szCs w:val="20"/>
        </w:rPr>
        <w:t xml:space="preserve">ines and certain other sectors of the shipping industry, as well as lower fuel prices. </w:t>
      </w:r>
    </w:p>
    <w:p w14:paraId="7FAD18BE" w14:textId="77777777" w:rsidR="00000000" w:rsidRDefault="000A3118">
      <w:pPr>
        <w:ind w:firstLine="360"/>
        <w:jc w:val="both"/>
        <w:rPr>
          <w:rFonts w:eastAsia="Times New Roman"/>
        </w:rPr>
      </w:pPr>
    </w:p>
    <w:p w14:paraId="2E9B1E6C" w14:textId="77777777" w:rsidR="00000000" w:rsidRDefault="000A3118">
      <w:pPr>
        <w:ind w:firstLine="360"/>
        <w:jc w:val="both"/>
        <w:rPr>
          <w:rFonts w:eastAsia="Times New Roman"/>
        </w:rPr>
      </w:pPr>
      <w:r>
        <w:rPr>
          <w:rFonts w:eastAsia="Times New Roman"/>
          <w:b/>
          <w:bCs/>
          <w:color w:val="000000"/>
          <w:sz w:val="20"/>
          <w:szCs w:val="20"/>
        </w:rPr>
        <w:t>Other Actions</w:t>
      </w:r>
    </w:p>
    <w:p w14:paraId="0FEAD035" w14:textId="77777777" w:rsidR="00000000" w:rsidRDefault="000A3118">
      <w:pPr>
        <w:ind w:firstLine="360"/>
        <w:jc w:val="both"/>
        <w:rPr>
          <w:rFonts w:eastAsia="Times New Roman"/>
        </w:rPr>
      </w:pPr>
    </w:p>
    <w:p w14:paraId="3E4232DB" w14:textId="77777777" w:rsidR="00000000" w:rsidRDefault="000A3118">
      <w:pPr>
        <w:ind w:firstLine="360"/>
        <w:jc w:val="both"/>
        <w:rPr>
          <w:rFonts w:eastAsia="Times New Roman"/>
        </w:rPr>
      </w:pPr>
      <w:r>
        <w:rPr>
          <w:rFonts w:eastAsia="Times New Roman"/>
          <w:color w:val="000000"/>
          <w:sz w:val="20"/>
          <w:szCs w:val="20"/>
        </w:rPr>
        <w:t>With respect to our own operations, we have implemented our business continuity and emergency response plans in alignment with mandates from local aut</w:t>
      </w:r>
      <w:r>
        <w:rPr>
          <w:rFonts w:eastAsia="Times New Roman"/>
          <w:color w:val="000000"/>
          <w:sz w:val="20"/>
          <w:szCs w:val="20"/>
        </w:rPr>
        <w:t>horities. To ensure the safety of our employees who are continuing to work, we have provided instructions on how to work safely in light of the pandemic and elevated our cleaning protocols for our offices, facilities and equipment. We are maximizing remote</w:t>
      </w:r>
      <w:r>
        <w:rPr>
          <w:rFonts w:eastAsia="Times New Roman"/>
          <w:color w:val="000000"/>
          <w:sz w:val="20"/>
          <w:szCs w:val="20"/>
        </w:rPr>
        <w:t xml:space="preserve"> work throughout our global offices and our employees are collaborating virtually with our customers, suppliers and each other using the information sharing tools and technology that we have invested in during the last several years.</w:t>
      </w:r>
    </w:p>
    <w:p w14:paraId="0CA5DED8" w14:textId="77777777" w:rsidR="00000000" w:rsidRDefault="000A3118">
      <w:pPr>
        <w:ind w:firstLine="360"/>
        <w:jc w:val="both"/>
        <w:rPr>
          <w:rFonts w:eastAsia="Times New Roman"/>
        </w:rPr>
      </w:pPr>
    </w:p>
    <w:p w14:paraId="5262AB6E" w14:textId="77777777" w:rsidR="00000000" w:rsidRDefault="000A3118">
      <w:pPr>
        <w:ind w:firstLine="360"/>
        <w:jc w:val="both"/>
        <w:rPr>
          <w:rFonts w:eastAsia="Times New Roman"/>
        </w:rPr>
      </w:pPr>
      <w:r>
        <w:rPr>
          <w:rFonts w:eastAsia="Times New Roman"/>
          <w:color w:val="000000"/>
          <w:sz w:val="20"/>
          <w:szCs w:val="20"/>
        </w:rPr>
        <w:t>Due to the ongoing a</w:t>
      </w:r>
      <w:r>
        <w:rPr>
          <w:rFonts w:eastAsia="Times New Roman"/>
          <w:color w:val="000000"/>
          <w:sz w:val="20"/>
          <w:szCs w:val="20"/>
        </w:rPr>
        <w:t>nd expected adverse impacts of the COVID-19 crisis, we immediately made cost-related decisions as the pandemic began impacting our business activities. For example, we immediately instituted a hiring freeze and implemented travel restrictions for our emplo</w:t>
      </w:r>
      <w:r>
        <w:rPr>
          <w:rFonts w:eastAsia="Times New Roman"/>
          <w:color w:val="000000"/>
          <w:sz w:val="20"/>
          <w:szCs w:val="20"/>
        </w:rPr>
        <w:t>yees across the organization, postponed or eliminated all non-essential capital expenditures and other projects and initiatives, significantly reduced or deferred professional fees, marketing expenses and other similar costs. In addition, while we have con</w:t>
      </w:r>
      <w:r>
        <w:rPr>
          <w:rFonts w:eastAsia="Times New Roman"/>
          <w:color w:val="000000"/>
          <w:sz w:val="20"/>
          <w:szCs w:val="20"/>
        </w:rPr>
        <w:t>tinued to focus on improving operating efficiencies and returns, we have also concentrated on lowering our operating costs, including those of our land segment, which has historically had a higher expense ratio than other parts of our business. Accordingly</w:t>
      </w:r>
      <w:r>
        <w:rPr>
          <w:rFonts w:eastAsia="Times New Roman"/>
          <w:color w:val="000000"/>
          <w:sz w:val="20"/>
          <w:szCs w:val="20"/>
        </w:rPr>
        <w:t>, during the first quarter of 2020, we commenced a restructuring initiative focused on further streamlining our operations and sharpening our deployment of resources, not only in our land segment but also in our other segments due to the adverse impacts of</w:t>
      </w:r>
      <w:r>
        <w:rPr>
          <w:rFonts w:eastAsia="Times New Roman"/>
          <w:color w:val="000000"/>
          <w:sz w:val="20"/>
          <w:szCs w:val="20"/>
        </w:rPr>
        <w:t xml:space="preserve"> the pandemic. During the second quarter of 2020, we expanded this restructuring to include the rationalization of our global office footprint and approved the abandonment of certain office leases, including the transition of select offices to smaller or m</w:t>
      </w:r>
      <w:r>
        <w:rPr>
          <w:rFonts w:eastAsia="Times New Roman"/>
          <w:color w:val="000000"/>
          <w:sz w:val="20"/>
          <w:szCs w:val="20"/>
        </w:rPr>
        <w:t>ore cost-effective locations. See note 13 of the financial statements included in Part I of this 10-Q Report for additional information regarding this restructuring.</w:t>
      </w:r>
    </w:p>
    <w:p w14:paraId="2E57862F" w14:textId="77777777" w:rsidR="00000000" w:rsidRDefault="000A3118">
      <w:pPr>
        <w:ind w:firstLine="360"/>
        <w:jc w:val="both"/>
        <w:rPr>
          <w:rFonts w:eastAsia="Times New Roman"/>
        </w:rPr>
      </w:pPr>
    </w:p>
    <w:p w14:paraId="6EC39023" w14:textId="77777777" w:rsidR="00000000" w:rsidRDefault="000A3118">
      <w:pPr>
        <w:ind w:firstLine="360"/>
        <w:jc w:val="both"/>
        <w:rPr>
          <w:rFonts w:eastAsia="Times New Roman"/>
        </w:rPr>
      </w:pPr>
      <w:r>
        <w:rPr>
          <w:rFonts w:eastAsia="Times New Roman"/>
          <w:color w:val="000000"/>
          <w:sz w:val="20"/>
          <w:szCs w:val="20"/>
        </w:rPr>
        <w:t>The ultimate duration and impact of the COVID-19 pandemic on our business and our custom</w:t>
      </w:r>
      <w:r>
        <w:rPr>
          <w:rFonts w:eastAsia="Times New Roman"/>
          <w:color w:val="000000"/>
          <w:sz w:val="20"/>
          <w:szCs w:val="20"/>
        </w:rPr>
        <w:t>ers' operations continue to be unclear. Furthermore, the extent to which we or our customers will ultimately be impacted by the pandemic is not fully ascertainable as it is closely related to the timing and extent to which the global economy, and the aviat</w:t>
      </w:r>
      <w:r>
        <w:rPr>
          <w:rFonts w:eastAsia="Times New Roman"/>
          <w:color w:val="000000"/>
          <w:sz w:val="20"/>
          <w:szCs w:val="20"/>
        </w:rPr>
        <w:t>ion land and marine transportation industries, in particular, recover from the crisis. For additional discussion on the risks relating to the pandemic, see Item 1A. Risk Factors in Part II of this 10-Q Report.</w:t>
      </w:r>
    </w:p>
    <w:p w14:paraId="5F7D9177" w14:textId="77777777" w:rsidR="00000000" w:rsidRDefault="000A3118">
      <w:pPr>
        <w:jc w:val="both"/>
        <w:rPr>
          <w:rFonts w:eastAsia="Times New Roman"/>
        </w:rPr>
      </w:pPr>
    </w:p>
    <w:p w14:paraId="6F425AB8" w14:textId="77777777" w:rsidR="00000000" w:rsidRDefault="000A3118">
      <w:pPr>
        <w:jc w:val="center"/>
        <w:divId w:val="505559298"/>
        <w:rPr>
          <w:rFonts w:eastAsia="Times New Roman"/>
        </w:rPr>
      </w:pPr>
      <w:r>
        <w:rPr>
          <w:rFonts w:eastAsia="Times New Roman"/>
          <w:color w:val="000000"/>
          <w:sz w:val="20"/>
          <w:szCs w:val="20"/>
        </w:rPr>
        <w:t>28</w:t>
      </w:r>
    </w:p>
    <w:p w14:paraId="5F9F328A" w14:textId="77777777" w:rsidR="00000000" w:rsidRDefault="000A3118">
      <w:pPr>
        <w:rPr>
          <w:rFonts w:eastAsia="Times New Roman"/>
        </w:rPr>
      </w:pPr>
      <w:r>
        <w:rPr>
          <w:rFonts w:eastAsia="Times New Roman"/>
        </w:rPr>
        <w:pict w14:anchorId="4A6F18A0">
          <v:rect id="_x0000_i1056" style="width:0;height:1.5pt" o:hralign="center" o:hrstd="t" o:hr="t" fillcolor="#a0a0a0" stroked="f"/>
        </w:pict>
      </w:r>
    </w:p>
    <w:p w14:paraId="7962AEF9" w14:textId="77777777" w:rsidR="00000000" w:rsidRDefault="000A3118">
      <w:pPr>
        <w:divId w:val="155803330"/>
        <w:rPr>
          <w:rFonts w:eastAsia="Times New Roman"/>
        </w:rPr>
      </w:pPr>
    </w:p>
    <w:p w14:paraId="59DF744D" w14:textId="77777777" w:rsidR="00000000" w:rsidRDefault="000A3118">
      <w:pPr>
        <w:ind w:firstLine="360"/>
        <w:jc w:val="both"/>
        <w:rPr>
          <w:rFonts w:eastAsia="Times New Roman"/>
        </w:rPr>
      </w:pPr>
      <w:r>
        <w:rPr>
          <w:rFonts w:eastAsia="Times New Roman"/>
          <w:b/>
          <w:bCs/>
          <w:color w:val="000000"/>
          <w:sz w:val="20"/>
          <w:szCs w:val="20"/>
        </w:rPr>
        <w:t>Reportable Segments</w:t>
      </w:r>
    </w:p>
    <w:p w14:paraId="6C7D92E6" w14:textId="77777777" w:rsidR="00000000" w:rsidRDefault="000A3118">
      <w:pPr>
        <w:ind w:firstLine="360"/>
        <w:jc w:val="both"/>
        <w:rPr>
          <w:rFonts w:eastAsia="Times New Roman"/>
        </w:rPr>
      </w:pPr>
      <w:r>
        <w:rPr>
          <w:rFonts w:eastAsia="Times New Roman"/>
          <w:color w:val="000000"/>
          <w:sz w:val="20"/>
          <w:szCs w:val="20"/>
        </w:rPr>
        <w:t> </w:t>
      </w:r>
    </w:p>
    <w:p w14:paraId="28797519" w14:textId="77777777" w:rsidR="00000000" w:rsidRDefault="000A3118">
      <w:pPr>
        <w:ind w:firstLine="360"/>
        <w:jc w:val="both"/>
        <w:divId w:val="2052411289"/>
        <w:rPr>
          <w:rFonts w:eastAsia="Times New Roman"/>
        </w:rPr>
      </w:pPr>
      <w:r>
        <w:rPr>
          <w:rFonts w:eastAsia="Times New Roman"/>
          <w:color w:val="000000"/>
          <w:sz w:val="20"/>
          <w:szCs w:val="20"/>
        </w:rPr>
        <w:t>We operate in three reportable segments consisting of aviation, land and marine, where we offer fuel and related products and services to commercial and industrial customers in each of these trans</w:t>
      </w:r>
      <w:r>
        <w:rPr>
          <w:rFonts w:eastAsia="Times New Roman"/>
          <w:color w:val="000000"/>
          <w:sz w:val="20"/>
          <w:szCs w:val="20"/>
        </w:rPr>
        <w:t>portation industries. Within each of our segments, we may enter into derivative contracts to mitigate the risk of market price fluctuations and also to offer our customers fuel pricing alternatives to meet their needs.</w:t>
      </w:r>
    </w:p>
    <w:p w14:paraId="568DF727" w14:textId="77777777" w:rsidR="00000000" w:rsidRDefault="000A3118">
      <w:pPr>
        <w:ind w:firstLine="360"/>
        <w:jc w:val="both"/>
        <w:divId w:val="1122385169"/>
        <w:rPr>
          <w:rFonts w:eastAsia="Times New Roman"/>
        </w:rPr>
      </w:pPr>
      <w:r>
        <w:rPr>
          <w:rFonts w:eastAsia="Times New Roman"/>
          <w:color w:val="000000"/>
          <w:sz w:val="20"/>
          <w:szCs w:val="20"/>
        </w:rPr>
        <w:t>In our aviation and land segments, we</w:t>
      </w:r>
      <w:r>
        <w:rPr>
          <w:rFonts w:eastAsia="Times New Roman"/>
          <w:color w:val="000000"/>
          <w:sz w:val="20"/>
          <w:szCs w:val="20"/>
        </w:rPr>
        <w:t xml:space="preserve"> primarily purchase and resell fuel and other products. Profit from our aviation and land segments is primarily determined by the volume and the gross profit achieved on fuel sales and related services. In our marine segment, we primarily purchase and rese</w:t>
      </w:r>
      <w:r>
        <w:rPr>
          <w:rFonts w:eastAsia="Times New Roman"/>
          <w:color w:val="000000"/>
          <w:sz w:val="20"/>
          <w:szCs w:val="20"/>
        </w:rPr>
        <w:t>ll fuel and also act as brokers for others. Profit from our marine segment is determined mostly by the volume and unit margin achieved on fuel resales. Profitability in our segments also depends on our operating expenses, which may be materially affected t</w:t>
      </w:r>
      <w:r>
        <w:rPr>
          <w:rFonts w:eastAsia="Times New Roman"/>
          <w:color w:val="000000"/>
          <w:sz w:val="20"/>
          <w:szCs w:val="20"/>
        </w:rPr>
        <w:t xml:space="preserve">o the extent that we are required to provide for potential bad debt. </w:t>
      </w:r>
    </w:p>
    <w:p w14:paraId="1F4F806A" w14:textId="77777777" w:rsidR="00000000" w:rsidRDefault="000A3118">
      <w:pPr>
        <w:ind w:firstLine="360"/>
        <w:jc w:val="both"/>
        <w:divId w:val="1559126079"/>
        <w:rPr>
          <w:rFonts w:eastAsia="Times New Roman"/>
        </w:rPr>
      </w:pPr>
      <w:r>
        <w:rPr>
          <w:rFonts w:eastAsia="Times New Roman"/>
          <w:color w:val="000000"/>
          <w:sz w:val="20"/>
          <w:szCs w:val="20"/>
        </w:rPr>
        <w:t>Corporate expenses are allocated to each segment based on usage, where possible, or other factors according to the nature of the activity. We evaluate and manage our business segments us</w:t>
      </w:r>
      <w:r>
        <w:rPr>
          <w:rFonts w:eastAsia="Times New Roman"/>
          <w:color w:val="000000"/>
          <w:sz w:val="20"/>
          <w:szCs w:val="20"/>
        </w:rPr>
        <w:t>ing the performance measurement of income from operations. Selected financial information with respect to our business segments is provided in Note </w:t>
      </w:r>
      <w:hyperlink w:anchor="i07dfab43642542caa102b1019720d3b2_64" w:history="1">
        <w:r>
          <w:rPr>
            <w:rStyle w:val="a3"/>
            <w:rFonts w:eastAsia="Times New Roman"/>
            <w:color w:val="000000"/>
            <w:sz w:val="20"/>
            <w:szCs w:val="20"/>
            <w:u w:val="none"/>
          </w:rPr>
          <w:t>10</w:t>
        </w:r>
      </w:hyperlink>
      <w:r>
        <w:rPr>
          <w:rFonts w:eastAsia="Times New Roman"/>
          <w:color w:val="000000"/>
          <w:sz w:val="20"/>
          <w:szCs w:val="20"/>
        </w:rPr>
        <w:t>. Business Segments accompanying the Consolidat</w:t>
      </w:r>
      <w:r>
        <w:rPr>
          <w:rFonts w:eastAsia="Times New Roman"/>
          <w:color w:val="000000"/>
          <w:sz w:val="20"/>
          <w:szCs w:val="20"/>
        </w:rPr>
        <w:t>ed Financial Statements included in this 10-Q Report.</w:t>
      </w:r>
    </w:p>
    <w:p w14:paraId="47FE35E7" w14:textId="77777777" w:rsidR="00000000" w:rsidRDefault="000A3118">
      <w:pPr>
        <w:ind w:firstLine="360"/>
        <w:jc w:val="both"/>
        <w:rPr>
          <w:rFonts w:eastAsia="Times New Roman"/>
        </w:rPr>
      </w:pPr>
    </w:p>
    <w:p w14:paraId="7E66BF1F" w14:textId="77777777" w:rsidR="00000000" w:rsidRDefault="000A3118">
      <w:pPr>
        <w:jc w:val="center"/>
        <w:divId w:val="32463299"/>
        <w:rPr>
          <w:rFonts w:eastAsia="Times New Roman"/>
        </w:rPr>
      </w:pPr>
      <w:r>
        <w:rPr>
          <w:rFonts w:eastAsia="Times New Roman"/>
          <w:color w:val="000000"/>
          <w:sz w:val="20"/>
          <w:szCs w:val="20"/>
        </w:rPr>
        <w:t>29</w:t>
      </w:r>
    </w:p>
    <w:p w14:paraId="46BF1128" w14:textId="77777777" w:rsidR="00000000" w:rsidRDefault="000A3118">
      <w:pPr>
        <w:rPr>
          <w:rFonts w:eastAsia="Times New Roman"/>
        </w:rPr>
      </w:pPr>
      <w:r>
        <w:rPr>
          <w:rFonts w:eastAsia="Times New Roman"/>
        </w:rPr>
        <w:pict w14:anchorId="23107FD4">
          <v:rect id="_x0000_i1057" style="width:0;height:1.5pt" o:hralign="center" o:hrstd="t" o:hr="t" fillcolor="#a0a0a0" stroked="f"/>
        </w:pict>
      </w:r>
    </w:p>
    <w:p w14:paraId="2B01FFFA" w14:textId="77777777" w:rsidR="00000000" w:rsidRDefault="000A3118">
      <w:pPr>
        <w:divId w:val="1084183375"/>
        <w:rPr>
          <w:rFonts w:eastAsia="Times New Roman"/>
        </w:rPr>
      </w:pPr>
    </w:p>
    <w:p w14:paraId="06C5E880" w14:textId="77777777" w:rsidR="00000000" w:rsidRDefault="000A3118">
      <w:pPr>
        <w:ind w:firstLine="360"/>
        <w:jc w:val="both"/>
        <w:divId w:val="1222524045"/>
        <w:rPr>
          <w:rFonts w:eastAsia="Times New Roman"/>
        </w:rPr>
      </w:pPr>
      <w:r>
        <w:rPr>
          <w:rFonts w:eastAsia="Times New Roman"/>
          <w:b/>
          <w:bCs/>
          <w:color w:val="000000"/>
          <w:sz w:val="20"/>
          <w:szCs w:val="20"/>
        </w:rPr>
        <w:t>Results of Operations</w:t>
      </w:r>
    </w:p>
    <w:p w14:paraId="71751F55" w14:textId="77777777" w:rsidR="00000000" w:rsidRDefault="000A3118">
      <w:pPr>
        <w:ind w:firstLine="360"/>
        <w:jc w:val="both"/>
        <w:rPr>
          <w:rFonts w:eastAsia="Times New Roman"/>
        </w:rPr>
      </w:pPr>
      <w:r>
        <w:rPr>
          <w:rFonts w:eastAsia="Times New Roman"/>
          <w:b/>
          <w:bCs/>
          <w:color w:val="000000"/>
          <w:sz w:val="20"/>
          <w:szCs w:val="20"/>
        </w:rPr>
        <w:t xml:space="preserve">Three Months Ended September 30, 2020 Compared to Three Months Ended September 30, 2019 </w:t>
      </w:r>
    </w:p>
    <w:p w14:paraId="353FFFDB" w14:textId="77777777" w:rsidR="00000000" w:rsidRDefault="000A3118">
      <w:pPr>
        <w:ind w:firstLine="360"/>
        <w:jc w:val="both"/>
        <w:rPr>
          <w:rFonts w:eastAsia="Times New Roman"/>
        </w:rPr>
      </w:pPr>
    </w:p>
    <w:p w14:paraId="734757B0" w14:textId="77777777" w:rsidR="00000000" w:rsidRDefault="000A3118">
      <w:pPr>
        <w:ind w:firstLine="360"/>
        <w:jc w:val="both"/>
        <w:divId w:val="2111388993"/>
        <w:rPr>
          <w:rFonts w:eastAsia="Times New Roman"/>
        </w:rPr>
      </w:pPr>
      <w:r>
        <w:rPr>
          <w:rFonts w:eastAsia="Times New Roman"/>
          <w:i/>
          <w:iCs/>
          <w:color w:val="000000"/>
          <w:sz w:val="20"/>
          <w:szCs w:val="20"/>
        </w:rPr>
        <w:t>Revenue. </w:t>
      </w:r>
      <w:r>
        <w:rPr>
          <w:rFonts w:eastAsia="Times New Roman"/>
          <w:color w:val="000000"/>
          <w:sz w:val="20"/>
          <w:szCs w:val="20"/>
        </w:rPr>
        <w:t>Our revenue for the third quarter of 2020 was $4.5 billion, a decrease of $4.8 billion, or 52%, as compared to the third quarter of 2019. Our revenue during these periods was attributable to the following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42"/>
        <w:gridCol w:w="5128"/>
        <w:gridCol w:w="36"/>
        <w:gridCol w:w="36"/>
        <w:gridCol w:w="36"/>
        <w:gridCol w:w="36"/>
        <w:gridCol w:w="100"/>
        <w:gridCol w:w="793"/>
        <w:gridCol w:w="36"/>
        <w:gridCol w:w="36"/>
        <w:gridCol w:w="36"/>
        <w:gridCol w:w="36"/>
        <w:gridCol w:w="100"/>
        <w:gridCol w:w="793"/>
        <w:gridCol w:w="36"/>
        <w:gridCol w:w="36"/>
        <w:gridCol w:w="36"/>
        <w:gridCol w:w="36"/>
        <w:gridCol w:w="100"/>
        <w:gridCol w:w="757"/>
        <w:gridCol w:w="36"/>
      </w:tblGrid>
      <w:tr w:rsidR="00000000" w14:paraId="691418ED" w14:textId="77777777">
        <w:trPr>
          <w:divId w:val="108398766"/>
        </w:trPr>
        <w:tc>
          <w:tcPr>
            <w:tcW w:w="50" w:type="pct"/>
            <w:vAlign w:val="center"/>
            <w:hideMark/>
          </w:tcPr>
          <w:p w14:paraId="12FBE0B1" w14:textId="77777777" w:rsidR="00000000" w:rsidRDefault="000A3118">
            <w:pPr>
              <w:ind w:firstLine="360"/>
              <w:jc w:val="both"/>
              <w:rPr>
                <w:rFonts w:eastAsia="Times New Roman"/>
              </w:rPr>
            </w:pPr>
          </w:p>
        </w:tc>
        <w:tc>
          <w:tcPr>
            <w:tcW w:w="3119" w:type="pct"/>
            <w:vAlign w:val="center"/>
            <w:hideMark/>
          </w:tcPr>
          <w:p w14:paraId="63E7B38D" w14:textId="77777777" w:rsidR="00000000" w:rsidRDefault="000A3118">
            <w:pPr>
              <w:rPr>
                <w:rFonts w:eastAsia="Times New Roman"/>
                <w:sz w:val="20"/>
                <w:szCs w:val="20"/>
              </w:rPr>
            </w:pPr>
          </w:p>
        </w:tc>
        <w:tc>
          <w:tcPr>
            <w:tcW w:w="5" w:type="pct"/>
            <w:vAlign w:val="center"/>
            <w:hideMark/>
          </w:tcPr>
          <w:p w14:paraId="4AE00C7A" w14:textId="77777777" w:rsidR="00000000" w:rsidRDefault="000A3118">
            <w:pPr>
              <w:rPr>
                <w:rFonts w:eastAsia="Times New Roman"/>
                <w:sz w:val="20"/>
                <w:szCs w:val="20"/>
              </w:rPr>
            </w:pPr>
          </w:p>
        </w:tc>
        <w:tc>
          <w:tcPr>
            <w:tcW w:w="5" w:type="pct"/>
            <w:vAlign w:val="center"/>
            <w:hideMark/>
          </w:tcPr>
          <w:p w14:paraId="104B7F83" w14:textId="77777777" w:rsidR="00000000" w:rsidRDefault="000A3118">
            <w:pPr>
              <w:rPr>
                <w:rFonts w:eastAsia="Times New Roman"/>
                <w:sz w:val="20"/>
                <w:szCs w:val="20"/>
              </w:rPr>
            </w:pPr>
          </w:p>
        </w:tc>
        <w:tc>
          <w:tcPr>
            <w:tcW w:w="26" w:type="pct"/>
            <w:vAlign w:val="center"/>
            <w:hideMark/>
          </w:tcPr>
          <w:p w14:paraId="3B677A3D" w14:textId="77777777" w:rsidR="00000000" w:rsidRDefault="000A3118">
            <w:pPr>
              <w:rPr>
                <w:rFonts w:eastAsia="Times New Roman"/>
                <w:sz w:val="20"/>
                <w:szCs w:val="20"/>
              </w:rPr>
            </w:pPr>
          </w:p>
        </w:tc>
        <w:tc>
          <w:tcPr>
            <w:tcW w:w="5" w:type="pct"/>
            <w:vAlign w:val="center"/>
            <w:hideMark/>
          </w:tcPr>
          <w:p w14:paraId="0BC9521A" w14:textId="77777777" w:rsidR="00000000" w:rsidRDefault="000A3118">
            <w:pPr>
              <w:rPr>
                <w:rFonts w:eastAsia="Times New Roman"/>
                <w:sz w:val="20"/>
                <w:szCs w:val="20"/>
              </w:rPr>
            </w:pPr>
          </w:p>
        </w:tc>
        <w:tc>
          <w:tcPr>
            <w:tcW w:w="50" w:type="pct"/>
            <w:vAlign w:val="center"/>
            <w:hideMark/>
          </w:tcPr>
          <w:p w14:paraId="455F5E0D" w14:textId="77777777" w:rsidR="00000000" w:rsidRDefault="000A3118">
            <w:pPr>
              <w:rPr>
                <w:rFonts w:eastAsia="Times New Roman"/>
                <w:sz w:val="20"/>
                <w:szCs w:val="20"/>
              </w:rPr>
            </w:pPr>
          </w:p>
        </w:tc>
        <w:tc>
          <w:tcPr>
            <w:tcW w:w="524" w:type="pct"/>
            <w:vAlign w:val="center"/>
            <w:hideMark/>
          </w:tcPr>
          <w:p w14:paraId="76A7F1CF" w14:textId="77777777" w:rsidR="00000000" w:rsidRDefault="000A3118">
            <w:pPr>
              <w:rPr>
                <w:rFonts w:eastAsia="Times New Roman"/>
                <w:sz w:val="20"/>
                <w:szCs w:val="20"/>
              </w:rPr>
            </w:pPr>
          </w:p>
        </w:tc>
        <w:tc>
          <w:tcPr>
            <w:tcW w:w="5" w:type="pct"/>
            <w:vAlign w:val="center"/>
            <w:hideMark/>
          </w:tcPr>
          <w:p w14:paraId="23F49148" w14:textId="77777777" w:rsidR="00000000" w:rsidRDefault="000A3118">
            <w:pPr>
              <w:rPr>
                <w:rFonts w:eastAsia="Times New Roman"/>
                <w:sz w:val="20"/>
                <w:szCs w:val="20"/>
              </w:rPr>
            </w:pPr>
          </w:p>
        </w:tc>
        <w:tc>
          <w:tcPr>
            <w:tcW w:w="5" w:type="pct"/>
            <w:vAlign w:val="center"/>
            <w:hideMark/>
          </w:tcPr>
          <w:p w14:paraId="78762D07" w14:textId="77777777" w:rsidR="00000000" w:rsidRDefault="000A3118">
            <w:pPr>
              <w:rPr>
                <w:rFonts w:eastAsia="Times New Roman"/>
                <w:sz w:val="20"/>
                <w:szCs w:val="20"/>
              </w:rPr>
            </w:pPr>
          </w:p>
        </w:tc>
        <w:tc>
          <w:tcPr>
            <w:tcW w:w="26" w:type="pct"/>
            <w:vAlign w:val="center"/>
            <w:hideMark/>
          </w:tcPr>
          <w:p w14:paraId="68AA5662" w14:textId="77777777" w:rsidR="00000000" w:rsidRDefault="000A3118">
            <w:pPr>
              <w:rPr>
                <w:rFonts w:eastAsia="Times New Roman"/>
                <w:sz w:val="20"/>
                <w:szCs w:val="20"/>
              </w:rPr>
            </w:pPr>
          </w:p>
        </w:tc>
        <w:tc>
          <w:tcPr>
            <w:tcW w:w="5" w:type="pct"/>
            <w:vAlign w:val="center"/>
            <w:hideMark/>
          </w:tcPr>
          <w:p w14:paraId="69C0DCB8" w14:textId="77777777" w:rsidR="00000000" w:rsidRDefault="000A3118">
            <w:pPr>
              <w:rPr>
                <w:rFonts w:eastAsia="Times New Roman"/>
                <w:sz w:val="20"/>
                <w:szCs w:val="20"/>
              </w:rPr>
            </w:pPr>
          </w:p>
        </w:tc>
        <w:tc>
          <w:tcPr>
            <w:tcW w:w="50" w:type="pct"/>
            <w:vAlign w:val="center"/>
            <w:hideMark/>
          </w:tcPr>
          <w:p w14:paraId="26E066FF" w14:textId="77777777" w:rsidR="00000000" w:rsidRDefault="000A3118">
            <w:pPr>
              <w:rPr>
                <w:rFonts w:eastAsia="Times New Roman"/>
                <w:sz w:val="20"/>
                <w:szCs w:val="20"/>
              </w:rPr>
            </w:pPr>
          </w:p>
        </w:tc>
        <w:tc>
          <w:tcPr>
            <w:tcW w:w="524" w:type="pct"/>
            <w:vAlign w:val="center"/>
            <w:hideMark/>
          </w:tcPr>
          <w:p w14:paraId="09DC0A8C" w14:textId="77777777" w:rsidR="00000000" w:rsidRDefault="000A3118">
            <w:pPr>
              <w:rPr>
                <w:rFonts w:eastAsia="Times New Roman"/>
                <w:sz w:val="20"/>
                <w:szCs w:val="20"/>
              </w:rPr>
            </w:pPr>
          </w:p>
        </w:tc>
        <w:tc>
          <w:tcPr>
            <w:tcW w:w="5" w:type="pct"/>
            <w:vAlign w:val="center"/>
            <w:hideMark/>
          </w:tcPr>
          <w:p w14:paraId="598D6264" w14:textId="77777777" w:rsidR="00000000" w:rsidRDefault="000A3118">
            <w:pPr>
              <w:rPr>
                <w:rFonts w:eastAsia="Times New Roman"/>
                <w:sz w:val="20"/>
                <w:szCs w:val="20"/>
              </w:rPr>
            </w:pPr>
          </w:p>
        </w:tc>
        <w:tc>
          <w:tcPr>
            <w:tcW w:w="5" w:type="pct"/>
            <w:vAlign w:val="center"/>
            <w:hideMark/>
          </w:tcPr>
          <w:p w14:paraId="200485C0" w14:textId="77777777" w:rsidR="00000000" w:rsidRDefault="000A3118">
            <w:pPr>
              <w:rPr>
                <w:rFonts w:eastAsia="Times New Roman"/>
                <w:sz w:val="20"/>
                <w:szCs w:val="20"/>
              </w:rPr>
            </w:pPr>
          </w:p>
        </w:tc>
        <w:tc>
          <w:tcPr>
            <w:tcW w:w="26" w:type="pct"/>
            <w:vAlign w:val="center"/>
            <w:hideMark/>
          </w:tcPr>
          <w:p w14:paraId="688BCE0C" w14:textId="77777777" w:rsidR="00000000" w:rsidRDefault="000A3118">
            <w:pPr>
              <w:rPr>
                <w:rFonts w:eastAsia="Times New Roman"/>
                <w:sz w:val="20"/>
                <w:szCs w:val="20"/>
              </w:rPr>
            </w:pPr>
          </w:p>
        </w:tc>
        <w:tc>
          <w:tcPr>
            <w:tcW w:w="5" w:type="pct"/>
            <w:vAlign w:val="center"/>
            <w:hideMark/>
          </w:tcPr>
          <w:p w14:paraId="566C7E25" w14:textId="77777777" w:rsidR="00000000" w:rsidRDefault="000A3118">
            <w:pPr>
              <w:rPr>
                <w:rFonts w:eastAsia="Times New Roman"/>
                <w:sz w:val="20"/>
                <w:szCs w:val="20"/>
              </w:rPr>
            </w:pPr>
          </w:p>
        </w:tc>
        <w:tc>
          <w:tcPr>
            <w:tcW w:w="50" w:type="pct"/>
            <w:vAlign w:val="center"/>
            <w:hideMark/>
          </w:tcPr>
          <w:p w14:paraId="1B303ED7" w14:textId="77777777" w:rsidR="00000000" w:rsidRDefault="000A3118">
            <w:pPr>
              <w:rPr>
                <w:rFonts w:eastAsia="Times New Roman"/>
                <w:sz w:val="20"/>
                <w:szCs w:val="20"/>
              </w:rPr>
            </w:pPr>
          </w:p>
        </w:tc>
        <w:tc>
          <w:tcPr>
            <w:tcW w:w="502" w:type="pct"/>
            <w:vAlign w:val="center"/>
            <w:hideMark/>
          </w:tcPr>
          <w:p w14:paraId="24E77913" w14:textId="77777777" w:rsidR="00000000" w:rsidRDefault="000A3118">
            <w:pPr>
              <w:rPr>
                <w:rFonts w:eastAsia="Times New Roman"/>
                <w:sz w:val="20"/>
                <w:szCs w:val="20"/>
              </w:rPr>
            </w:pPr>
          </w:p>
        </w:tc>
        <w:tc>
          <w:tcPr>
            <w:tcW w:w="5" w:type="pct"/>
            <w:vAlign w:val="center"/>
            <w:hideMark/>
          </w:tcPr>
          <w:p w14:paraId="5F1CA5DE" w14:textId="77777777" w:rsidR="00000000" w:rsidRDefault="000A3118">
            <w:pPr>
              <w:rPr>
                <w:rFonts w:eastAsia="Times New Roman"/>
                <w:sz w:val="20"/>
                <w:szCs w:val="20"/>
              </w:rPr>
            </w:pPr>
          </w:p>
        </w:tc>
      </w:tr>
      <w:tr w:rsidR="00000000" w14:paraId="541282B2" w14:textId="77777777">
        <w:trPr>
          <w:divId w:val="108398766"/>
        </w:trPr>
        <w:tc>
          <w:tcPr>
            <w:tcW w:w="0" w:type="auto"/>
            <w:gridSpan w:val="3"/>
            <w:tcMar>
              <w:top w:w="0" w:type="dxa"/>
              <w:left w:w="20" w:type="dxa"/>
              <w:bottom w:w="0" w:type="dxa"/>
              <w:right w:w="20" w:type="dxa"/>
            </w:tcMar>
            <w:vAlign w:val="center"/>
            <w:hideMark/>
          </w:tcPr>
          <w:p w14:paraId="430D2FC9"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6BEF1D3D"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4F41AA97" w14:textId="77777777" w:rsidR="00000000" w:rsidRDefault="000A3118">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14:paraId="253A3F65"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469EC5AE" w14:textId="77777777" w:rsidR="00000000" w:rsidRDefault="000A3118">
            <w:pPr>
              <w:rPr>
                <w:rFonts w:eastAsia="Times New Roman"/>
                <w:sz w:val="20"/>
                <w:szCs w:val="20"/>
              </w:rPr>
            </w:pPr>
          </w:p>
        </w:tc>
      </w:tr>
      <w:tr w:rsidR="00000000" w14:paraId="118B3D4F" w14:textId="77777777">
        <w:trPr>
          <w:divId w:val="108398766"/>
        </w:trPr>
        <w:tc>
          <w:tcPr>
            <w:tcW w:w="0" w:type="auto"/>
            <w:gridSpan w:val="3"/>
            <w:tcMar>
              <w:top w:w="0" w:type="dxa"/>
              <w:left w:w="20" w:type="dxa"/>
              <w:bottom w:w="0" w:type="dxa"/>
              <w:right w:w="20" w:type="dxa"/>
            </w:tcMar>
            <w:vAlign w:val="center"/>
            <w:hideMark/>
          </w:tcPr>
          <w:p w14:paraId="652CC260"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0129C34E"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3A36466D"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4F389B30"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49A672B4" w14:textId="77777777" w:rsidR="00000000" w:rsidRDefault="000A3118">
            <w:pPr>
              <w:rPr>
                <w:rFonts w:eastAsia="Times New Roman"/>
                <w:sz w:val="20"/>
                <w:szCs w:val="20"/>
              </w:rPr>
            </w:pPr>
          </w:p>
        </w:tc>
      </w:tr>
      <w:tr w:rsidR="00000000" w14:paraId="7925F453" w14:textId="77777777">
        <w:trPr>
          <w:divId w:val="108398766"/>
        </w:trPr>
        <w:tc>
          <w:tcPr>
            <w:tcW w:w="0" w:type="auto"/>
            <w:gridSpan w:val="3"/>
            <w:tcMar>
              <w:top w:w="0" w:type="dxa"/>
              <w:left w:w="20" w:type="dxa"/>
              <w:bottom w:w="0" w:type="dxa"/>
              <w:right w:w="20" w:type="dxa"/>
            </w:tcMar>
            <w:vAlign w:val="center"/>
            <w:hideMark/>
          </w:tcPr>
          <w:p w14:paraId="25BBB1FA"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A79917"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4A8D5F5"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C24E03C"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BB3B88"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52E7B329"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1DD1152C" w14:textId="77777777" w:rsidR="00000000" w:rsidRDefault="000A3118">
            <w:pPr>
              <w:jc w:val="center"/>
              <w:rPr>
                <w:rFonts w:eastAsia="Times New Roman"/>
              </w:rPr>
            </w:pPr>
            <w:r>
              <w:rPr>
                <w:rFonts w:eastAsia="Times New Roman"/>
                <w:b/>
                <w:bCs/>
                <w:color w:val="000000"/>
                <w:sz w:val="16"/>
                <w:szCs w:val="16"/>
              </w:rPr>
              <w:t>$ Change</w:t>
            </w:r>
          </w:p>
        </w:tc>
      </w:tr>
      <w:tr w:rsidR="00000000" w14:paraId="29B782E7" w14:textId="77777777">
        <w:trPr>
          <w:divId w:val="10839876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01B0EF6" w14:textId="77777777" w:rsidR="00000000" w:rsidRDefault="000A3118">
            <w:pPr>
              <w:rPr>
                <w:rFonts w:eastAsia="Times New Roman"/>
              </w:rPr>
            </w:pPr>
            <w:r>
              <w:rPr>
                <w:rFonts w:eastAsia="Times New Roman"/>
                <w:color w:val="000000"/>
                <w:sz w:val="16"/>
                <w:szCs w:val="16"/>
              </w:rPr>
              <w:t>Aviation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19C21D"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38CF1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6C94AB" w14:textId="77777777" w:rsidR="00000000" w:rsidRDefault="000A3118">
            <w:pPr>
              <w:jc w:val="right"/>
              <w:rPr>
                <w:rFonts w:eastAsia="Times New Roman"/>
              </w:rPr>
            </w:pPr>
            <w:r>
              <w:rPr>
                <w:rFonts w:eastAsia="Times New Roman"/>
                <w:color w:val="000000"/>
                <w:sz w:val="16"/>
                <w:szCs w:val="16"/>
              </w:rPr>
              <w:t>1,596.2 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9047A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18A75B"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D92CE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9D0B91" w14:textId="77777777" w:rsidR="00000000" w:rsidRDefault="000A3118">
            <w:pPr>
              <w:jc w:val="right"/>
              <w:rPr>
                <w:rFonts w:eastAsia="Times New Roman"/>
              </w:rPr>
            </w:pPr>
            <w:r>
              <w:rPr>
                <w:rFonts w:eastAsia="Times New Roman"/>
                <w:color w:val="000000"/>
                <w:sz w:val="16"/>
                <w:szCs w:val="16"/>
              </w:rPr>
              <w:t>4,743.0 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D16523"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21B0AD"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83C93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CA4FD2" w14:textId="77777777" w:rsidR="00000000" w:rsidRDefault="000A3118">
            <w:pPr>
              <w:jc w:val="right"/>
              <w:rPr>
                <w:rFonts w:eastAsia="Times New Roman"/>
              </w:rPr>
            </w:pPr>
            <w:r>
              <w:rPr>
                <w:rFonts w:eastAsia="Times New Roman"/>
                <w:color w:val="000000"/>
                <w:sz w:val="16"/>
                <w:szCs w:val="16"/>
              </w:rPr>
              <w:t>(3,146.8)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64D7CD" w14:textId="77777777" w:rsidR="00000000" w:rsidRDefault="000A3118">
            <w:pPr>
              <w:jc w:val="right"/>
              <w:rPr>
                <w:rFonts w:eastAsia="Times New Roman"/>
              </w:rPr>
            </w:pPr>
          </w:p>
        </w:tc>
      </w:tr>
      <w:tr w:rsidR="00000000" w14:paraId="04A5F7BC" w14:textId="77777777">
        <w:trPr>
          <w:divId w:val="108398766"/>
        </w:trPr>
        <w:tc>
          <w:tcPr>
            <w:tcW w:w="0" w:type="auto"/>
            <w:gridSpan w:val="3"/>
            <w:shd w:val="clear" w:color="auto" w:fill="FFFFFF"/>
            <w:tcMar>
              <w:top w:w="30" w:type="dxa"/>
              <w:left w:w="20" w:type="dxa"/>
              <w:bottom w:w="30" w:type="dxa"/>
              <w:right w:w="20" w:type="dxa"/>
            </w:tcMar>
            <w:vAlign w:val="bottom"/>
            <w:hideMark/>
          </w:tcPr>
          <w:p w14:paraId="0025B0F0" w14:textId="77777777" w:rsidR="00000000" w:rsidRDefault="000A3118">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14:paraId="41019292"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60CB65" w14:textId="77777777" w:rsidR="00000000" w:rsidRDefault="000A3118">
            <w:pPr>
              <w:jc w:val="right"/>
              <w:rPr>
                <w:rFonts w:eastAsia="Times New Roman"/>
              </w:rPr>
            </w:pPr>
            <w:r>
              <w:rPr>
                <w:rFonts w:eastAsia="Times New Roman"/>
                <w:color w:val="000000"/>
                <w:sz w:val="16"/>
                <w:szCs w:val="16"/>
              </w:rPr>
              <w:t>1,645.2 </w:t>
            </w:r>
          </w:p>
        </w:tc>
        <w:tc>
          <w:tcPr>
            <w:tcW w:w="0" w:type="auto"/>
            <w:shd w:val="clear" w:color="auto" w:fill="FFFFFF"/>
            <w:tcMar>
              <w:top w:w="30" w:type="dxa"/>
              <w:left w:w="0" w:type="dxa"/>
              <w:bottom w:w="30" w:type="dxa"/>
              <w:right w:w="20" w:type="dxa"/>
            </w:tcMar>
            <w:vAlign w:val="bottom"/>
            <w:hideMark/>
          </w:tcPr>
          <w:p w14:paraId="4067E08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E224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156883" w14:textId="77777777" w:rsidR="00000000" w:rsidRDefault="000A3118">
            <w:pPr>
              <w:jc w:val="right"/>
              <w:rPr>
                <w:rFonts w:eastAsia="Times New Roman"/>
              </w:rPr>
            </w:pPr>
            <w:r>
              <w:rPr>
                <w:rFonts w:eastAsia="Times New Roman"/>
                <w:color w:val="000000"/>
                <w:sz w:val="16"/>
                <w:szCs w:val="16"/>
              </w:rPr>
              <w:t>2,555.8 </w:t>
            </w:r>
          </w:p>
        </w:tc>
        <w:tc>
          <w:tcPr>
            <w:tcW w:w="0" w:type="auto"/>
            <w:shd w:val="clear" w:color="auto" w:fill="FFFFFF"/>
            <w:tcMar>
              <w:top w:w="30" w:type="dxa"/>
              <w:left w:w="0" w:type="dxa"/>
              <w:bottom w:w="30" w:type="dxa"/>
              <w:right w:w="20" w:type="dxa"/>
            </w:tcMar>
            <w:vAlign w:val="bottom"/>
            <w:hideMark/>
          </w:tcPr>
          <w:p w14:paraId="5F57535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40937"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82650F" w14:textId="77777777" w:rsidR="00000000" w:rsidRDefault="000A3118">
            <w:pPr>
              <w:jc w:val="right"/>
              <w:rPr>
                <w:rFonts w:eastAsia="Times New Roman"/>
              </w:rPr>
            </w:pPr>
            <w:r>
              <w:rPr>
                <w:rFonts w:eastAsia="Times New Roman"/>
                <w:color w:val="000000"/>
                <w:sz w:val="16"/>
                <w:szCs w:val="16"/>
              </w:rPr>
              <w:t>(910.6)</w:t>
            </w:r>
          </w:p>
        </w:tc>
        <w:tc>
          <w:tcPr>
            <w:tcW w:w="0" w:type="auto"/>
            <w:shd w:val="clear" w:color="auto" w:fill="FFFFFF"/>
            <w:tcMar>
              <w:top w:w="30" w:type="dxa"/>
              <w:left w:w="0" w:type="dxa"/>
              <w:bottom w:w="30" w:type="dxa"/>
              <w:right w:w="20" w:type="dxa"/>
            </w:tcMar>
            <w:vAlign w:val="bottom"/>
            <w:hideMark/>
          </w:tcPr>
          <w:p w14:paraId="566BE7BC" w14:textId="77777777" w:rsidR="00000000" w:rsidRDefault="000A3118">
            <w:pPr>
              <w:jc w:val="right"/>
              <w:rPr>
                <w:rFonts w:eastAsia="Times New Roman"/>
              </w:rPr>
            </w:pPr>
          </w:p>
        </w:tc>
      </w:tr>
      <w:tr w:rsidR="00000000" w14:paraId="777D06F0" w14:textId="77777777">
        <w:trPr>
          <w:divId w:val="108398766"/>
        </w:trPr>
        <w:tc>
          <w:tcPr>
            <w:tcW w:w="0" w:type="auto"/>
            <w:gridSpan w:val="3"/>
            <w:shd w:val="clear" w:color="auto" w:fill="CCEEFF"/>
            <w:tcMar>
              <w:top w:w="30" w:type="dxa"/>
              <w:left w:w="20" w:type="dxa"/>
              <w:bottom w:w="30" w:type="dxa"/>
              <w:right w:w="20" w:type="dxa"/>
            </w:tcMar>
            <w:vAlign w:val="bottom"/>
            <w:hideMark/>
          </w:tcPr>
          <w:p w14:paraId="6E1D9201" w14:textId="77777777" w:rsidR="00000000" w:rsidRDefault="000A3118">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14:paraId="7F771EBB"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E2DB34" w14:textId="77777777" w:rsidR="00000000" w:rsidRDefault="000A3118">
            <w:pPr>
              <w:jc w:val="right"/>
              <w:rPr>
                <w:rFonts w:eastAsia="Times New Roman"/>
              </w:rPr>
            </w:pPr>
            <w:r>
              <w:rPr>
                <w:rFonts w:eastAsia="Times New Roman"/>
                <w:color w:val="000000"/>
                <w:sz w:val="16"/>
                <w:szCs w:val="16"/>
              </w:rPr>
              <w:t>1,241.2 </w:t>
            </w:r>
          </w:p>
        </w:tc>
        <w:tc>
          <w:tcPr>
            <w:tcW w:w="0" w:type="auto"/>
            <w:shd w:val="clear" w:color="auto" w:fill="CCEEFF"/>
            <w:tcMar>
              <w:top w:w="30" w:type="dxa"/>
              <w:left w:w="0" w:type="dxa"/>
              <w:bottom w:w="30" w:type="dxa"/>
              <w:right w:w="20" w:type="dxa"/>
            </w:tcMar>
            <w:vAlign w:val="bottom"/>
            <w:hideMark/>
          </w:tcPr>
          <w:p w14:paraId="750029B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C2FF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D7CC59" w14:textId="77777777" w:rsidR="00000000" w:rsidRDefault="000A3118">
            <w:pPr>
              <w:jc w:val="right"/>
              <w:rPr>
                <w:rFonts w:eastAsia="Times New Roman"/>
              </w:rPr>
            </w:pPr>
            <w:r>
              <w:rPr>
                <w:rFonts w:eastAsia="Times New Roman"/>
                <w:color w:val="000000"/>
                <w:sz w:val="16"/>
                <w:szCs w:val="16"/>
              </w:rPr>
              <w:t>2,023.9 </w:t>
            </w:r>
          </w:p>
        </w:tc>
        <w:tc>
          <w:tcPr>
            <w:tcW w:w="0" w:type="auto"/>
            <w:shd w:val="clear" w:color="auto" w:fill="CCEEFF"/>
            <w:tcMar>
              <w:top w:w="30" w:type="dxa"/>
              <w:left w:w="0" w:type="dxa"/>
              <w:bottom w:w="30" w:type="dxa"/>
              <w:right w:w="20" w:type="dxa"/>
            </w:tcMar>
            <w:vAlign w:val="bottom"/>
            <w:hideMark/>
          </w:tcPr>
          <w:p w14:paraId="74C75B1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FE0BE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1C27BE" w14:textId="77777777" w:rsidR="00000000" w:rsidRDefault="000A3118">
            <w:pPr>
              <w:jc w:val="right"/>
              <w:rPr>
                <w:rFonts w:eastAsia="Times New Roman"/>
              </w:rPr>
            </w:pPr>
            <w:r>
              <w:rPr>
                <w:rFonts w:eastAsia="Times New Roman"/>
                <w:color w:val="000000"/>
                <w:sz w:val="16"/>
                <w:szCs w:val="16"/>
              </w:rPr>
              <w:t>(782.6)</w:t>
            </w:r>
          </w:p>
        </w:tc>
        <w:tc>
          <w:tcPr>
            <w:tcW w:w="0" w:type="auto"/>
            <w:shd w:val="clear" w:color="auto" w:fill="CCEEFF"/>
            <w:tcMar>
              <w:top w:w="30" w:type="dxa"/>
              <w:left w:w="0" w:type="dxa"/>
              <w:bottom w:w="30" w:type="dxa"/>
              <w:right w:w="20" w:type="dxa"/>
            </w:tcMar>
            <w:vAlign w:val="bottom"/>
            <w:hideMark/>
          </w:tcPr>
          <w:p w14:paraId="3A2D50AE" w14:textId="77777777" w:rsidR="00000000" w:rsidRDefault="000A3118">
            <w:pPr>
              <w:jc w:val="right"/>
              <w:rPr>
                <w:rFonts w:eastAsia="Times New Roman"/>
              </w:rPr>
            </w:pPr>
          </w:p>
        </w:tc>
      </w:tr>
      <w:tr w:rsidR="00000000" w14:paraId="10A58714" w14:textId="77777777">
        <w:trPr>
          <w:divId w:val="108398766"/>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2801C54"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7CB6ECC"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666F5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CB01CD" w14:textId="77777777" w:rsidR="00000000" w:rsidRDefault="000A3118">
            <w:pPr>
              <w:jc w:val="right"/>
              <w:rPr>
                <w:rFonts w:eastAsia="Times New Roman"/>
              </w:rPr>
            </w:pPr>
            <w:r>
              <w:rPr>
                <w:rFonts w:eastAsia="Times New Roman"/>
                <w:color w:val="000000"/>
                <w:sz w:val="16"/>
                <w:szCs w:val="16"/>
              </w:rPr>
              <w:t>4,482.7 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10E618"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C5811A4"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A9A23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C0BF18" w14:textId="77777777" w:rsidR="00000000" w:rsidRDefault="000A3118">
            <w:pPr>
              <w:jc w:val="right"/>
              <w:rPr>
                <w:rFonts w:eastAsia="Times New Roman"/>
              </w:rPr>
            </w:pPr>
            <w:r>
              <w:rPr>
                <w:rFonts w:eastAsia="Times New Roman"/>
                <w:color w:val="000000"/>
                <w:sz w:val="16"/>
                <w:szCs w:val="16"/>
              </w:rPr>
              <w:t>9,322.7 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6FCE84"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8526CC6"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23EB6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60BAC69" w14:textId="77777777" w:rsidR="00000000" w:rsidRDefault="000A3118">
            <w:pPr>
              <w:jc w:val="right"/>
              <w:rPr>
                <w:rFonts w:eastAsia="Times New Roman"/>
              </w:rPr>
            </w:pPr>
            <w:r>
              <w:rPr>
                <w:rFonts w:eastAsia="Times New Roman"/>
                <w:color w:val="000000"/>
                <w:sz w:val="16"/>
                <w:szCs w:val="16"/>
              </w:rPr>
              <w:t>(4,840.0)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E1FCA0" w14:textId="77777777" w:rsidR="00000000" w:rsidRDefault="000A3118">
            <w:pPr>
              <w:jc w:val="right"/>
              <w:rPr>
                <w:rFonts w:eastAsia="Times New Roman"/>
              </w:rPr>
            </w:pPr>
          </w:p>
        </w:tc>
      </w:tr>
    </w:tbl>
    <w:p w14:paraId="393BD4F8" w14:textId="77777777" w:rsidR="00000000" w:rsidRDefault="000A3118">
      <w:pPr>
        <w:ind w:firstLine="360"/>
        <w:jc w:val="both"/>
        <w:divId w:val="399210194"/>
        <w:rPr>
          <w:rFonts w:eastAsia="Times New Roman"/>
        </w:rPr>
      </w:pPr>
      <w:r>
        <w:rPr>
          <w:rFonts w:eastAsia="Times New Roman"/>
          <w:color w:val="000000"/>
          <w:sz w:val="20"/>
          <w:szCs w:val="20"/>
        </w:rPr>
        <w:t>Revenues in our aviation segment were $1.6 billion for the third quarter of 2020, a decrease of $3.1 billion, or 66% as compared to the third quarter of 2019. Lower average jet fuel prices drove muc</w:t>
      </w:r>
      <w:r>
        <w:rPr>
          <w:rFonts w:eastAsia="Times New Roman"/>
          <w:color w:val="000000"/>
          <w:sz w:val="20"/>
          <w:szCs w:val="20"/>
        </w:rPr>
        <w:t>h of the decrease in aviation revenue in the third quarter of 2020, where the average price per gallon sold was $1.28, as compared to $2.05 in the third quarter of 2019. Additionally, total aviation volumes for the third quarter of 2020 decreased by 1.2 bi</w:t>
      </w:r>
      <w:r>
        <w:rPr>
          <w:rFonts w:eastAsia="Times New Roman"/>
          <w:color w:val="000000"/>
          <w:sz w:val="20"/>
          <w:szCs w:val="20"/>
        </w:rPr>
        <w:t>llion or 53% to 1.0 billion gallons as compared to the prior-year period. The volume reduction resulted from the significant decline in activity in our commercial aviation business due to the impact of the COVID-19 pandemic on air travel.</w:t>
      </w:r>
    </w:p>
    <w:p w14:paraId="47660B9B" w14:textId="77777777" w:rsidR="00000000" w:rsidRDefault="000A3118">
      <w:pPr>
        <w:ind w:firstLine="360"/>
        <w:divId w:val="1870487233"/>
        <w:rPr>
          <w:rFonts w:eastAsia="Times New Roman"/>
        </w:rPr>
      </w:pPr>
    </w:p>
    <w:p w14:paraId="30D80729" w14:textId="77777777" w:rsidR="00000000" w:rsidRDefault="000A3118">
      <w:pPr>
        <w:ind w:firstLine="360"/>
        <w:jc w:val="both"/>
        <w:rPr>
          <w:rFonts w:eastAsia="Times New Roman"/>
        </w:rPr>
      </w:pPr>
      <w:r>
        <w:rPr>
          <w:rFonts w:eastAsia="Times New Roman"/>
          <w:color w:val="000000"/>
          <w:sz w:val="20"/>
          <w:szCs w:val="20"/>
        </w:rPr>
        <w:t>Revenues in our</w:t>
      </w:r>
      <w:r>
        <w:rPr>
          <w:rFonts w:eastAsia="Times New Roman"/>
          <w:color w:val="000000"/>
          <w:sz w:val="20"/>
          <w:szCs w:val="20"/>
        </w:rPr>
        <w:t xml:space="preserve"> land segment were $1.6 billion for the third quarter of 2020, a decrease of $910.6 million, or 36%, as compared to the third quarter of 2019. The decrease in revenue was due to lower average fuel prices in the third quarter of 2020 compared to 2019, where</w:t>
      </w:r>
      <w:r>
        <w:rPr>
          <w:rFonts w:eastAsia="Times New Roman"/>
          <w:color w:val="000000"/>
          <w:sz w:val="20"/>
          <w:szCs w:val="20"/>
        </w:rPr>
        <w:t xml:space="preserve"> the average price per gallon or gallon equivalent sold was $1.31 and $1.88, respectively. Volumes in our land segment for the third quarter of 2020 decreased by 109.1 million or 8.1% to 1.2 billion gallons due to the continued effects of the pandemic on c</w:t>
      </w:r>
      <w:r>
        <w:rPr>
          <w:rFonts w:eastAsia="Times New Roman"/>
          <w:color w:val="000000"/>
          <w:sz w:val="20"/>
          <w:szCs w:val="20"/>
        </w:rPr>
        <w:t>ommuting and other related activities.</w:t>
      </w:r>
    </w:p>
    <w:p w14:paraId="6A977F2B" w14:textId="77777777" w:rsidR="00000000" w:rsidRDefault="000A3118">
      <w:pPr>
        <w:ind w:firstLine="360"/>
        <w:jc w:val="both"/>
        <w:rPr>
          <w:rFonts w:eastAsia="Times New Roman"/>
        </w:rPr>
      </w:pPr>
    </w:p>
    <w:p w14:paraId="50F67534" w14:textId="77777777" w:rsidR="00000000" w:rsidRDefault="000A3118">
      <w:pPr>
        <w:ind w:firstLine="360"/>
        <w:jc w:val="both"/>
        <w:rPr>
          <w:rFonts w:eastAsia="Times New Roman"/>
        </w:rPr>
      </w:pPr>
      <w:r>
        <w:rPr>
          <w:rFonts w:eastAsia="Times New Roman"/>
          <w:color w:val="000000"/>
          <w:sz w:val="20"/>
          <w:szCs w:val="20"/>
        </w:rPr>
        <w:t xml:space="preserve">Revenues in our marine segment were $1.2 billion for the third quarter of 2020, a decrease of $782.6 million, or 39%, as compared to the third quarter of 2019.  The decrease in revenues was mainly attributable to a </w:t>
      </w:r>
      <w:r>
        <w:rPr>
          <w:rFonts w:eastAsia="Times New Roman"/>
          <w:color w:val="000000"/>
          <w:sz w:val="20"/>
          <w:szCs w:val="20"/>
        </w:rPr>
        <w:t>22% decrease in the average price per metric ton of bunker fuel sold to $284.7 in the third quarter of 2020 compared to $366.7 in the third quarter of 2019. Volumes in our marine segment declined by 1.2 million metric tons, or 21% to 4.4 million metric ton</w:t>
      </w:r>
      <w:r>
        <w:rPr>
          <w:rFonts w:eastAsia="Times New Roman"/>
          <w:color w:val="000000"/>
          <w:sz w:val="20"/>
          <w:szCs w:val="20"/>
        </w:rPr>
        <w:t>s in the third quarter of 2020, as compared to 2019. The volume decline was a result of the effects of COVID-19 on demand, combined with a continuing effort to exit activities that generate a low economic return, particularly in light of the elevated credi</w:t>
      </w:r>
      <w:r>
        <w:rPr>
          <w:rFonts w:eastAsia="Times New Roman"/>
          <w:color w:val="000000"/>
          <w:sz w:val="20"/>
          <w:szCs w:val="20"/>
        </w:rPr>
        <w:t>t risk environment in the wake of the pandemic.</w:t>
      </w:r>
    </w:p>
    <w:p w14:paraId="19FB2AE7" w14:textId="77777777" w:rsidR="00000000" w:rsidRDefault="000A3118">
      <w:pPr>
        <w:ind w:firstLine="360"/>
        <w:jc w:val="both"/>
        <w:rPr>
          <w:rFonts w:eastAsia="Times New Roman"/>
        </w:rPr>
      </w:pPr>
    </w:p>
    <w:p w14:paraId="53A99FAE" w14:textId="77777777" w:rsidR="00000000" w:rsidRDefault="000A3118">
      <w:pPr>
        <w:ind w:firstLine="360"/>
        <w:jc w:val="both"/>
        <w:rPr>
          <w:rFonts w:eastAsia="Times New Roman"/>
        </w:rPr>
      </w:pPr>
      <w:r>
        <w:rPr>
          <w:rFonts w:eastAsia="Times New Roman"/>
          <w:i/>
          <w:iCs/>
          <w:color w:val="000000"/>
          <w:sz w:val="20"/>
          <w:szCs w:val="20"/>
        </w:rPr>
        <w:t>Gross Profit. </w:t>
      </w:r>
      <w:r>
        <w:rPr>
          <w:rFonts w:eastAsia="Times New Roman"/>
          <w:color w:val="000000"/>
          <w:sz w:val="20"/>
          <w:szCs w:val="20"/>
        </w:rPr>
        <w:t>Our gross profit for the third quarter of 2020 was $214.0 million, a decrease of $91.7 million, or 30%, compared to the third quarter of 2019.</w:t>
      </w:r>
    </w:p>
    <w:p w14:paraId="2D5FC628" w14:textId="77777777" w:rsidR="00000000" w:rsidRDefault="000A3118">
      <w:pPr>
        <w:ind w:firstLine="360"/>
        <w:jc w:val="both"/>
        <w:rPr>
          <w:rFonts w:eastAsia="Times New Roman"/>
        </w:rPr>
      </w:pPr>
      <w:r>
        <w:rPr>
          <w:rFonts w:eastAsia="Times New Roman"/>
          <w:color w:val="000000"/>
          <w:sz w:val="20"/>
          <w:szCs w:val="20"/>
        </w:rPr>
        <w:t>Our gross profit during these periods was attribu</w:t>
      </w:r>
      <w:r>
        <w:rPr>
          <w:rFonts w:eastAsia="Times New Roman"/>
          <w:color w:val="000000"/>
          <w:sz w:val="20"/>
          <w:szCs w:val="20"/>
        </w:rPr>
        <w:t>table to the following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42"/>
        <w:gridCol w:w="5128"/>
        <w:gridCol w:w="36"/>
        <w:gridCol w:w="36"/>
        <w:gridCol w:w="36"/>
        <w:gridCol w:w="36"/>
        <w:gridCol w:w="100"/>
        <w:gridCol w:w="793"/>
        <w:gridCol w:w="36"/>
        <w:gridCol w:w="36"/>
        <w:gridCol w:w="36"/>
        <w:gridCol w:w="36"/>
        <w:gridCol w:w="100"/>
        <w:gridCol w:w="793"/>
        <w:gridCol w:w="36"/>
        <w:gridCol w:w="36"/>
        <w:gridCol w:w="36"/>
        <w:gridCol w:w="36"/>
        <w:gridCol w:w="101"/>
        <w:gridCol w:w="756"/>
        <w:gridCol w:w="36"/>
      </w:tblGrid>
      <w:tr w:rsidR="00000000" w14:paraId="79F8DC3A" w14:textId="77777777">
        <w:trPr>
          <w:divId w:val="1494950590"/>
        </w:trPr>
        <w:tc>
          <w:tcPr>
            <w:tcW w:w="50" w:type="pct"/>
            <w:vAlign w:val="center"/>
            <w:hideMark/>
          </w:tcPr>
          <w:p w14:paraId="4E41AE3E" w14:textId="77777777" w:rsidR="00000000" w:rsidRDefault="000A3118">
            <w:pPr>
              <w:ind w:firstLine="360"/>
              <w:jc w:val="both"/>
              <w:rPr>
                <w:rFonts w:eastAsia="Times New Roman"/>
              </w:rPr>
            </w:pPr>
          </w:p>
        </w:tc>
        <w:tc>
          <w:tcPr>
            <w:tcW w:w="3119" w:type="pct"/>
            <w:vAlign w:val="center"/>
            <w:hideMark/>
          </w:tcPr>
          <w:p w14:paraId="48C665D4" w14:textId="77777777" w:rsidR="00000000" w:rsidRDefault="000A3118">
            <w:pPr>
              <w:rPr>
                <w:rFonts w:eastAsia="Times New Roman"/>
                <w:sz w:val="20"/>
                <w:szCs w:val="20"/>
              </w:rPr>
            </w:pPr>
          </w:p>
        </w:tc>
        <w:tc>
          <w:tcPr>
            <w:tcW w:w="5" w:type="pct"/>
            <w:vAlign w:val="center"/>
            <w:hideMark/>
          </w:tcPr>
          <w:p w14:paraId="7E3D3FAB" w14:textId="77777777" w:rsidR="00000000" w:rsidRDefault="000A3118">
            <w:pPr>
              <w:rPr>
                <w:rFonts w:eastAsia="Times New Roman"/>
                <w:sz w:val="20"/>
                <w:szCs w:val="20"/>
              </w:rPr>
            </w:pPr>
          </w:p>
        </w:tc>
        <w:tc>
          <w:tcPr>
            <w:tcW w:w="5" w:type="pct"/>
            <w:vAlign w:val="center"/>
            <w:hideMark/>
          </w:tcPr>
          <w:p w14:paraId="0EC0722B" w14:textId="77777777" w:rsidR="00000000" w:rsidRDefault="000A3118">
            <w:pPr>
              <w:rPr>
                <w:rFonts w:eastAsia="Times New Roman"/>
                <w:sz w:val="20"/>
                <w:szCs w:val="20"/>
              </w:rPr>
            </w:pPr>
          </w:p>
        </w:tc>
        <w:tc>
          <w:tcPr>
            <w:tcW w:w="26" w:type="pct"/>
            <w:vAlign w:val="center"/>
            <w:hideMark/>
          </w:tcPr>
          <w:p w14:paraId="07E89698" w14:textId="77777777" w:rsidR="00000000" w:rsidRDefault="000A3118">
            <w:pPr>
              <w:rPr>
                <w:rFonts w:eastAsia="Times New Roman"/>
                <w:sz w:val="20"/>
                <w:szCs w:val="20"/>
              </w:rPr>
            </w:pPr>
          </w:p>
        </w:tc>
        <w:tc>
          <w:tcPr>
            <w:tcW w:w="5" w:type="pct"/>
            <w:vAlign w:val="center"/>
            <w:hideMark/>
          </w:tcPr>
          <w:p w14:paraId="00E5F6D3" w14:textId="77777777" w:rsidR="00000000" w:rsidRDefault="000A3118">
            <w:pPr>
              <w:rPr>
                <w:rFonts w:eastAsia="Times New Roman"/>
                <w:sz w:val="20"/>
                <w:szCs w:val="20"/>
              </w:rPr>
            </w:pPr>
          </w:p>
        </w:tc>
        <w:tc>
          <w:tcPr>
            <w:tcW w:w="50" w:type="pct"/>
            <w:vAlign w:val="center"/>
            <w:hideMark/>
          </w:tcPr>
          <w:p w14:paraId="113AB992" w14:textId="77777777" w:rsidR="00000000" w:rsidRDefault="000A3118">
            <w:pPr>
              <w:rPr>
                <w:rFonts w:eastAsia="Times New Roman"/>
                <w:sz w:val="20"/>
                <w:szCs w:val="20"/>
              </w:rPr>
            </w:pPr>
          </w:p>
        </w:tc>
        <w:tc>
          <w:tcPr>
            <w:tcW w:w="524" w:type="pct"/>
            <w:vAlign w:val="center"/>
            <w:hideMark/>
          </w:tcPr>
          <w:p w14:paraId="14EDE35F" w14:textId="77777777" w:rsidR="00000000" w:rsidRDefault="000A3118">
            <w:pPr>
              <w:rPr>
                <w:rFonts w:eastAsia="Times New Roman"/>
                <w:sz w:val="20"/>
                <w:szCs w:val="20"/>
              </w:rPr>
            </w:pPr>
          </w:p>
        </w:tc>
        <w:tc>
          <w:tcPr>
            <w:tcW w:w="5" w:type="pct"/>
            <w:vAlign w:val="center"/>
            <w:hideMark/>
          </w:tcPr>
          <w:p w14:paraId="05385D83" w14:textId="77777777" w:rsidR="00000000" w:rsidRDefault="000A3118">
            <w:pPr>
              <w:rPr>
                <w:rFonts w:eastAsia="Times New Roman"/>
                <w:sz w:val="20"/>
                <w:szCs w:val="20"/>
              </w:rPr>
            </w:pPr>
          </w:p>
        </w:tc>
        <w:tc>
          <w:tcPr>
            <w:tcW w:w="5" w:type="pct"/>
            <w:vAlign w:val="center"/>
            <w:hideMark/>
          </w:tcPr>
          <w:p w14:paraId="5E6829F1" w14:textId="77777777" w:rsidR="00000000" w:rsidRDefault="000A3118">
            <w:pPr>
              <w:rPr>
                <w:rFonts w:eastAsia="Times New Roman"/>
                <w:sz w:val="20"/>
                <w:szCs w:val="20"/>
              </w:rPr>
            </w:pPr>
          </w:p>
        </w:tc>
        <w:tc>
          <w:tcPr>
            <w:tcW w:w="26" w:type="pct"/>
            <w:vAlign w:val="center"/>
            <w:hideMark/>
          </w:tcPr>
          <w:p w14:paraId="5D1DDF59" w14:textId="77777777" w:rsidR="00000000" w:rsidRDefault="000A3118">
            <w:pPr>
              <w:rPr>
                <w:rFonts w:eastAsia="Times New Roman"/>
                <w:sz w:val="20"/>
                <w:szCs w:val="20"/>
              </w:rPr>
            </w:pPr>
          </w:p>
        </w:tc>
        <w:tc>
          <w:tcPr>
            <w:tcW w:w="5" w:type="pct"/>
            <w:vAlign w:val="center"/>
            <w:hideMark/>
          </w:tcPr>
          <w:p w14:paraId="5E0E44ED" w14:textId="77777777" w:rsidR="00000000" w:rsidRDefault="000A3118">
            <w:pPr>
              <w:rPr>
                <w:rFonts w:eastAsia="Times New Roman"/>
                <w:sz w:val="20"/>
                <w:szCs w:val="20"/>
              </w:rPr>
            </w:pPr>
          </w:p>
        </w:tc>
        <w:tc>
          <w:tcPr>
            <w:tcW w:w="50" w:type="pct"/>
            <w:vAlign w:val="center"/>
            <w:hideMark/>
          </w:tcPr>
          <w:p w14:paraId="64773201" w14:textId="77777777" w:rsidR="00000000" w:rsidRDefault="000A3118">
            <w:pPr>
              <w:rPr>
                <w:rFonts w:eastAsia="Times New Roman"/>
                <w:sz w:val="20"/>
                <w:szCs w:val="20"/>
              </w:rPr>
            </w:pPr>
          </w:p>
        </w:tc>
        <w:tc>
          <w:tcPr>
            <w:tcW w:w="524" w:type="pct"/>
            <w:vAlign w:val="center"/>
            <w:hideMark/>
          </w:tcPr>
          <w:p w14:paraId="4BC63E82" w14:textId="77777777" w:rsidR="00000000" w:rsidRDefault="000A3118">
            <w:pPr>
              <w:rPr>
                <w:rFonts w:eastAsia="Times New Roman"/>
                <w:sz w:val="20"/>
                <w:szCs w:val="20"/>
              </w:rPr>
            </w:pPr>
          </w:p>
        </w:tc>
        <w:tc>
          <w:tcPr>
            <w:tcW w:w="5" w:type="pct"/>
            <w:vAlign w:val="center"/>
            <w:hideMark/>
          </w:tcPr>
          <w:p w14:paraId="0F58DB85" w14:textId="77777777" w:rsidR="00000000" w:rsidRDefault="000A3118">
            <w:pPr>
              <w:rPr>
                <w:rFonts w:eastAsia="Times New Roman"/>
                <w:sz w:val="20"/>
                <w:szCs w:val="20"/>
              </w:rPr>
            </w:pPr>
          </w:p>
        </w:tc>
        <w:tc>
          <w:tcPr>
            <w:tcW w:w="5" w:type="pct"/>
            <w:vAlign w:val="center"/>
            <w:hideMark/>
          </w:tcPr>
          <w:p w14:paraId="5EEA2C12" w14:textId="77777777" w:rsidR="00000000" w:rsidRDefault="000A3118">
            <w:pPr>
              <w:rPr>
                <w:rFonts w:eastAsia="Times New Roman"/>
                <w:sz w:val="20"/>
                <w:szCs w:val="20"/>
              </w:rPr>
            </w:pPr>
          </w:p>
        </w:tc>
        <w:tc>
          <w:tcPr>
            <w:tcW w:w="26" w:type="pct"/>
            <w:vAlign w:val="center"/>
            <w:hideMark/>
          </w:tcPr>
          <w:p w14:paraId="58A99590" w14:textId="77777777" w:rsidR="00000000" w:rsidRDefault="000A3118">
            <w:pPr>
              <w:rPr>
                <w:rFonts w:eastAsia="Times New Roman"/>
                <w:sz w:val="20"/>
                <w:szCs w:val="20"/>
              </w:rPr>
            </w:pPr>
          </w:p>
        </w:tc>
        <w:tc>
          <w:tcPr>
            <w:tcW w:w="5" w:type="pct"/>
            <w:vAlign w:val="center"/>
            <w:hideMark/>
          </w:tcPr>
          <w:p w14:paraId="7CDBAC25" w14:textId="77777777" w:rsidR="00000000" w:rsidRDefault="000A3118">
            <w:pPr>
              <w:rPr>
                <w:rFonts w:eastAsia="Times New Roman"/>
                <w:sz w:val="20"/>
                <w:szCs w:val="20"/>
              </w:rPr>
            </w:pPr>
          </w:p>
        </w:tc>
        <w:tc>
          <w:tcPr>
            <w:tcW w:w="50" w:type="pct"/>
            <w:vAlign w:val="center"/>
            <w:hideMark/>
          </w:tcPr>
          <w:p w14:paraId="12680ACB" w14:textId="77777777" w:rsidR="00000000" w:rsidRDefault="000A3118">
            <w:pPr>
              <w:rPr>
                <w:rFonts w:eastAsia="Times New Roman"/>
                <w:sz w:val="20"/>
                <w:szCs w:val="20"/>
              </w:rPr>
            </w:pPr>
          </w:p>
        </w:tc>
        <w:tc>
          <w:tcPr>
            <w:tcW w:w="502" w:type="pct"/>
            <w:vAlign w:val="center"/>
            <w:hideMark/>
          </w:tcPr>
          <w:p w14:paraId="3C72D142" w14:textId="77777777" w:rsidR="00000000" w:rsidRDefault="000A3118">
            <w:pPr>
              <w:rPr>
                <w:rFonts w:eastAsia="Times New Roman"/>
                <w:sz w:val="20"/>
                <w:szCs w:val="20"/>
              </w:rPr>
            </w:pPr>
          </w:p>
        </w:tc>
        <w:tc>
          <w:tcPr>
            <w:tcW w:w="5" w:type="pct"/>
            <w:vAlign w:val="center"/>
            <w:hideMark/>
          </w:tcPr>
          <w:p w14:paraId="1BD29DB5" w14:textId="77777777" w:rsidR="00000000" w:rsidRDefault="000A3118">
            <w:pPr>
              <w:rPr>
                <w:rFonts w:eastAsia="Times New Roman"/>
                <w:sz w:val="20"/>
                <w:szCs w:val="20"/>
              </w:rPr>
            </w:pPr>
          </w:p>
        </w:tc>
      </w:tr>
      <w:tr w:rsidR="00000000" w14:paraId="43FC089E" w14:textId="77777777">
        <w:trPr>
          <w:divId w:val="1494950590"/>
        </w:trPr>
        <w:tc>
          <w:tcPr>
            <w:tcW w:w="0" w:type="auto"/>
            <w:gridSpan w:val="3"/>
            <w:tcMar>
              <w:top w:w="0" w:type="dxa"/>
              <w:left w:w="20" w:type="dxa"/>
              <w:bottom w:w="0" w:type="dxa"/>
              <w:right w:w="20" w:type="dxa"/>
            </w:tcMar>
            <w:vAlign w:val="center"/>
            <w:hideMark/>
          </w:tcPr>
          <w:p w14:paraId="5B25951B"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BD60659"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6CBE607E" w14:textId="77777777" w:rsidR="00000000" w:rsidRDefault="000A3118">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14:paraId="5E88ABA5"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3C2DCC1B" w14:textId="77777777" w:rsidR="00000000" w:rsidRDefault="000A3118">
            <w:pPr>
              <w:rPr>
                <w:rFonts w:eastAsia="Times New Roman"/>
                <w:sz w:val="20"/>
                <w:szCs w:val="20"/>
              </w:rPr>
            </w:pPr>
          </w:p>
        </w:tc>
      </w:tr>
      <w:tr w:rsidR="00000000" w14:paraId="6A8DDFD2" w14:textId="77777777">
        <w:trPr>
          <w:divId w:val="1494950590"/>
        </w:trPr>
        <w:tc>
          <w:tcPr>
            <w:tcW w:w="0" w:type="auto"/>
            <w:gridSpan w:val="3"/>
            <w:tcMar>
              <w:top w:w="0" w:type="dxa"/>
              <w:left w:w="20" w:type="dxa"/>
              <w:bottom w:w="0" w:type="dxa"/>
              <w:right w:w="20" w:type="dxa"/>
            </w:tcMar>
            <w:vAlign w:val="center"/>
            <w:hideMark/>
          </w:tcPr>
          <w:p w14:paraId="36E362F3"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C57DE0A"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61EE16B3"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05E9AE8B"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70D9B1FB" w14:textId="77777777" w:rsidR="00000000" w:rsidRDefault="000A3118">
            <w:pPr>
              <w:rPr>
                <w:rFonts w:eastAsia="Times New Roman"/>
                <w:sz w:val="20"/>
                <w:szCs w:val="20"/>
              </w:rPr>
            </w:pPr>
          </w:p>
        </w:tc>
      </w:tr>
      <w:tr w:rsidR="00000000" w14:paraId="536E7D0A" w14:textId="77777777">
        <w:trPr>
          <w:divId w:val="1494950590"/>
        </w:trPr>
        <w:tc>
          <w:tcPr>
            <w:tcW w:w="0" w:type="auto"/>
            <w:gridSpan w:val="3"/>
            <w:tcMar>
              <w:top w:w="0" w:type="dxa"/>
              <w:left w:w="20" w:type="dxa"/>
              <w:bottom w:w="0" w:type="dxa"/>
              <w:right w:w="20" w:type="dxa"/>
            </w:tcMar>
            <w:vAlign w:val="center"/>
            <w:hideMark/>
          </w:tcPr>
          <w:p w14:paraId="5FD05C05"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6718C3"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92DCEBA"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D607FE6"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177B96"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51ED0BF2"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0DF036AF" w14:textId="77777777" w:rsidR="00000000" w:rsidRDefault="000A3118">
            <w:pPr>
              <w:jc w:val="center"/>
              <w:rPr>
                <w:rFonts w:eastAsia="Times New Roman"/>
              </w:rPr>
            </w:pPr>
            <w:r>
              <w:rPr>
                <w:rFonts w:eastAsia="Times New Roman"/>
                <w:b/>
                <w:bCs/>
                <w:color w:val="000000"/>
                <w:sz w:val="16"/>
                <w:szCs w:val="16"/>
              </w:rPr>
              <w:t>$ Change</w:t>
            </w:r>
          </w:p>
        </w:tc>
      </w:tr>
      <w:tr w:rsidR="00000000" w14:paraId="23A2A150" w14:textId="77777777">
        <w:trPr>
          <w:divId w:val="149495059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BFBB94" w14:textId="77777777" w:rsidR="00000000" w:rsidRDefault="000A3118">
            <w:pPr>
              <w:rPr>
                <w:rFonts w:eastAsia="Times New Roman"/>
              </w:rPr>
            </w:pPr>
            <w:r>
              <w:rPr>
                <w:rFonts w:eastAsia="Times New Roman"/>
                <w:color w:val="000000"/>
                <w:sz w:val="16"/>
                <w:szCs w:val="16"/>
              </w:rPr>
              <w:t>Aviation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8BF986"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F084F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28BD50" w14:textId="77777777" w:rsidR="00000000" w:rsidRDefault="000A3118">
            <w:pPr>
              <w:jc w:val="right"/>
              <w:rPr>
                <w:rFonts w:eastAsia="Times New Roman"/>
              </w:rPr>
            </w:pPr>
            <w:r>
              <w:rPr>
                <w:rFonts w:eastAsia="Times New Roman"/>
                <w:color w:val="000000"/>
                <w:sz w:val="16"/>
                <w:szCs w:val="16"/>
              </w:rPr>
              <w:t>97.6 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F35C89"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31CFA2"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F7563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B43A93" w14:textId="77777777" w:rsidR="00000000" w:rsidRDefault="000A3118">
            <w:pPr>
              <w:jc w:val="right"/>
              <w:rPr>
                <w:rFonts w:eastAsia="Times New Roman"/>
              </w:rPr>
            </w:pPr>
            <w:r>
              <w:rPr>
                <w:rFonts w:eastAsia="Times New Roman"/>
                <w:color w:val="000000"/>
                <w:sz w:val="16"/>
                <w:szCs w:val="16"/>
              </w:rPr>
              <w:t>156.9 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380021"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69CCF4"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E873B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AD4EB0" w14:textId="77777777" w:rsidR="00000000" w:rsidRDefault="000A3118">
            <w:pPr>
              <w:jc w:val="right"/>
              <w:rPr>
                <w:rFonts w:eastAsia="Times New Roman"/>
              </w:rPr>
            </w:pPr>
            <w:r>
              <w:rPr>
                <w:rFonts w:eastAsia="Times New Roman"/>
                <w:color w:val="000000"/>
                <w:sz w:val="16"/>
                <w:szCs w:val="16"/>
              </w:rPr>
              <w:t>(59.3)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B089C9" w14:textId="77777777" w:rsidR="00000000" w:rsidRDefault="000A3118">
            <w:pPr>
              <w:jc w:val="right"/>
              <w:rPr>
                <w:rFonts w:eastAsia="Times New Roman"/>
              </w:rPr>
            </w:pPr>
          </w:p>
        </w:tc>
      </w:tr>
      <w:tr w:rsidR="00000000" w14:paraId="5FFD660C" w14:textId="77777777">
        <w:trPr>
          <w:divId w:val="1494950590"/>
        </w:trPr>
        <w:tc>
          <w:tcPr>
            <w:tcW w:w="0" w:type="auto"/>
            <w:gridSpan w:val="3"/>
            <w:shd w:val="clear" w:color="auto" w:fill="FFFFFF"/>
            <w:tcMar>
              <w:top w:w="30" w:type="dxa"/>
              <w:left w:w="20" w:type="dxa"/>
              <w:bottom w:w="30" w:type="dxa"/>
              <w:right w:w="20" w:type="dxa"/>
            </w:tcMar>
            <w:vAlign w:val="bottom"/>
            <w:hideMark/>
          </w:tcPr>
          <w:p w14:paraId="311343DE" w14:textId="77777777" w:rsidR="00000000" w:rsidRDefault="000A3118">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14:paraId="4B1F7244"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6F73A5" w14:textId="77777777" w:rsidR="00000000" w:rsidRDefault="000A3118">
            <w:pPr>
              <w:jc w:val="right"/>
              <w:rPr>
                <w:rFonts w:eastAsia="Times New Roman"/>
              </w:rPr>
            </w:pPr>
            <w:r>
              <w:rPr>
                <w:rFonts w:eastAsia="Times New Roman"/>
                <w:color w:val="000000"/>
                <w:sz w:val="16"/>
                <w:szCs w:val="16"/>
              </w:rPr>
              <w:t>84.3 </w:t>
            </w:r>
          </w:p>
        </w:tc>
        <w:tc>
          <w:tcPr>
            <w:tcW w:w="0" w:type="auto"/>
            <w:shd w:val="clear" w:color="auto" w:fill="FFFFFF"/>
            <w:tcMar>
              <w:top w:w="30" w:type="dxa"/>
              <w:left w:w="0" w:type="dxa"/>
              <w:bottom w:w="30" w:type="dxa"/>
              <w:right w:w="20" w:type="dxa"/>
            </w:tcMar>
            <w:vAlign w:val="bottom"/>
            <w:hideMark/>
          </w:tcPr>
          <w:p w14:paraId="1EB44BB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9B65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6457E2" w14:textId="77777777" w:rsidR="00000000" w:rsidRDefault="000A3118">
            <w:pPr>
              <w:jc w:val="right"/>
              <w:rPr>
                <w:rFonts w:eastAsia="Times New Roman"/>
              </w:rPr>
            </w:pPr>
            <w:r>
              <w:rPr>
                <w:rFonts w:eastAsia="Times New Roman"/>
                <w:color w:val="000000"/>
                <w:sz w:val="16"/>
                <w:szCs w:val="16"/>
              </w:rPr>
              <w:t>95.4 </w:t>
            </w:r>
          </w:p>
        </w:tc>
        <w:tc>
          <w:tcPr>
            <w:tcW w:w="0" w:type="auto"/>
            <w:shd w:val="clear" w:color="auto" w:fill="FFFFFF"/>
            <w:tcMar>
              <w:top w:w="30" w:type="dxa"/>
              <w:left w:w="0" w:type="dxa"/>
              <w:bottom w:w="30" w:type="dxa"/>
              <w:right w:w="20" w:type="dxa"/>
            </w:tcMar>
            <w:vAlign w:val="bottom"/>
            <w:hideMark/>
          </w:tcPr>
          <w:p w14:paraId="728C48B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CFCAD1"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A4581D" w14:textId="77777777" w:rsidR="00000000" w:rsidRDefault="000A3118">
            <w:pPr>
              <w:jc w:val="right"/>
              <w:rPr>
                <w:rFonts w:eastAsia="Times New Roman"/>
              </w:rPr>
            </w:pPr>
            <w:r>
              <w:rPr>
                <w:rFonts w:eastAsia="Times New Roman"/>
                <w:color w:val="000000"/>
                <w:sz w:val="16"/>
                <w:szCs w:val="16"/>
              </w:rPr>
              <w:t>(11.0)</w:t>
            </w:r>
          </w:p>
        </w:tc>
        <w:tc>
          <w:tcPr>
            <w:tcW w:w="0" w:type="auto"/>
            <w:shd w:val="clear" w:color="auto" w:fill="FFFFFF"/>
            <w:tcMar>
              <w:top w:w="30" w:type="dxa"/>
              <w:left w:w="0" w:type="dxa"/>
              <w:bottom w:w="30" w:type="dxa"/>
              <w:right w:w="20" w:type="dxa"/>
            </w:tcMar>
            <w:vAlign w:val="bottom"/>
            <w:hideMark/>
          </w:tcPr>
          <w:p w14:paraId="1BD5467A" w14:textId="77777777" w:rsidR="00000000" w:rsidRDefault="000A3118">
            <w:pPr>
              <w:jc w:val="right"/>
              <w:rPr>
                <w:rFonts w:eastAsia="Times New Roman"/>
              </w:rPr>
            </w:pPr>
          </w:p>
        </w:tc>
      </w:tr>
      <w:tr w:rsidR="00000000" w14:paraId="1282C061" w14:textId="77777777">
        <w:trPr>
          <w:divId w:val="1494950590"/>
        </w:trPr>
        <w:tc>
          <w:tcPr>
            <w:tcW w:w="0" w:type="auto"/>
            <w:gridSpan w:val="3"/>
            <w:shd w:val="clear" w:color="auto" w:fill="CCEEFF"/>
            <w:tcMar>
              <w:top w:w="30" w:type="dxa"/>
              <w:left w:w="20" w:type="dxa"/>
              <w:bottom w:w="30" w:type="dxa"/>
              <w:right w:w="20" w:type="dxa"/>
            </w:tcMar>
            <w:vAlign w:val="bottom"/>
            <w:hideMark/>
          </w:tcPr>
          <w:p w14:paraId="1740CF40" w14:textId="77777777" w:rsidR="00000000" w:rsidRDefault="000A3118">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14:paraId="2C5B8B84"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040272" w14:textId="77777777" w:rsidR="00000000" w:rsidRDefault="000A3118">
            <w:pPr>
              <w:jc w:val="right"/>
              <w:rPr>
                <w:rFonts w:eastAsia="Times New Roman"/>
              </w:rPr>
            </w:pPr>
            <w:r>
              <w:rPr>
                <w:rFonts w:eastAsia="Times New Roman"/>
                <w:color w:val="000000"/>
                <w:sz w:val="16"/>
                <w:szCs w:val="16"/>
              </w:rPr>
              <w:t>32.0 </w:t>
            </w:r>
          </w:p>
        </w:tc>
        <w:tc>
          <w:tcPr>
            <w:tcW w:w="0" w:type="auto"/>
            <w:shd w:val="clear" w:color="auto" w:fill="CCEEFF"/>
            <w:tcMar>
              <w:top w:w="30" w:type="dxa"/>
              <w:left w:w="0" w:type="dxa"/>
              <w:bottom w:w="30" w:type="dxa"/>
              <w:right w:w="20" w:type="dxa"/>
            </w:tcMar>
            <w:vAlign w:val="bottom"/>
            <w:hideMark/>
          </w:tcPr>
          <w:p w14:paraId="67DEB1C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7A58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769571" w14:textId="77777777" w:rsidR="00000000" w:rsidRDefault="000A3118">
            <w:pPr>
              <w:jc w:val="right"/>
              <w:rPr>
                <w:rFonts w:eastAsia="Times New Roman"/>
              </w:rPr>
            </w:pPr>
            <w:r>
              <w:rPr>
                <w:rFonts w:eastAsia="Times New Roman"/>
                <w:color w:val="000000"/>
                <w:sz w:val="16"/>
                <w:szCs w:val="16"/>
              </w:rPr>
              <w:t>53.4 </w:t>
            </w:r>
          </w:p>
        </w:tc>
        <w:tc>
          <w:tcPr>
            <w:tcW w:w="0" w:type="auto"/>
            <w:shd w:val="clear" w:color="auto" w:fill="CCEEFF"/>
            <w:tcMar>
              <w:top w:w="30" w:type="dxa"/>
              <w:left w:w="0" w:type="dxa"/>
              <w:bottom w:w="30" w:type="dxa"/>
              <w:right w:w="20" w:type="dxa"/>
            </w:tcMar>
            <w:vAlign w:val="bottom"/>
            <w:hideMark/>
          </w:tcPr>
          <w:p w14:paraId="565008F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58BF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87ED41" w14:textId="77777777" w:rsidR="00000000" w:rsidRDefault="000A3118">
            <w:pPr>
              <w:jc w:val="right"/>
              <w:rPr>
                <w:rFonts w:eastAsia="Times New Roman"/>
              </w:rPr>
            </w:pPr>
            <w:r>
              <w:rPr>
                <w:rFonts w:eastAsia="Times New Roman"/>
                <w:color w:val="000000"/>
                <w:sz w:val="16"/>
                <w:szCs w:val="16"/>
              </w:rPr>
              <w:t>(21.3)</w:t>
            </w:r>
          </w:p>
        </w:tc>
        <w:tc>
          <w:tcPr>
            <w:tcW w:w="0" w:type="auto"/>
            <w:shd w:val="clear" w:color="auto" w:fill="CCEEFF"/>
            <w:tcMar>
              <w:top w:w="30" w:type="dxa"/>
              <w:left w:w="0" w:type="dxa"/>
              <w:bottom w:w="30" w:type="dxa"/>
              <w:right w:w="20" w:type="dxa"/>
            </w:tcMar>
            <w:vAlign w:val="bottom"/>
            <w:hideMark/>
          </w:tcPr>
          <w:p w14:paraId="20A5C4FC" w14:textId="77777777" w:rsidR="00000000" w:rsidRDefault="000A3118">
            <w:pPr>
              <w:jc w:val="right"/>
              <w:rPr>
                <w:rFonts w:eastAsia="Times New Roman"/>
              </w:rPr>
            </w:pPr>
          </w:p>
        </w:tc>
      </w:tr>
      <w:tr w:rsidR="00000000" w14:paraId="1C56BF0A" w14:textId="77777777">
        <w:trPr>
          <w:divId w:val="1494950590"/>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D1B11FF"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28E256C"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3E8C8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A11CC3" w14:textId="77777777" w:rsidR="00000000" w:rsidRDefault="000A3118">
            <w:pPr>
              <w:jc w:val="right"/>
              <w:rPr>
                <w:rFonts w:eastAsia="Times New Roman"/>
              </w:rPr>
            </w:pPr>
            <w:r>
              <w:rPr>
                <w:rFonts w:eastAsia="Times New Roman"/>
                <w:color w:val="000000"/>
                <w:sz w:val="16"/>
                <w:szCs w:val="16"/>
              </w:rPr>
              <w:t>214.0 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D92DE5"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DC287DA"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E291F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073795" w14:textId="77777777" w:rsidR="00000000" w:rsidRDefault="000A3118">
            <w:pPr>
              <w:jc w:val="right"/>
              <w:rPr>
                <w:rFonts w:eastAsia="Times New Roman"/>
              </w:rPr>
            </w:pPr>
            <w:r>
              <w:rPr>
                <w:rFonts w:eastAsia="Times New Roman"/>
                <w:color w:val="000000"/>
                <w:sz w:val="16"/>
                <w:szCs w:val="16"/>
              </w:rPr>
              <w:t>305.7 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EC0A19"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764C390B"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3564A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62B4FB" w14:textId="77777777" w:rsidR="00000000" w:rsidRDefault="000A3118">
            <w:pPr>
              <w:jc w:val="right"/>
              <w:rPr>
                <w:rFonts w:eastAsia="Times New Roman"/>
              </w:rPr>
            </w:pPr>
            <w:r>
              <w:rPr>
                <w:rFonts w:eastAsia="Times New Roman"/>
                <w:color w:val="000000"/>
                <w:sz w:val="16"/>
                <w:szCs w:val="16"/>
              </w:rPr>
              <w:t>(91.7)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C5CD04" w14:textId="77777777" w:rsidR="00000000" w:rsidRDefault="000A3118">
            <w:pPr>
              <w:jc w:val="right"/>
              <w:rPr>
                <w:rFonts w:eastAsia="Times New Roman"/>
              </w:rPr>
            </w:pPr>
          </w:p>
        </w:tc>
      </w:tr>
    </w:tbl>
    <w:p w14:paraId="46EB9908" w14:textId="77777777" w:rsidR="00000000" w:rsidRDefault="000A3118">
      <w:pPr>
        <w:ind w:firstLine="720"/>
        <w:divId w:val="1958172401"/>
        <w:rPr>
          <w:rFonts w:eastAsia="Times New Roman"/>
        </w:rPr>
      </w:pPr>
      <w:r>
        <w:rPr>
          <w:rFonts w:eastAsia="Times New Roman"/>
          <w:color w:val="000000"/>
          <w:sz w:val="20"/>
          <w:szCs w:val="20"/>
        </w:rPr>
        <w:t> </w:t>
      </w:r>
    </w:p>
    <w:p w14:paraId="575AB3CD" w14:textId="77777777" w:rsidR="00000000" w:rsidRDefault="000A3118">
      <w:pPr>
        <w:ind w:firstLine="360"/>
        <w:divId w:val="1968974551"/>
        <w:rPr>
          <w:rFonts w:eastAsia="Times New Roman"/>
        </w:rPr>
      </w:pPr>
      <w:r>
        <w:rPr>
          <w:rFonts w:eastAsia="Times New Roman"/>
          <w:color w:val="000000"/>
          <w:sz w:val="20"/>
          <w:szCs w:val="20"/>
        </w:rPr>
        <w:t>Our aviation segment gross profit for the third quarter of 2020 was $97.6 million, a decrease of $59.3 million, or 38%, as compared to the third quarter of 2019. The decrease in aviation gross pro</w:t>
      </w:r>
      <w:r>
        <w:rPr>
          <w:rFonts w:eastAsia="Times New Roman"/>
          <w:color w:val="000000"/>
          <w:sz w:val="20"/>
          <w:szCs w:val="20"/>
        </w:rPr>
        <w:t>fit was primarily due to a 53% decline in volume as a consequence of the depressed demand for air travel due to the COVID-19 pandemic, together with a reduction in our government-related activity in Afghanistan as a result of the ongoing drawdown of U.S. t</w:t>
      </w:r>
      <w:r>
        <w:rPr>
          <w:rFonts w:eastAsia="Times New Roman"/>
          <w:color w:val="000000"/>
          <w:sz w:val="20"/>
          <w:szCs w:val="20"/>
        </w:rPr>
        <w:t xml:space="preserve">roops. </w:t>
      </w:r>
    </w:p>
    <w:p w14:paraId="4DB0AEE4" w14:textId="77777777" w:rsidR="00000000" w:rsidRDefault="000A3118">
      <w:pPr>
        <w:divId w:val="2089569511"/>
        <w:rPr>
          <w:rFonts w:eastAsia="Times New Roman"/>
        </w:rPr>
      </w:pPr>
    </w:p>
    <w:p w14:paraId="0E323E7E" w14:textId="77777777" w:rsidR="00000000" w:rsidRDefault="000A3118">
      <w:pPr>
        <w:ind w:firstLine="360"/>
        <w:jc w:val="both"/>
        <w:rPr>
          <w:rFonts w:eastAsia="Times New Roman"/>
        </w:rPr>
      </w:pPr>
      <w:r>
        <w:rPr>
          <w:rFonts w:eastAsia="Times New Roman"/>
          <w:color w:val="000000"/>
          <w:sz w:val="20"/>
          <w:szCs w:val="20"/>
        </w:rPr>
        <w:t>Our land segment gross profit for the third quarter of 2020 was $84.3 million, a decrease of $11.0 million, or 12%, as compared to the third quarter of 2019. The decrease in land segment gross profit was primarily attributable to lower volumes as</w:t>
      </w:r>
      <w:r>
        <w:rPr>
          <w:rFonts w:eastAsia="Times New Roman"/>
          <w:color w:val="000000"/>
          <w:sz w:val="20"/>
          <w:szCs w:val="20"/>
        </w:rPr>
        <w:t xml:space="preserve"> a result of the pandemic, particularly in our retail, commercial and industrial activities in North America and a reduction in our government-related activity in Afghanistan. </w:t>
      </w:r>
    </w:p>
    <w:p w14:paraId="38941D33" w14:textId="77777777" w:rsidR="00000000" w:rsidRDefault="000A3118">
      <w:pPr>
        <w:jc w:val="center"/>
        <w:divId w:val="1392734085"/>
        <w:rPr>
          <w:rFonts w:eastAsia="Times New Roman"/>
        </w:rPr>
      </w:pPr>
      <w:r>
        <w:rPr>
          <w:rFonts w:eastAsia="Times New Roman"/>
          <w:color w:val="000000"/>
          <w:sz w:val="20"/>
          <w:szCs w:val="20"/>
        </w:rPr>
        <w:t>30</w:t>
      </w:r>
    </w:p>
    <w:p w14:paraId="2530F490" w14:textId="77777777" w:rsidR="00000000" w:rsidRDefault="000A3118">
      <w:pPr>
        <w:rPr>
          <w:rFonts w:eastAsia="Times New Roman"/>
        </w:rPr>
      </w:pPr>
      <w:r>
        <w:rPr>
          <w:rFonts w:eastAsia="Times New Roman"/>
        </w:rPr>
        <w:pict w14:anchorId="4B04A95A">
          <v:rect id="_x0000_i1058" style="width:0;height:1.5pt" o:hralign="center" o:hrstd="t" o:hr="t" fillcolor="#a0a0a0" stroked="f"/>
        </w:pict>
      </w:r>
    </w:p>
    <w:p w14:paraId="6222F348" w14:textId="77777777" w:rsidR="00000000" w:rsidRDefault="000A3118">
      <w:pPr>
        <w:divId w:val="5134583"/>
        <w:rPr>
          <w:rFonts w:eastAsia="Times New Roman"/>
        </w:rPr>
      </w:pPr>
    </w:p>
    <w:p w14:paraId="71DBE91F" w14:textId="77777777" w:rsidR="00000000" w:rsidRDefault="000A3118">
      <w:pPr>
        <w:ind w:firstLine="360"/>
        <w:jc w:val="both"/>
        <w:rPr>
          <w:rFonts w:eastAsia="Times New Roman"/>
        </w:rPr>
      </w:pPr>
    </w:p>
    <w:p w14:paraId="1C8B2D8B" w14:textId="77777777" w:rsidR="00000000" w:rsidRDefault="000A3118">
      <w:pPr>
        <w:ind w:firstLine="360"/>
        <w:jc w:val="both"/>
        <w:rPr>
          <w:rFonts w:eastAsia="Times New Roman"/>
        </w:rPr>
      </w:pPr>
      <w:r>
        <w:rPr>
          <w:rFonts w:eastAsia="Times New Roman"/>
          <w:color w:val="000000"/>
          <w:sz w:val="20"/>
          <w:szCs w:val="20"/>
        </w:rPr>
        <w:t xml:space="preserve">Our marine segment gross profit for </w:t>
      </w:r>
      <w:r>
        <w:rPr>
          <w:rFonts w:eastAsia="Times New Roman"/>
          <w:color w:val="000000"/>
          <w:sz w:val="20"/>
          <w:szCs w:val="20"/>
        </w:rPr>
        <w:t>the third quarter of 2020 was $32.0 million, a decrease of $21.3 million, or 40%, compared to the third quarter of 2019. The gross profit decrease was attributable to lower volume and profitability due to a decline in demand as a consequence of the pandemi</w:t>
      </w:r>
      <w:r>
        <w:rPr>
          <w:rFonts w:eastAsia="Times New Roman"/>
          <w:color w:val="000000"/>
          <w:sz w:val="20"/>
          <w:szCs w:val="20"/>
        </w:rPr>
        <w:t xml:space="preserve">c and lower average fuel prices. </w:t>
      </w:r>
    </w:p>
    <w:p w14:paraId="225EFAE6" w14:textId="77777777" w:rsidR="00000000" w:rsidRDefault="000A3118">
      <w:pPr>
        <w:ind w:firstLine="360"/>
        <w:jc w:val="both"/>
        <w:rPr>
          <w:rFonts w:eastAsia="Times New Roman"/>
        </w:rPr>
      </w:pPr>
    </w:p>
    <w:p w14:paraId="30CC1562" w14:textId="77777777" w:rsidR="00000000" w:rsidRDefault="000A3118">
      <w:pPr>
        <w:ind w:firstLine="360"/>
        <w:jc w:val="both"/>
        <w:divId w:val="218327527"/>
        <w:rPr>
          <w:rFonts w:eastAsia="Times New Roman"/>
        </w:rPr>
      </w:pPr>
      <w:r>
        <w:rPr>
          <w:rFonts w:eastAsia="Times New Roman"/>
          <w:i/>
          <w:iCs/>
          <w:color w:val="000000"/>
          <w:sz w:val="20"/>
          <w:szCs w:val="20"/>
        </w:rPr>
        <w:t>Operating Expenses.</w:t>
      </w:r>
      <w:r>
        <w:rPr>
          <w:rFonts w:eastAsia="Times New Roman"/>
          <w:color w:val="000000"/>
          <w:sz w:val="20"/>
          <w:szCs w:val="20"/>
        </w:rPr>
        <w:t xml:space="preserve"> Total operating expenses for the third quarter of 2020 were $175.2 million, a decrease of $36.9 million, or 17% compared to the third quarter of 2019. Lower employee compensation and benefits costs, i</w:t>
      </w:r>
      <w:r>
        <w:rPr>
          <w:rFonts w:eastAsia="Times New Roman"/>
          <w:color w:val="000000"/>
          <w:sz w:val="20"/>
          <w:szCs w:val="20"/>
        </w:rPr>
        <w:t>ncluding lower incentive bonuses, accounted for the majority of the reduction in total operating expenses. Furthermore, as a consequence of our cost-reduction initiatives, we materially reduced certain general and administrative expenses during the third q</w:t>
      </w:r>
      <w:r>
        <w:rPr>
          <w:rFonts w:eastAsia="Times New Roman"/>
          <w:color w:val="000000"/>
          <w:sz w:val="20"/>
          <w:szCs w:val="20"/>
        </w:rPr>
        <w:t>uarter of 2020. However, the cost reductions in general and administrative expenses were mostly offset by a higher bad debt expense, principally due to the pandemic's effects on our accounts receivable.</w:t>
      </w:r>
    </w:p>
    <w:p w14:paraId="205D238D" w14:textId="77777777" w:rsidR="00000000" w:rsidRDefault="000A3118">
      <w:pPr>
        <w:ind w:firstLine="360"/>
        <w:jc w:val="both"/>
        <w:divId w:val="1884899543"/>
        <w:rPr>
          <w:rFonts w:eastAsia="Times New Roman"/>
        </w:rPr>
      </w:pPr>
      <w:r>
        <w:rPr>
          <w:rFonts w:eastAsia="Times New Roman"/>
          <w:color w:val="000000"/>
          <w:sz w:val="20"/>
          <w:szCs w:val="20"/>
        </w:rPr>
        <w:t>The following table sets forth our expense categories</w:t>
      </w:r>
      <w:r>
        <w:rPr>
          <w:rFonts w:eastAsia="Times New Roman"/>
          <w:color w:val="000000"/>
          <w:sz w:val="20"/>
          <w:szCs w:val="20"/>
        </w:rPr>
        <w:t xml:space="preserve"> (in millions):</w:t>
      </w:r>
    </w:p>
    <w:tbl>
      <w:tblPr>
        <w:tblW w:w="4985" w:type="pct"/>
        <w:tblCellMar>
          <w:top w:w="15" w:type="dxa"/>
          <w:left w:w="15" w:type="dxa"/>
          <w:bottom w:w="15" w:type="dxa"/>
          <w:right w:w="15" w:type="dxa"/>
        </w:tblCellMar>
        <w:tblLook w:val="04A0" w:firstRow="1" w:lastRow="0" w:firstColumn="1" w:lastColumn="0" w:noHBand="0" w:noVBand="1"/>
      </w:tblPr>
      <w:tblGrid>
        <w:gridCol w:w="42"/>
        <w:gridCol w:w="5128"/>
        <w:gridCol w:w="36"/>
        <w:gridCol w:w="36"/>
        <w:gridCol w:w="36"/>
        <w:gridCol w:w="36"/>
        <w:gridCol w:w="100"/>
        <w:gridCol w:w="793"/>
        <w:gridCol w:w="36"/>
        <w:gridCol w:w="36"/>
        <w:gridCol w:w="36"/>
        <w:gridCol w:w="36"/>
        <w:gridCol w:w="100"/>
        <w:gridCol w:w="793"/>
        <w:gridCol w:w="36"/>
        <w:gridCol w:w="36"/>
        <w:gridCol w:w="36"/>
        <w:gridCol w:w="36"/>
        <w:gridCol w:w="101"/>
        <w:gridCol w:w="756"/>
        <w:gridCol w:w="36"/>
      </w:tblGrid>
      <w:tr w:rsidR="00000000" w14:paraId="0D13858E" w14:textId="77777777">
        <w:trPr>
          <w:divId w:val="815416822"/>
        </w:trPr>
        <w:tc>
          <w:tcPr>
            <w:tcW w:w="50" w:type="pct"/>
            <w:vAlign w:val="center"/>
            <w:hideMark/>
          </w:tcPr>
          <w:p w14:paraId="30298E9F" w14:textId="77777777" w:rsidR="00000000" w:rsidRDefault="000A3118">
            <w:pPr>
              <w:ind w:firstLine="360"/>
              <w:jc w:val="both"/>
              <w:rPr>
                <w:rFonts w:eastAsia="Times New Roman"/>
              </w:rPr>
            </w:pPr>
          </w:p>
        </w:tc>
        <w:tc>
          <w:tcPr>
            <w:tcW w:w="3119" w:type="pct"/>
            <w:vAlign w:val="center"/>
            <w:hideMark/>
          </w:tcPr>
          <w:p w14:paraId="45513EA8" w14:textId="77777777" w:rsidR="00000000" w:rsidRDefault="000A3118">
            <w:pPr>
              <w:rPr>
                <w:rFonts w:eastAsia="Times New Roman"/>
                <w:sz w:val="20"/>
                <w:szCs w:val="20"/>
              </w:rPr>
            </w:pPr>
          </w:p>
        </w:tc>
        <w:tc>
          <w:tcPr>
            <w:tcW w:w="5" w:type="pct"/>
            <w:vAlign w:val="center"/>
            <w:hideMark/>
          </w:tcPr>
          <w:p w14:paraId="58DD8527" w14:textId="77777777" w:rsidR="00000000" w:rsidRDefault="000A3118">
            <w:pPr>
              <w:rPr>
                <w:rFonts w:eastAsia="Times New Roman"/>
                <w:sz w:val="20"/>
                <w:szCs w:val="20"/>
              </w:rPr>
            </w:pPr>
          </w:p>
        </w:tc>
        <w:tc>
          <w:tcPr>
            <w:tcW w:w="5" w:type="pct"/>
            <w:vAlign w:val="center"/>
            <w:hideMark/>
          </w:tcPr>
          <w:p w14:paraId="454A0601" w14:textId="77777777" w:rsidR="00000000" w:rsidRDefault="000A3118">
            <w:pPr>
              <w:rPr>
                <w:rFonts w:eastAsia="Times New Roman"/>
                <w:sz w:val="20"/>
                <w:szCs w:val="20"/>
              </w:rPr>
            </w:pPr>
          </w:p>
        </w:tc>
        <w:tc>
          <w:tcPr>
            <w:tcW w:w="26" w:type="pct"/>
            <w:vAlign w:val="center"/>
            <w:hideMark/>
          </w:tcPr>
          <w:p w14:paraId="43D5303A" w14:textId="77777777" w:rsidR="00000000" w:rsidRDefault="000A3118">
            <w:pPr>
              <w:rPr>
                <w:rFonts w:eastAsia="Times New Roman"/>
                <w:sz w:val="20"/>
                <w:szCs w:val="20"/>
              </w:rPr>
            </w:pPr>
          </w:p>
        </w:tc>
        <w:tc>
          <w:tcPr>
            <w:tcW w:w="5" w:type="pct"/>
            <w:vAlign w:val="center"/>
            <w:hideMark/>
          </w:tcPr>
          <w:p w14:paraId="64A7EF12" w14:textId="77777777" w:rsidR="00000000" w:rsidRDefault="000A3118">
            <w:pPr>
              <w:rPr>
                <w:rFonts w:eastAsia="Times New Roman"/>
                <w:sz w:val="20"/>
                <w:szCs w:val="20"/>
              </w:rPr>
            </w:pPr>
          </w:p>
        </w:tc>
        <w:tc>
          <w:tcPr>
            <w:tcW w:w="50" w:type="pct"/>
            <w:vAlign w:val="center"/>
            <w:hideMark/>
          </w:tcPr>
          <w:p w14:paraId="198B62C1" w14:textId="77777777" w:rsidR="00000000" w:rsidRDefault="000A3118">
            <w:pPr>
              <w:rPr>
                <w:rFonts w:eastAsia="Times New Roman"/>
                <w:sz w:val="20"/>
                <w:szCs w:val="20"/>
              </w:rPr>
            </w:pPr>
          </w:p>
        </w:tc>
        <w:tc>
          <w:tcPr>
            <w:tcW w:w="524" w:type="pct"/>
            <w:vAlign w:val="center"/>
            <w:hideMark/>
          </w:tcPr>
          <w:p w14:paraId="13583818" w14:textId="77777777" w:rsidR="00000000" w:rsidRDefault="000A3118">
            <w:pPr>
              <w:rPr>
                <w:rFonts w:eastAsia="Times New Roman"/>
                <w:sz w:val="20"/>
                <w:szCs w:val="20"/>
              </w:rPr>
            </w:pPr>
          </w:p>
        </w:tc>
        <w:tc>
          <w:tcPr>
            <w:tcW w:w="5" w:type="pct"/>
            <w:vAlign w:val="center"/>
            <w:hideMark/>
          </w:tcPr>
          <w:p w14:paraId="3A6CAA1D" w14:textId="77777777" w:rsidR="00000000" w:rsidRDefault="000A3118">
            <w:pPr>
              <w:rPr>
                <w:rFonts w:eastAsia="Times New Roman"/>
                <w:sz w:val="20"/>
                <w:szCs w:val="20"/>
              </w:rPr>
            </w:pPr>
          </w:p>
        </w:tc>
        <w:tc>
          <w:tcPr>
            <w:tcW w:w="5" w:type="pct"/>
            <w:vAlign w:val="center"/>
            <w:hideMark/>
          </w:tcPr>
          <w:p w14:paraId="75C6F99E" w14:textId="77777777" w:rsidR="00000000" w:rsidRDefault="000A3118">
            <w:pPr>
              <w:rPr>
                <w:rFonts w:eastAsia="Times New Roman"/>
                <w:sz w:val="20"/>
                <w:szCs w:val="20"/>
              </w:rPr>
            </w:pPr>
          </w:p>
        </w:tc>
        <w:tc>
          <w:tcPr>
            <w:tcW w:w="26" w:type="pct"/>
            <w:vAlign w:val="center"/>
            <w:hideMark/>
          </w:tcPr>
          <w:p w14:paraId="6D630F7E" w14:textId="77777777" w:rsidR="00000000" w:rsidRDefault="000A3118">
            <w:pPr>
              <w:rPr>
                <w:rFonts w:eastAsia="Times New Roman"/>
                <w:sz w:val="20"/>
                <w:szCs w:val="20"/>
              </w:rPr>
            </w:pPr>
          </w:p>
        </w:tc>
        <w:tc>
          <w:tcPr>
            <w:tcW w:w="5" w:type="pct"/>
            <w:vAlign w:val="center"/>
            <w:hideMark/>
          </w:tcPr>
          <w:p w14:paraId="0C564099" w14:textId="77777777" w:rsidR="00000000" w:rsidRDefault="000A3118">
            <w:pPr>
              <w:rPr>
                <w:rFonts w:eastAsia="Times New Roman"/>
                <w:sz w:val="20"/>
                <w:szCs w:val="20"/>
              </w:rPr>
            </w:pPr>
          </w:p>
        </w:tc>
        <w:tc>
          <w:tcPr>
            <w:tcW w:w="50" w:type="pct"/>
            <w:vAlign w:val="center"/>
            <w:hideMark/>
          </w:tcPr>
          <w:p w14:paraId="63F8EFBE" w14:textId="77777777" w:rsidR="00000000" w:rsidRDefault="000A3118">
            <w:pPr>
              <w:rPr>
                <w:rFonts w:eastAsia="Times New Roman"/>
                <w:sz w:val="20"/>
                <w:szCs w:val="20"/>
              </w:rPr>
            </w:pPr>
          </w:p>
        </w:tc>
        <w:tc>
          <w:tcPr>
            <w:tcW w:w="524" w:type="pct"/>
            <w:vAlign w:val="center"/>
            <w:hideMark/>
          </w:tcPr>
          <w:p w14:paraId="601234C6" w14:textId="77777777" w:rsidR="00000000" w:rsidRDefault="000A3118">
            <w:pPr>
              <w:rPr>
                <w:rFonts w:eastAsia="Times New Roman"/>
                <w:sz w:val="20"/>
                <w:szCs w:val="20"/>
              </w:rPr>
            </w:pPr>
          </w:p>
        </w:tc>
        <w:tc>
          <w:tcPr>
            <w:tcW w:w="5" w:type="pct"/>
            <w:vAlign w:val="center"/>
            <w:hideMark/>
          </w:tcPr>
          <w:p w14:paraId="357F6739" w14:textId="77777777" w:rsidR="00000000" w:rsidRDefault="000A3118">
            <w:pPr>
              <w:rPr>
                <w:rFonts w:eastAsia="Times New Roman"/>
                <w:sz w:val="20"/>
                <w:szCs w:val="20"/>
              </w:rPr>
            </w:pPr>
          </w:p>
        </w:tc>
        <w:tc>
          <w:tcPr>
            <w:tcW w:w="5" w:type="pct"/>
            <w:vAlign w:val="center"/>
            <w:hideMark/>
          </w:tcPr>
          <w:p w14:paraId="73A7C0A2" w14:textId="77777777" w:rsidR="00000000" w:rsidRDefault="000A3118">
            <w:pPr>
              <w:rPr>
                <w:rFonts w:eastAsia="Times New Roman"/>
                <w:sz w:val="20"/>
                <w:szCs w:val="20"/>
              </w:rPr>
            </w:pPr>
          </w:p>
        </w:tc>
        <w:tc>
          <w:tcPr>
            <w:tcW w:w="26" w:type="pct"/>
            <w:vAlign w:val="center"/>
            <w:hideMark/>
          </w:tcPr>
          <w:p w14:paraId="0595F945" w14:textId="77777777" w:rsidR="00000000" w:rsidRDefault="000A3118">
            <w:pPr>
              <w:rPr>
                <w:rFonts w:eastAsia="Times New Roman"/>
                <w:sz w:val="20"/>
                <w:szCs w:val="20"/>
              </w:rPr>
            </w:pPr>
          </w:p>
        </w:tc>
        <w:tc>
          <w:tcPr>
            <w:tcW w:w="5" w:type="pct"/>
            <w:vAlign w:val="center"/>
            <w:hideMark/>
          </w:tcPr>
          <w:p w14:paraId="65888DA0" w14:textId="77777777" w:rsidR="00000000" w:rsidRDefault="000A3118">
            <w:pPr>
              <w:rPr>
                <w:rFonts w:eastAsia="Times New Roman"/>
                <w:sz w:val="20"/>
                <w:szCs w:val="20"/>
              </w:rPr>
            </w:pPr>
          </w:p>
        </w:tc>
        <w:tc>
          <w:tcPr>
            <w:tcW w:w="50" w:type="pct"/>
            <w:vAlign w:val="center"/>
            <w:hideMark/>
          </w:tcPr>
          <w:p w14:paraId="42AE30DB" w14:textId="77777777" w:rsidR="00000000" w:rsidRDefault="000A3118">
            <w:pPr>
              <w:rPr>
                <w:rFonts w:eastAsia="Times New Roman"/>
                <w:sz w:val="20"/>
                <w:szCs w:val="20"/>
              </w:rPr>
            </w:pPr>
          </w:p>
        </w:tc>
        <w:tc>
          <w:tcPr>
            <w:tcW w:w="502" w:type="pct"/>
            <w:vAlign w:val="center"/>
            <w:hideMark/>
          </w:tcPr>
          <w:p w14:paraId="2F951375" w14:textId="77777777" w:rsidR="00000000" w:rsidRDefault="000A3118">
            <w:pPr>
              <w:rPr>
                <w:rFonts w:eastAsia="Times New Roman"/>
                <w:sz w:val="20"/>
                <w:szCs w:val="20"/>
              </w:rPr>
            </w:pPr>
          </w:p>
        </w:tc>
        <w:tc>
          <w:tcPr>
            <w:tcW w:w="5" w:type="pct"/>
            <w:vAlign w:val="center"/>
            <w:hideMark/>
          </w:tcPr>
          <w:p w14:paraId="05183770" w14:textId="77777777" w:rsidR="00000000" w:rsidRDefault="000A3118">
            <w:pPr>
              <w:rPr>
                <w:rFonts w:eastAsia="Times New Roman"/>
                <w:sz w:val="20"/>
                <w:szCs w:val="20"/>
              </w:rPr>
            </w:pPr>
          </w:p>
        </w:tc>
      </w:tr>
      <w:tr w:rsidR="00000000" w14:paraId="73F0C8DF" w14:textId="77777777">
        <w:trPr>
          <w:divId w:val="815416822"/>
        </w:trPr>
        <w:tc>
          <w:tcPr>
            <w:tcW w:w="0" w:type="auto"/>
            <w:gridSpan w:val="3"/>
            <w:tcMar>
              <w:top w:w="0" w:type="dxa"/>
              <w:left w:w="20" w:type="dxa"/>
              <w:bottom w:w="0" w:type="dxa"/>
              <w:right w:w="20" w:type="dxa"/>
            </w:tcMar>
            <w:vAlign w:val="center"/>
            <w:hideMark/>
          </w:tcPr>
          <w:p w14:paraId="40F73F19"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683C89DB"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75818659" w14:textId="77777777" w:rsidR="00000000" w:rsidRDefault="000A3118">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14:paraId="050C04D7"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39224D00" w14:textId="77777777" w:rsidR="00000000" w:rsidRDefault="000A3118">
            <w:pPr>
              <w:rPr>
                <w:rFonts w:eastAsia="Times New Roman"/>
                <w:sz w:val="20"/>
                <w:szCs w:val="20"/>
              </w:rPr>
            </w:pPr>
          </w:p>
        </w:tc>
      </w:tr>
      <w:tr w:rsidR="00000000" w14:paraId="1F7EA246" w14:textId="77777777">
        <w:trPr>
          <w:divId w:val="815416822"/>
        </w:trPr>
        <w:tc>
          <w:tcPr>
            <w:tcW w:w="0" w:type="auto"/>
            <w:gridSpan w:val="3"/>
            <w:tcMar>
              <w:top w:w="0" w:type="dxa"/>
              <w:left w:w="20" w:type="dxa"/>
              <w:bottom w:w="0" w:type="dxa"/>
              <w:right w:w="20" w:type="dxa"/>
            </w:tcMar>
            <w:vAlign w:val="center"/>
            <w:hideMark/>
          </w:tcPr>
          <w:p w14:paraId="775704F9"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6066CF4C"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632B86C6"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17DE56EA"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47B90196" w14:textId="77777777" w:rsidR="00000000" w:rsidRDefault="000A3118">
            <w:pPr>
              <w:rPr>
                <w:rFonts w:eastAsia="Times New Roman"/>
                <w:sz w:val="20"/>
                <w:szCs w:val="20"/>
              </w:rPr>
            </w:pPr>
          </w:p>
        </w:tc>
      </w:tr>
      <w:tr w:rsidR="00000000" w14:paraId="7CE1BD16" w14:textId="77777777">
        <w:trPr>
          <w:divId w:val="815416822"/>
        </w:trPr>
        <w:tc>
          <w:tcPr>
            <w:tcW w:w="0" w:type="auto"/>
            <w:gridSpan w:val="3"/>
            <w:tcMar>
              <w:top w:w="0" w:type="dxa"/>
              <w:left w:w="20" w:type="dxa"/>
              <w:bottom w:w="0" w:type="dxa"/>
              <w:right w:w="20" w:type="dxa"/>
            </w:tcMar>
            <w:vAlign w:val="center"/>
            <w:hideMark/>
          </w:tcPr>
          <w:p w14:paraId="5824158B"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5B6596"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C552180"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8F32EFF"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5EE472"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576ED443"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51D1E8ED" w14:textId="77777777" w:rsidR="00000000" w:rsidRDefault="000A3118">
            <w:pPr>
              <w:jc w:val="center"/>
              <w:rPr>
                <w:rFonts w:eastAsia="Times New Roman"/>
              </w:rPr>
            </w:pPr>
            <w:r>
              <w:rPr>
                <w:rFonts w:eastAsia="Times New Roman"/>
                <w:b/>
                <w:bCs/>
                <w:color w:val="000000"/>
                <w:sz w:val="16"/>
                <w:szCs w:val="16"/>
              </w:rPr>
              <w:t>$ Change</w:t>
            </w:r>
          </w:p>
        </w:tc>
      </w:tr>
      <w:tr w:rsidR="00000000" w14:paraId="013DED3F" w14:textId="77777777">
        <w:trPr>
          <w:divId w:val="81541682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1FF1E5" w14:textId="77777777" w:rsidR="00000000" w:rsidRDefault="000A3118">
            <w:pPr>
              <w:rPr>
                <w:rFonts w:eastAsia="Times New Roman"/>
              </w:rPr>
            </w:pPr>
            <w:r>
              <w:rPr>
                <w:rFonts w:eastAsia="Times New Roman"/>
                <w:color w:val="000000"/>
                <w:sz w:val="16"/>
                <w:szCs w:val="16"/>
              </w:rPr>
              <w:t>Compensation and employee benefits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8FD69B"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28A7E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BD966C" w14:textId="77777777" w:rsidR="00000000" w:rsidRDefault="000A3118">
            <w:pPr>
              <w:jc w:val="right"/>
              <w:rPr>
                <w:rFonts w:eastAsia="Times New Roman"/>
              </w:rPr>
            </w:pPr>
            <w:r>
              <w:rPr>
                <w:rFonts w:eastAsia="Times New Roman"/>
                <w:color w:val="000000"/>
                <w:sz w:val="16"/>
                <w:szCs w:val="16"/>
              </w:rPr>
              <w:t>91.4 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405060"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5853FC"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9AC49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757B40" w14:textId="77777777" w:rsidR="00000000" w:rsidRDefault="000A3118">
            <w:pPr>
              <w:jc w:val="right"/>
              <w:rPr>
                <w:rFonts w:eastAsia="Times New Roman"/>
              </w:rPr>
            </w:pPr>
            <w:r>
              <w:rPr>
                <w:rFonts w:eastAsia="Times New Roman"/>
                <w:color w:val="000000"/>
                <w:sz w:val="16"/>
                <w:szCs w:val="16"/>
              </w:rPr>
              <w:t>126.7 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061346"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1E5A25"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74FEB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5C213F" w14:textId="77777777" w:rsidR="00000000" w:rsidRDefault="000A3118">
            <w:pPr>
              <w:jc w:val="right"/>
              <w:rPr>
                <w:rFonts w:eastAsia="Times New Roman"/>
              </w:rPr>
            </w:pPr>
            <w:r>
              <w:rPr>
                <w:rFonts w:eastAsia="Times New Roman"/>
                <w:color w:val="000000"/>
                <w:sz w:val="16"/>
                <w:szCs w:val="16"/>
              </w:rPr>
              <w:t>(35.2)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74506B" w14:textId="77777777" w:rsidR="00000000" w:rsidRDefault="000A3118">
            <w:pPr>
              <w:jc w:val="right"/>
              <w:rPr>
                <w:rFonts w:eastAsia="Times New Roman"/>
              </w:rPr>
            </w:pPr>
          </w:p>
        </w:tc>
      </w:tr>
      <w:tr w:rsidR="00000000" w14:paraId="59974DBE" w14:textId="77777777">
        <w:trPr>
          <w:divId w:val="815416822"/>
        </w:trPr>
        <w:tc>
          <w:tcPr>
            <w:tcW w:w="0" w:type="auto"/>
            <w:gridSpan w:val="3"/>
            <w:shd w:val="clear" w:color="auto" w:fill="FFFFFF"/>
            <w:tcMar>
              <w:top w:w="30" w:type="dxa"/>
              <w:left w:w="20" w:type="dxa"/>
              <w:bottom w:w="30" w:type="dxa"/>
              <w:right w:w="20" w:type="dxa"/>
            </w:tcMar>
            <w:vAlign w:val="bottom"/>
            <w:hideMark/>
          </w:tcPr>
          <w:p w14:paraId="3FC32B3B" w14:textId="77777777" w:rsidR="00000000" w:rsidRDefault="000A3118">
            <w:pPr>
              <w:rPr>
                <w:rFonts w:eastAsia="Times New Roman"/>
              </w:rPr>
            </w:pPr>
            <w:r>
              <w:rPr>
                <w:rFonts w:eastAsia="Times New Roman"/>
                <w:color w:val="000000"/>
                <w:sz w:val="16"/>
                <w:szCs w:val="16"/>
              </w:rPr>
              <w:t>General and administrative</w:t>
            </w:r>
          </w:p>
        </w:tc>
        <w:tc>
          <w:tcPr>
            <w:tcW w:w="0" w:type="auto"/>
            <w:gridSpan w:val="3"/>
            <w:shd w:val="clear" w:color="auto" w:fill="FFFFFF"/>
            <w:tcMar>
              <w:top w:w="0" w:type="dxa"/>
              <w:left w:w="20" w:type="dxa"/>
              <w:bottom w:w="0" w:type="dxa"/>
              <w:right w:w="20" w:type="dxa"/>
            </w:tcMar>
            <w:vAlign w:val="center"/>
            <w:hideMark/>
          </w:tcPr>
          <w:p w14:paraId="3D5E49C1"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4055D1" w14:textId="77777777" w:rsidR="00000000" w:rsidRDefault="000A3118">
            <w:pPr>
              <w:jc w:val="right"/>
              <w:rPr>
                <w:rFonts w:eastAsia="Times New Roman"/>
              </w:rPr>
            </w:pPr>
            <w:r>
              <w:rPr>
                <w:rFonts w:eastAsia="Times New Roman"/>
                <w:color w:val="000000"/>
                <w:sz w:val="16"/>
                <w:szCs w:val="16"/>
              </w:rPr>
              <w:t>80.9 </w:t>
            </w:r>
          </w:p>
        </w:tc>
        <w:tc>
          <w:tcPr>
            <w:tcW w:w="0" w:type="auto"/>
            <w:shd w:val="clear" w:color="auto" w:fill="FFFFFF"/>
            <w:tcMar>
              <w:top w:w="30" w:type="dxa"/>
              <w:left w:w="0" w:type="dxa"/>
              <w:bottom w:w="30" w:type="dxa"/>
              <w:right w:w="20" w:type="dxa"/>
            </w:tcMar>
            <w:vAlign w:val="bottom"/>
            <w:hideMark/>
          </w:tcPr>
          <w:p w14:paraId="7029118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38498"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52BFEB" w14:textId="77777777" w:rsidR="00000000" w:rsidRDefault="000A3118">
            <w:pPr>
              <w:jc w:val="right"/>
              <w:rPr>
                <w:rFonts w:eastAsia="Times New Roman"/>
              </w:rPr>
            </w:pPr>
            <w:r>
              <w:rPr>
                <w:rFonts w:eastAsia="Times New Roman"/>
                <w:color w:val="000000"/>
                <w:sz w:val="16"/>
                <w:szCs w:val="16"/>
              </w:rPr>
              <w:t>82.8 </w:t>
            </w:r>
          </w:p>
        </w:tc>
        <w:tc>
          <w:tcPr>
            <w:tcW w:w="0" w:type="auto"/>
            <w:shd w:val="clear" w:color="auto" w:fill="FFFFFF"/>
            <w:tcMar>
              <w:top w:w="30" w:type="dxa"/>
              <w:left w:w="0" w:type="dxa"/>
              <w:bottom w:w="30" w:type="dxa"/>
              <w:right w:w="20" w:type="dxa"/>
            </w:tcMar>
            <w:vAlign w:val="bottom"/>
            <w:hideMark/>
          </w:tcPr>
          <w:p w14:paraId="2199683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4021F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647AC4" w14:textId="77777777" w:rsidR="00000000" w:rsidRDefault="000A3118">
            <w:pPr>
              <w:jc w:val="right"/>
              <w:rPr>
                <w:rFonts w:eastAsia="Times New Roman"/>
              </w:rPr>
            </w:pPr>
            <w:r>
              <w:rPr>
                <w:rFonts w:eastAsia="Times New Roman"/>
                <w:color w:val="000000"/>
                <w:sz w:val="16"/>
                <w:szCs w:val="16"/>
              </w:rPr>
              <w:t>(1.9)</w:t>
            </w:r>
          </w:p>
        </w:tc>
        <w:tc>
          <w:tcPr>
            <w:tcW w:w="0" w:type="auto"/>
            <w:shd w:val="clear" w:color="auto" w:fill="FFFFFF"/>
            <w:tcMar>
              <w:top w:w="30" w:type="dxa"/>
              <w:left w:w="0" w:type="dxa"/>
              <w:bottom w:w="30" w:type="dxa"/>
              <w:right w:w="20" w:type="dxa"/>
            </w:tcMar>
            <w:vAlign w:val="bottom"/>
            <w:hideMark/>
          </w:tcPr>
          <w:p w14:paraId="21C69037" w14:textId="77777777" w:rsidR="00000000" w:rsidRDefault="000A3118">
            <w:pPr>
              <w:jc w:val="right"/>
              <w:rPr>
                <w:rFonts w:eastAsia="Times New Roman"/>
              </w:rPr>
            </w:pPr>
          </w:p>
        </w:tc>
      </w:tr>
      <w:tr w:rsidR="00000000" w14:paraId="6D98BDB8" w14:textId="77777777">
        <w:trPr>
          <w:divId w:val="815416822"/>
        </w:trPr>
        <w:tc>
          <w:tcPr>
            <w:tcW w:w="0" w:type="auto"/>
            <w:gridSpan w:val="3"/>
            <w:vAlign w:val="center"/>
            <w:hideMark/>
          </w:tcPr>
          <w:p w14:paraId="1C8E61F8" w14:textId="77777777" w:rsidR="00000000" w:rsidRDefault="000A3118">
            <w:pPr>
              <w:jc w:val="right"/>
              <w:rPr>
                <w:rFonts w:eastAsia="Times New Roman"/>
                <w:sz w:val="20"/>
                <w:szCs w:val="20"/>
              </w:rPr>
            </w:pPr>
          </w:p>
        </w:tc>
        <w:tc>
          <w:tcPr>
            <w:tcW w:w="0" w:type="auto"/>
            <w:gridSpan w:val="3"/>
            <w:vAlign w:val="center"/>
            <w:hideMark/>
          </w:tcPr>
          <w:p w14:paraId="1D5128CF" w14:textId="77777777" w:rsidR="00000000" w:rsidRDefault="000A3118">
            <w:pPr>
              <w:rPr>
                <w:rFonts w:eastAsia="Times New Roman"/>
                <w:sz w:val="20"/>
                <w:szCs w:val="20"/>
              </w:rPr>
            </w:pPr>
          </w:p>
        </w:tc>
        <w:tc>
          <w:tcPr>
            <w:tcW w:w="0" w:type="auto"/>
            <w:gridSpan w:val="3"/>
            <w:vAlign w:val="center"/>
            <w:hideMark/>
          </w:tcPr>
          <w:p w14:paraId="4D974C23" w14:textId="77777777" w:rsidR="00000000" w:rsidRDefault="000A3118">
            <w:pPr>
              <w:rPr>
                <w:rFonts w:eastAsia="Times New Roman"/>
                <w:sz w:val="20"/>
                <w:szCs w:val="20"/>
              </w:rPr>
            </w:pPr>
          </w:p>
        </w:tc>
        <w:tc>
          <w:tcPr>
            <w:tcW w:w="0" w:type="auto"/>
            <w:gridSpan w:val="3"/>
            <w:vAlign w:val="center"/>
            <w:hideMark/>
          </w:tcPr>
          <w:p w14:paraId="4050CABC" w14:textId="77777777" w:rsidR="00000000" w:rsidRDefault="000A3118">
            <w:pPr>
              <w:rPr>
                <w:rFonts w:eastAsia="Times New Roman"/>
                <w:sz w:val="20"/>
                <w:szCs w:val="20"/>
              </w:rPr>
            </w:pPr>
          </w:p>
        </w:tc>
        <w:tc>
          <w:tcPr>
            <w:tcW w:w="0" w:type="auto"/>
            <w:gridSpan w:val="3"/>
            <w:vAlign w:val="center"/>
            <w:hideMark/>
          </w:tcPr>
          <w:p w14:paraId="767E56F9" w14:textId="77777777" w:rsidR="00000000" w:rsidRDefault="000A3118">
            <w:pPr>
              <w:rPr>
                <w:rFonts w:eastAsia="Times New Roman"/>
                <w:sz w:val="20"/>
                <w:szCs w:val="20"/>
              </w:rPr>
            </w:pPr>
          </w:p>
        </w:tc>
        <w:tc>
          <w:tcPr>
            <w:tcW w:w="0" w:type="auto"/>
            <w:gridSpan w:val="3"/>
            <w:vAlign w:val="center"/>
            <w:hideMark/>
          </w:tcPr>
          <w:p w14:paraId="67DB9600" w14:textId="77777777" w:rsidR="00000000" w:rsidRDefault="000A3118">
            <w:pPr>
              <w:rPr>
                <w:rFonts w:eastAsia="Times New Roman"/>
                <w:sz w:val="20"/>
                <w:szCs w:val="20"/>
              </w:rPr>
            </w:pPr>
          </w:p>
        </w:tc>
        <w:tc>
          <w:tcPr>
            <w:tcW w:w="0" w:type="auto"/>
            <w:gridSpan w:val="3"/>
            <w:vAlign w:val="center"/>
            <w:hideMark/>
          </w:tcPr>
          <w:p w14:paraId="6E166E77" w14:textId="77777777" w:rsidR="00000000" w:rsidRDefault="000A3118">
            <w:pPr>
              <w:rPr>
                <w:rFonts w:eastAsia="Times New Roman"/>
                <w:sz w:val="20"/>
                <w:szCs w:val="20"/>
              </w:rPr>
            </w:pPr>
          </w:p>
        </w:tc>
      </w:tr>
      <w:tr w:rsidR="00000000" w14:paraId="0F9989D1" w14:textId="77777777">
        <w:trPr>
          <w:divId w:val="815416822"/>
        </w:trPr>
        <w:tc>
          <w:tcPr>
            <w:tcW w:w="0" w:type="auto"/>
            <w:gridSpan w:val="3"/>
            <w:shd w:val="clear" w:color="auto" w:fill="CCEEFF"/>
            <w:tcMar>
              <w:top w:w="30" w:type="dxa"/>
              <w:left w:w="20" w:type="dxa"/>
              <w:bottom w:w="30" w:type="dxa"/>
              <w:right w:w="20" w:type="dxa"/>
            </w:tcMar>
            <w:vAlign w:val="bottom"/>
            <w:hideMark/>
          </w:tcPr>
          <w:p w14:paraId="17B32AAA" w14:textId="77777777" w:rsidR="00000000" w:rsidRDefault="000A3118">
            <w:pPr>
              <w:rPr>
                <w:rFonts w:eastAsia="Times New Roman"/>
              </w:rPr>
            </w:pPr>
            <w:r>
              <w:rPr>
                <w:rFonts w:eastAsia="Times New Roman"/>
                <w:color w:val="000000"/>
                <w:sz w:val="16"/>
                <w:szCs w:val="16"/>
              </w:rPr>
              <w:t>Restructuring charges</w:t>
            </w:r>
          </w:p>
        </w:tc>
        <w:tc>
          <w:tcPr>
            <w:tcW w:w="0" w:type="auto"/>
            <w:gridSpan w:val="3"/>
            <w:shd w:val="clear" w:color="auto" w:fill="CCEEFF"/>
            <w:tcMar>
              <w:top w:w="0" w:type="dxa"/>
              <w:left w:w="20" w:type="dxa"/>
              <w:bottom w:w="0" w:type="dxa"/>
              <w:right w:w="20" w:type="dxa"/>
            </w:tcMar>
            <w:vAlign w:val="center"/>
            <w:hideMark/>
          </w:tcPr>
          <w:p w14:paraId="4F78881C"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0A7788" w14:textId="77777777" w:rsidR="00000000" w:rsidRDefault="000A3118">
            <w:pPr>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14:paraId="529882A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A4B1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7F9131" w14:textId="77777777" w:rsidR="00000000" w:rsidRDefault="000A3118">
            <w:pPr>
              <w:jc w:val="right"/>
              <w:rPr>
                <w:rFonts w:eastAsia="Times New Roman"/>
              </w:rPr>
            </w:pPr>
            <w:r>
              <w:rPr>
                <w:rFonts w:eastAsia="Times New Roman"/>
                <w:color w:val="000000"/>
                <w:sz w:val="16"/>
                <w:szCs w:val="16"/>
              </w:rPr>
              <w:t>2.6 </w:t>
            </w:r>
          </w:p>
        </w:tc>
        <w:tc>
          <w:tcPr>
            <w:tcW w:w="0" w:type="auto"/>
            <w:shd w:val="clear" w:color="auto" w:fill="CCEEFF"/>
            <w:tcMar>
              <w:top w:w="30" w:type="dxa"/>
              <w:left w:w="0" w:type="dxa"/>
              <w:bottom w:w="30" w:type="dxa"/>
              <w:right w:w="20" w:type="dxa"/>
            </w:tcMar>
            <w:vAlign w:val="bottom"/>
            <w:hideMark/>
          </w:tcPr>
          <w:p w14:paraId="1CF1C47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BD86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7913CD" w14:textId="77777777" w:rsidR="00000000" w:rsidRDefault="000A3118">
            <w:pPr>
              <w:jc w:val="right"/>
              <w:rPr>
                <w:rFonts w:eastAsia="Times New Roman"/>
              </w:rPr>
            </w:pPr>
            <w:r>
              <w:rPr>
                <w:rFonts w:eastAsia="Times New Roman"/>
                <w:color w:val="000000"/>
                <w:sz w:val="16"/>
                <w:szCs w:val="16"/>
              </w:rPr>
              <w:t>0.3 </w:t>
            </w:r>
          </w:p>
        </w:tc>
        <w:tc>
          <w:tcPr>
            <w:tcW w:w="0" w:type="auto"/>
            <w:shd w:val="clear" w:color="auto" w:fill="CCEEFF"/>
            <w:tcMar>
              <w:top w:w="30" w:type="dxa"/>
              <w:left w:w="0" w:type="dxa"/>
              <w:bottom w:w="30" w:type="dxa"/>
              <w:right w:w="20" w:type="dxa"/>
            </w:tcMar>
            <w:vAlign w:val="bottom"/>
            <w:hideMark/>
          </w:tcPr>
          <w:p w14:paraId="0EF95E0B" w14:textId="77777777" w:rsidR="00000000" w:rsidRDefault="000A3118">
            <w:pPr>
              <w:jc w:val="right"/>
              <w:rPr>
                <w:rFonts w:eastAsia="Times New Roman"/>
              </w:rPr>
            </w:pPr>
          </w:p>
        </w:tc>
      </w:tr>
      <w:tr w:rsidR="00000000" w14:paraId="40E2C88D" w14:textId="77777777">
        <w:trPr>
          <w:divId w:val="815416822"/>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048C4C9"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2B20CCA"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A17CF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432868" w14:textId="77777777" w:rsidR="00000000" w:rsidRDefault="000A3118">
            <w:pPr>
              <w:jc w:val="right"/>
              <w:rPr>
                <w:rFonts w:eastAsia="Times New Roman"/>
              </w:rPr>
            </w:pPr>
            <w:r>
              <w:rPr>
                <w:rFonts w:eastAsia="Times New Roman"/>
                <w:color w:val="000000"/>
                <w:sz w:val="16"/>
                <w:szCs w:val="16"/>
              </w:rPr>
              <w:t>175.2 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71E51C"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86F6060"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D130CC"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49C77E" w14:textId="77777777" w:rsidR="00000000" w:rsidRDefault="000A3118">
            <w:pPr>
              <w:jc w:val="right"/>
              <w:rPr>
                <w:rFonts w:eastAsia="Times New Roman"/>
              </w:rPr>
            </w:pPr>
            <w:r>
              <w:rPr>
                <w:rFonts w:eastAsia="Times New Roman"/>
                <w:color w:val="000000"/>
                <w:sz w:val="16"/>
                <w:szCs w:val="16"/>
              </w:rPr>
              <w:t>212.0 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770E42"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A6AB984"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5BD7F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79F95A" w14:textId="77777777" w:rsidR="00000000" w:rsidRDefault="000A3118">
            <w:pPr>
              <w:jc w:val="right"/>
              <w:rPr>
                <w:rFonts w:eastAsia="Times New Roman"/>
              </w:rPr>
            </w:pPr>
            <w:r>
              <w:rPr>
                <w:rFonts w:eastAsia="Times New Roman"/>
                <w:color w:val="000000"/>
                <w:sz w:val="16"/>
                <w:szCs w:val="16"/>
              </w:rPr>
              <w:t>(36.9)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5FAFAA" w14:textId="77777777" w:rsidR="00000000" w:rsidRDefault="000A3118">
            <w:pPr>
              <w:jc w:val="right"/>
              <w:rPr>
                <w:rFonts w:eastAsia="Times New Roman"/>
              </w:rPr>
            </w:pPr>
          </w:p>
        </w:tc>
      </w:tr>
    </w:tbl>
    <w:p w14:paraId="5734A11D" w14:textId="77777777" w:rsidR="00000000" w:rsidRDefault="000A3118">
      <w:pPr>
        <w:ind w:firstLine="360"/>
        <w:jc w:val="both"/>
        <w:divId w:val="66462902"/>
        <w:rPr>
          <w:rFonts w:eastAsia="Times New Roman"/>
        </w:rPr>
      </w:pPr>
      <w:r>
        <w:rPr>
          <w:rFonts w:eastAsia="Times New Roman"/>
          <w:i/>
          <w:iCs/>
          <w:color w:val="000000"/>
          <w:sz w:val="20"/>
          <w:szCs w:val="20"/>
        </w:rPr>
        <w:t>Income from Operations</w:t>
      </w:r>
      <w:r>
        <w:rPr>
          <w:rFonts w:eastAsia="Times New Roman"/>
          <w:color w:val="000000"/>
          <w:sz w:val="20"/>
          <w:szCs w:val="20"/>
        </w:rPr>
        <w:t>. Income from operations during these periods was attributable to the following segments (in millions):</w:t>
      </w:r>
    </w:p>
    <w:tbl>
      <w:tblPr>
        <w:tblW w:w="4985" w:type="pct"/>
        <w:tblCellMar>
          <w:top w:w="15" w:type="dxa"/>
          <w:left w:w="15" w:type="dxa"/>
          <w:bottom w:w="15" w:type="dxa"/>
          <w:right w:w="15" w:type="dxa"/>
        </w:tblCellMar>
        <w:tblLook w:val="04A0" w:firstRow="1" w:lastRow="0" w:firstColumn="1" w:lastColumn="0" w:noHBand="0" w:noVBand="1"/>
      </w:tblPr>
      <w:tblGrid>
        <w:gridCol w:w="41"/>
        <w:gridCol w:w="5128"/>
        <w:gridCol w:w="37"/>
        <w:gridCol w:w="36"/>
        <w:gridCol w:w="36"/>
        <w:gridCol w:w="36"/>
        <w:gridCol w:w="100"/>
        <w:gridCol w:w="793"/>
        <w:gridCol w:w="36"/>
        <w:gridCol w:w="36"/>
        <w:gridCol w:w="36"/>
        <w:gridCol w:w="36"/>
        <w:gridCol w:w="100"/>
        <w:gridCol w:w="793"/>
        <w:gridCol w:w="36"/>
        <w:gridCol w:w="36"/>
        <w:gridCol w:w="36"/>
        <w:gridCol w:w="36"/>
        <w:gridCol w:w="101"/>
        <w:gridCol w:w="756"/>
        <w:gridCol w:w="36"/>
      </w:tblGrid>
      <w:tr w:rsidR="00000000" w14:paraId="605CA40F" w14:textId="77777777">
        <w:trPr>
          <w:divId w:val="1520005996"/>
        </w:trPr>
        <w:tc>
          <w:tcPr>
            <w:tcW w:w="50" w:type="pct"/>
            <w:vAlign w:val="center"/>
            <w:hideMark/>
          </w:tcPr>
          <w:p w14:paraId="1915B1D9" w14:textId="77777777" w:rsidR="00000000" w:rsidRDefault="000A3118">
            <w:pPr>
              <w:ind w:firstLine="360"/>
              <w:jc w:val="both"/>
              <w:rPr>
                <w:rFonts w:eastAsia="Times New Roman"/>
              </w:rPr>
            </w:pPr>
          </w:p>
        </w:tc>
        <w:tc>
          <w:tcPr>
            <w:tcW w:w="3119" w:type="pct"/>
            <w:vAlign w:val="center"/>
            <w:hideMark/>
          </w:tcPr>
          <w:p w14:paraId="7054A347" w14:textId="77777777" w:rsidR="00000000" w:rsidRDefault="000A3118">
            <w:pPr>
              <w:rPr>
                <w:rFonts w:eastAsia="Times New Roman"/>
                <w:sz w:val="20"/>
                <w:szCs w:val="20"/>
              </w:rPr>
            </w:pPr>
          </w:p>
        </w:tc>
        <w:tc>
          <w:tcPr>
            <w:tcW w:w="5" w:type="pct"/>
            <w:vAlign w:val="center"/>
            <w:hideMark/>
          </w:tcPr>
          <w:p w14:paraId="7A08C5A3" w14:textId="77777777" w:rsidR="00000000" w:rsidRDefault="000A3118">
            <w:pPr>
              <w:rPr>
                <w:rFonts w:eastAsia="Times New Roman"/>
                <w:sz w:val="20"/>
                <w:szCs w:val="20"/>
              </w:rPr>
            </w:pPr>
          </w:p>
        </w:tc>
        <w:tc>
          <w:tcPr>
            <w:tcW w:w="5" w:type="pct"/>
            <w:vAlign w:val="center"/>
            <w:hideMark/>
          </w:tcPr>
          <w:p w14:paraId="3D92FF51" w14:textId="77777777" w:rsidR="00000000" w:rsidRDefault="000A3118">
            <w:pPr>
              <w:rPr>
                <w:rFonts w:eastAsia="Times New Roman"/>
                <w:sz w:val="20"/>
                <w:szCs w:val="20"/>
              </w:rPr>
            </w:pPr>
          </w:p>
        </w:tc>
        <w:tc>
          <w:tcPr>
            <w:tcW w:w="26" w:type="pct"/>
            <w:vAlign w:val="center"/>
            <w:hideMark/>
          </w:tcPr>
          <w:p w14:paraId="4B599F11" w14:textId="77777777" w:rsidR="00000000" w:rsidRDefault="000A3118">
            <w:pPr>
              <w:rPr>
                <w:rFonts w:eastAsia="Times New Roman"/>
                <w:sz w:val="20"/>
                <w:szCs w:val="20"/>
              </w:rPr>
            </w:pPr>
          </w:p>
        </w:tc>
        <w:tc>
          <w:tcPr>
            <w:tcW w:w="5" w:type="pct"/>
            <w:vAlign w:val="center"/>
            <w:hideMark/>
          </w:tcPr>
          <w:p w14:paraId="48382472" w14:textId="77777777" w:rsidR="00000000" w:rsidRDefault="000A3118">
            <w:pPr>
              <w:rPr>
                <w:rFonts w:eastAsia="Times New Roman"/>
                <w:sz w:val="20"/>
                <w:szCs w:val="20"/>
              </w:rPr>
            </w:pPr>
          </w:p>
        </w:tc>
        <w:tc>
          <w:tcPr>
            <w:tcW w:w="50" w:type="pct"/>
            <w:vAlign w:val="center"/>
            <w:hideMark/>
          </w:tcPr>
          <w:p w14:paraId="2CDAF804" w14:textId="77777777" w:rsidR="00000000" w:rsidRDefault="000A3118">
            <w:pPr>
              <w:rPr>
                <w:rFonts w:eastAsia="Times New Roman"/>
                <w:sz w:val="20"/>
                <w:szCs w:val="20"/>
              </w:rPr>
            </w:pPr>
          </w:p>
        </w:tc>
        <w:tc>
          <w:tcPr>
            <w:tcW w:w="524" w:type="pct"/>
            <w:vAlign w:val="center"/>
            <w:hideMark/>
          </w:tcPr>
          <w:p w14:paraId="676979AF" w14:textId="77777777" w:rsidR="00000000" w:rsidRDefault="000A3118">
            <w:pPr>
              <w:rPr>
                <w:rFonts w:eastAsia="Times New Roman"/>
                <w:sz w:val="20"/>
                <w:szCs w:val="20"/>
              </w:rPr>
            </w:pPr>
          </w:p>
        </w:tc>
        <w:tc>
          <w:tcPr>
            <w:tcW w:w="5" w:type="pct"/>
            <w:vAlign w:val="center"/>
            <w:hideMark/>
          </w:tcPr>
          <w:p w14:paraId="546E0C4F" w14:textId="77777777" w:rsidR="00000000" w:rsidRDefault="000A3118">
            <w:pPr>
              <w:rPr>
                <w:rFonts w:eastAsia="Times New Roman"/>
                <w:sz w:val="20"/>
                <w:szCs w:val="20"/>
              </w:rPr>
            </w:pPr>
          </w:p>
        </w:tc>
        <w:tc>
          <w:tcPr>
            <w:tcW w:w="5" w:type="pct"/>
            <w:vAlign w:val="center"/>
            <w:hideMark/>
          </w:tcPr>
          <w:p w14:paraId="1CDB1575" w14:textId="77777777" w:rsidR="00000000" w:rsidRDefault="000A3118">
            <w:pPr>
              <w:rPr>
                <w:rFonts w:eastAsia="Times New Roman"/>
                <w:sz w:val="20"/>
                <w:szCs w:val="20"/>
              </w:rPr>
            </w:pPr>
          </w:p>
        </w:tc>
        <w:tc>
          <w:tcPr>
            <w:tcW w:w="26" w:type="pct"/>
            <w:vAlign w:val="center"/>
            <w:hideMark/>
          </w:tcPr>
          <w:p w14:paraId="1BD2EC6B" w14:textId="77777777" w:rsidR="00000000" w:rsidRDefault="000A3118">
            <w:pPr>
              <w:rPr>
                <w:rFonts w:eastAsia="Times New Roman"/>
                <w:sz w:val="20"/>
                <w:szCs w:val="20"/>
              </w:rPr>
            </w:pPr>
          </w:p>
        </w:tc>
        <w:tc>
          <w:tcPr>
            <w:tcW w:w="5" w:type="pct"/>
            <w:vAlign w:val="center"/>
            <w:hideMark/>
          </w:tcPr>
          <w:p w14:paraId="05C48038" w14:textId="77777777" w:rsidR="00000000" w:rsidRDefault="000A3118">
            <w:pPr>
              <w:rPr>
                <w:rFonts w:eastAsia="Times New Roman"/>
                <w:sz w:val="20"/>
                <w:szCs w:val="20"/>
              </w:rPr>
            </w:pPr>
          </w:p>
        </w:tc>
        <w:tc>
          <w:tcPr>
            <w:tcW w:w="50" w:type="pct"/>
            <w:vAlign w:val="center"/>
            <w:hideMark/>
          </w:tcPr>
          <w:p w14:paraId="5E77926C" w14:textId="77777777" w:rsidR="00000000" w:rsidRDefault="000A3118">
            <w:pPr>
              <w:rPr>
                <w:rFonts w:eastAsia="Times New Roman"/>
                <w:sz w:val="20"/>
                <w:szCs w:val="20"/>
              </w:rPr>
            </w:pPr>
          </w:p>
        </w:tc>
        <w:tc>
          <w:tcPr>
            <w:tcW w:w="524" w:type="pct"/>
            <w:vAlign w:val="center"/>
            <w:hideMark/>
          </w:tcPr>
          <w:p w14:paraId="2C392E46" w14:textId="77777777" w:rsidR="00000000" w:rsidRDefault="000A3118">
            <w:pPr>
              <w:rPr>
                <w:rFonts w:eastAsia="Times New Roman"/>
                <w:sz w:val="20"/>
                <w:szCs w:val="20"/>
              </w:rPr>
            </w:pPr>
          </w:p>
        </w:tc>
        <w:tc>
          <w:tcPr>
            <w:tcW w:w="5" w:type="pct"/>
            <w:vAlign w:val="center"/>
            <w:hideMark/>
          </w:tcPr>
          <w:p w14:paraId="28B102A1" w14:textId="77777777" w:rsidR="00000000" w:rsidRDefault="000A3118">
            <w:pPr>
              <w:rPr>
                <w:rFonts w:eastAsia="Times New Roman"/>
                <w:sz w:val="20"/>
                <w:szCs w:val="20"/>
              </w:rPr>
            </w:pPr>
          </w:p>
        </w:tc>
        <w:tc>
          <w:tcPr>
            <w:tcW w:w="5" w:type="pct"/>
            <w:vAlign w:val="center"/>
            <w:hideMark/>
          </w:tcPr>
          <w:p w14:paraId="29BEB41B" w14:textId="77777777" w:rsidR="00000000" w:rsidRDefault="000A3118">
            <w:pPr>
              <w:rPr>
                <w:rFonts w:eastAsia="Times New Roman"/>
                <w:sz w:val="20"/>
                <w:szCs w:val="20"/>
              </w:rPr>
            </w:pPr>
          </w:p>
        </w:tc>
        <w:tc>
          <w:tcPr>
            <w:tcW w:w="26" w:type="pct"/>
            <w:vAlign w:val="center"/>
            <w:hideMark/>
          </w:tcPr>
          <w:p w14:paraId="14102C94" w14:textId="77777777" w:rsidR="00000000" w:rsidRDefault="000A3118">
            <w:pPr>
              <w:rPr>
                <w:rFonts w:eastAsia="Times New Roman"/>
                <w:sz w:val="20"/>
                <w:szCs w:val="20"/>
              </w:rPr>
            </w:pPr>
          </w:p>
        </w:tc>
        <w:tc>
          <w:tcPr>
            <w:tcW w:w="5" w:type="pct"/>
            <w:vAlign w:val="center"/>
            <w:hideMark/>
          </w:tcPr>
          <w:p w14:paraId="4B8AE928" w14:textId="77777777" w:rsidR="00000000" w:rsidRDefault="000A3118">
            <w:pPr>
              <w:rPr>
                <w:rFonts w:eastAsia="Times New Roman"/>
                <w:sz w:val="20"/>
                <w:szCs w:val="20"/>
              </w:rPr>
            </w:pPr>
          </w:p>
        </w:tc>
        <w:tc>
          <w:tcPr>
            <w:tcW w:w="50" w:type="pct"/>
            <w:vAlign w:val="center"/>
            <w:hideMark/>
          </w:tcPr>
          <w:p w14:paraId="2B1F70A2" w14:textId="77777777" w:rsidR="00000000" w:rsidRDefault="000A3118">
            <w:pPr>
              <w:rPr>
                <w:rFonts w:eastAsia="Times New Roman"/>
                <w:sz w:val="20"/>
                <w:szCs w:val="20"/>
              </w:rPr>
            </w:pPr>
          </w:p>
        </w:tc>
        <w:tc>
          <w:tcPr>
            <w:tcW w:w="502" w:type="pct"/>
            <w:vAlign w:val="center"/>
            <w:hideMark/>
          </w:tcPr>
          <w:p w14:paraId="7030CD2B" w14:textId="77777777" w:rsidR="00000000" w:rsidRDefault="000A3118">
            <w:pPr>
              <w:rPr>
                <w:rFonts w:eastAsia="Times New Roman"/>
                <w:sz w:val="20"/>
                <w:szCs w:val="20"/>
              </w:rPr>
            </w:pPr>
          </w:p>
        </w:tc>
        <w:tc>
          <w:tcPr>
            <w:tcW w:w="5" w:type="pct"/>
            <w:vAlign w:val="center"/>
            <w:hideMark/>
          </w:tcPr>
          <w:p w14:paraId="1B3BCE0E" w14:textId="77777777" w:rsidR="00000000" w:rsidRDefault="000A3118">
            <w:pPr>
              <w:rPr>
                <w:rFonts w:eastAsia="Times New Roman"/>
                <w:sz w:val="20"/>
                <w:szCs w:val="20"/>
              </w:rPr>
            </w:pPr>
          </w:p>
        </w:tc>
      </w:tr>
      <w:tr w:rsidR="00000000" w14:paraId="2B62EB66" w14:textId="77777777">
        <w:trPr>
          <w:divId w:val="1520005996"/>
        </w:trPr>
        <w:tc>
          <w:tcPr>
            <w:tcW w:w="0" w:type="auto"/>
            <w:gridSpan w:val="3"/>
            <w:tcMar>
              <w:top w:w="0" w:type="dxa"/>
              <w:left w:w="20" w:type="dxa"/>
              <w:bottom w:w="0" w:type="dxa"/>
              <w:right w:w="20" w:type="dxa"/>
            </w:tcMar>
            <w:vAlign w:val="center"/>
            <w:hideMark/>
          </w:tcPr>
          <w:p w14:paraId="5D0EBD65"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1984C5C1"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15A32C79" w14:textId="77777777" w:rsidR="00000000" w:rsidRDefault="000A3118">
            <w:pPr>
              <w:jc w:val="center"/>
              <w:rPr>
                <w:rFonts w:eastAsia="Times New Roman"/>
              </w:rPr>
            </w:pPr>
            <w:r>
              <w:rPr>
                <w:rFonts w:eastAsia="Times New Roman"/>
                <w:b/>
                <w:bCs/>
                <w:color w:val="000000"/>
                <w:sz w:val="16"/>
                <w:szCs w:val="16"/>
              </w:rPr>
              <w:t>For the Three Months Ended</w:t>
            </w:r>
          </w:p>
        </w:tc>
        <w:tc>
          <w:tcPr>
            <w:tcW w:w="0" w:type="auto"/>
            <w:gridSpan w:val="3"/>
            <w:tcMar>
              <w:top w:w="0" w:type="dxa"/>
              <w:left w:w="20" w:type="dxa"/>
              <w:bottom w:w="0" w:type="dxa"/>
              <w:right w:w="20" w:type="dxa"/>
            </w:tcMar>
            <w:vAlign w:val="center"/>
            <w:hideMark/>
          </w:tcPr>
          <w:p w14:paraId="2FEDC9A4"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505D6E72" w14:textId="77777777" w:rsidR="00000000" w:rsidRDefault="000A3118">
            <w:pPr>
              <w:rPr>
                <w:rFonts w:eastAsia="Times New Roman"/>
                <w:sz w:val="20"/>
                <w:szCs w:val="20"/>
              </w:rPr>
            </w:pPr>
          </w:p>
        </w:tc>
      </w:tr>
      <w:tr w:rsidR="00000000" w14:paraId="162AD3BA" w14:textId="77777777">
        <w:trPr>
          <w:divId w:val="1520005996"/>
        </w:trPr>
        <w:tc>
          <w:tcPr>
            <w:tcW w:w="0" w:type="auto"/>
            <w:gridSpan w:val="3"/>
            <w:tcMar>
              <w:top w:w="0" w:type="dxa"/>
              <w:left w:w="20" w:type="dxa"/>
              <w:bottom w:w="0" w:type="dxa"/>
              <w:right w:w="20" w:type="dxa"/>
            </w:tcMar>
            <w:vAlign w:val="center"/>
            <w:hideMark/>
          </w:tcPr>
          <w:p w14:paraId="0CED75AF"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0CC874F2"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013B2E80"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56739C05"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2C355C83" w14:textId="77777777" w:rsidR="00000000" w:rsidRDefault="000A3118">
            <w:pPr>
              <w:rPr>
                <w:rFonts w:eastAsia="Times New Roman"/>
                <w:sz w:val="20"/>
                <w:szCs w:val="20"/>
              </w:rPr>
            </w:pPr>
          </w:p>
        </w:tc>
      </w:tr>
      <w:tr w:rsidR="00000000" w14:paraId="58B9E325" w14:textId="77777777">
        <w:trPr>
          <w:divId w:val="1520005996"/>
        </w:trPr>
        <w:tc>
          <w:tcPr>
            <w:tcW w:w="0" w:type="auto"/>
            <w:gridSpan w:val="3"/>
            <w:tcMar>
              <w:top w:w="0" w:type="dxa"/>
              <w:left w:w="20" w:type="dxa"/>
              <w:bottom w:w="0" w:type="dxa"/>
              <w:right w:w="20" w:type="dxa"/>
            </w:tcMar>
            <w:vAlign w:val="center"/>
            <w:hideMark/>
          </w:tcPr>
          <w:p w14:paraId="04093AA6"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1BAEFE"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E154B6C"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1FB3F89"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C12151"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12280342"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2411C4DC" w14:textId="77777777" w:rsidR="00000000" w:rsidRDefault="000A3118">
            <w:pPr>
              <w:jc w:val="center"/>
              <w:rPr>
                <w:rFonts w:eastAsia="Times New Roman"/>
              </w:rPr>
            </w:pPr>
            <w:r>
              <w:rPr>
                <w:rFonts w:eastAsia="Times New Roman"/>
                <w:b/>
                <w:bCs/>
                <w:color w:val="000000"/>
                <w:sz w:val="16"/>
                <w:szCs w:val="16"/>
              </w:rPr>
              <w:t>$ Change</w:t>
            </w:r>
          </w:p>
        </w:tc>
      </w:tr>
      <w:tr w:rsidR="00000000" w14:paraId="478ADFB5" w14:textId="77777777">
        <w:trPr>
          <w:divId w:val="152000599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4BD742" w14:textId="77777777" w:rsidR="00000000" w:rsidRDefault="000A3118">
            <w:pPr>
              <w:rPr>
                <w:rFonts w:eastAsia="Times New Roman"/>
              </w:rPr>
            </w:pPr>
            <w:r>
              <w:rPr>
                <w:rFonts w:eastAsia="Times New Roman"/>
                <w:color w:val="000000"/>
                <w:sz w:val="16"/>
                <w:szCs w:val="16"/>
              </w:rPr>
              <w:t>Aviation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8DF07E"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4FF2C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22AB5E" w14:textId="77777777" w:rsidR="00000000" w:rsidRDefault="000A3118">
            <w:pPr>
              <w:jc w:val="right"/>
              <w:rPr>
                <w:rFonts w:eastAsia="Times New Roman"/>
              </w:rPr>
            </w:pPr>
            <w:r>
              <w:rPr>
                <w:rFonts w:eastAsia="Times New Roman"/>
                <w:color w:val="000000"/>
                <w:sz w:val="16"/>
                <w:szCs w:val="16"/>
              </w:rPr>
              <w:t>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150984"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1AFB06"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1CE88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104FBE" w14:textId="77777777" w:rsidR="00000000" w:rsidRDefault="000A3118">
            <w:pPr>
              <w:jc w:val="right"/>
              <w:rPr>
                <w:rFonts w:eastAsia="Times New Roman"/>
              </w:rPr>
            </w:pPr>
            <w:r>
              <w:rPr>
                <w:rFonts w:eastAsia="Times New Roman"/>
                <w:color w:val="000000"/>
                <w:sz w:val="16"/>
                <w:szCs w:val="16"/>
              </w:rPr>
              <w:t>86.3 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CFEC4F"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A98D0F"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9543C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550BA5" w14:textId="77777777" w:rsidR="00000000" w:rsidRDefault="000A3118">
            <w:pPr>
              <w:jc w:val="right"/>
              <w:rPr>
                <w:rFonts w:eastAsia="Times New Roman"/>
              </w:rPr>
            </w:pPr>
            <w:r>
              <w:rPr>
                <w:rFonts w:eastAsia="Times New Roman"/>
                <w:color w:val="000000"/>
                <w:sz w:val="16"/>
                <w:szCs w:val="16"/>
              </w:rPr>
              <w:t>(57.2)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AC8C31" w14:textId="77777777" w:rsidR="00000000" w:rsidRDefault="000A3118">
            <w:pPr>
              <w:jc w:val="right"/>
              <w:rPr>
                <w:rFonts w:eastAsia="Times New Roman"/>
              </w:rPr>
            </w:pPr>
          </w:p>
        </w:tc>
      </w:tr>
      <w:tr w:rsidR="00000000" w14:paraId="07B6878F" w14:textId="77777777">
        <w:trPr>
          <w:divId w:val="1520005996"/>
        </w:trPr>
        <w:tc>
          <w:tcPr>
            <w:tcW w:w="0" w:type="auto"/>
            <w:gridSpan w:val="3"/>
            <w:shd w:val="clear" w:color="auto" w:fill="FFFFFF"/>
            <w:tcMar>
              <w:top w:w="30" w:type="dxa"/>
              <w:left w:w="20" w:type="dxa"/>
              <w:bottom w:w="30" w:type="dxa"/>
              <w:right w:w="20" w:type="dxa"/>
            </w:tcMar>
            <w:vAlign w:val="bottom"/>
            <w:hideMark/>
          </w:tcPr>
          <w:p w14:paraId="35B50D87" w14:textId="77777777" w:rsidR="00000000" w:rsidRDefault="000A3118">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14:paraId="7DD4C7A9"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FC9381" w14:textId="77777777" w:rsidR="00000000" w:rsidRDefault="000A3118">
            <w:pPr>
              <w:jc w:val="right"/>
              <w:rPr>
                <w:rFonts w:eastAsia="Times New Roman"/>
              </w:rPr>
            </w:pPr>
            <w:r>
              <w:rPr>
                <w:rFonts w:eastAsia="Times New Roman"/>
                <w:color w:val="000000"/>
                <w:sz w:val="16"/>
                <w:szCs w:val="16"/>
              </w:rPr>
              <w:t>18.8 </w:t>
            </w:r>
          </w:p>
        </w:tc>
        <w:tc>
          <w:tcPr>
            <w:tcW w:w="0" w:type="auto"/>
            <w:shd w:val="clear" w:color="auto" w:fill="FFFFFF"/>
            <w:tcMar>
              <w:top w:w="30" w:type="dxa"/>
              <w:left w:w="0" w:type="dxa"/>
              <w:bottom w:w="30" w:type="dxa"/>
              <w:right w:w="20" w:type="dxa"/>
            </w:tcMar>
            <w:vAlign w:val="bottom"/>
            <w:hideMark/>
          </w:tcPr>
          <w:p w14:paraId="02B3B87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8B00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6E879" w14:textId="77777777" w:rsidR="00000000" w:rsidRDefault="000A3118">
            <w:pPr>
              <w:jc w:val="right"/>
              <w:rPr>
                <w:rFonts w:eastAsia="Times New Roman"/>
              </w:rPr>
            </w:pPr>
            <w:r>
              <w:rPr>
                <w:rFonts w:eastAsia="Times New Roman"/>
                <w:color w:val="000000"/>
                <w:sz w:val="16"/>
                <w:szCs w:val="16"/>
              </w:rPr>
              <w:t>13.4 </w:t>
            </w:r>
          </w:p>
        </w:tc>
        <w:tc>
          <w:tcPr>
            <w:tcW w:w="0" w:type="auto"/>
            <w:shd w:val="clear" w:color="auto" w:fill="FFFFFF"/>
            <w:tcMar>
              <w:top w:w="30" w:type="dxa"/>
              <w:left w:w="0" w:type="dxa"/>
              <w:bottom w:w="30" w:type="dxa"/>
              <w:right w:w="20" w:type="dxa"/>
            </w:tcMar>
            <w:vAlign w:val="bottom"/>
            <w:hideMark/>
          </w:tcPr>
          <w:p w14:paraId="7E513D33"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5C62A"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AFFDD2" w14:textId="77777777" w:rsidR="00000000" w:rsidRDefault="000A3118">
            <w:pPr>
              <w:jc w:val="right"/>
              <w:rPr>
                <w:rFonts w:eastAsia="Times New Roman"/>
              </w:rPr>
            </w:pPr>
            <w:r>
              <w:rPr>
                <w:rFonts w:eastAsia="Times New Roman"/>
                <w:color w:val="000000"/>
                <w:sz w:val="16"/>
                <w:szCs w:val="16"/>
              </w:rPr>
              <w:t>5.4 </w:t>
            </w:r>
          </w:p>
        </w:tc>
        <w:tc>
          <w:tcPr>
            <w:tcW w:w="0" w:type="auto"/>
            <w:shd w:val="clear" w:color="auto" w:fill="FFFFFF"/>
            <w:tcMar>
              <w:top w:w="30" w:type="dxa"/>
              <w:left w:w="0" w:type="dxa"/>
              <w:bottom w:w="30" w:type="dxa"/>
              <w:right w:w="20" w:type="dxa"/>
            </w:tcMar>
            <w:vAlign w:val="bottom"/>
            <w:hideMark/>
          </w:tcPr>
          <w:p w14:paraId="19A91C7C" w14:textId="77777777" w:rsidR="00000000" w:rsidRDefault="000A3118">
            <w:pPr>
              <w:jc w:val="right"/>
              <w:rPr>
                <w:rFonts w:eastAsia="Times New Roman"/>
              </w:rPr>
            </w:pPr>
          </w:p>
        </w:tc>
      </w:tr>
      <w:tr w:rsidR="00000000" w14:paraId="6AEC798B" w14:textId="77777777">
        <w:trPr>
          <w:divId w:val="1520005996"/>
        </w:trPr>
        <w:tc>
          <w:tcPr>
            <w:tcW w:w="0" w:type="auto"/>
            <w:gridSpan w:val="3"/>
            <w:shd w:val="clear" w:color="auto" w:fill="CCEEFF"/>
            <w:tcMar>
              <w:top w:w="30" w:type="dxa"/>
              <w:left w:w="20" w:type="dxa"/>
              <w:bottom w:w="30" w:type="dxa"/>
              <w:right w:w="20" w:type="dxa"/>
            </w:tcMar>
            <w:vAlign w:val="bottom"/>
            <w:hideMark/>
          </w:tcPr>
          <w:p w14:paraId="007B2982" w14:textId="77777777" w:rsidR="00000000" w:rsidRDefault="000A3118">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14:paraId="0FF40851"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EFC5B9" w14:textId="77777777" w:rsidR="00000000" w:rsidRDefault="000A3118">
            <w:pPr>
              <w:jc w:val="right"/>
              <w:rPr>
                <w:rFonts w:eastAsia="Times New Roman"/>
              </w:rPr>
            </w:pPr>
            <w:r>
              <w:rPr>
                <w:rFonts w:eastAsia="Times New Roman"/>
                <w:color w:val="000000"/>
                <w:sz w:val="16"/>
                <w:szCs w:val="16"/>
              </w:rPr>
              <w:t>8.2 </w:t>
            </w:r>
          </w:p>
        </w:tc>
        <w:tc>
          <w:tcPr>
            <w:tcW w:w="0" w:type="auto"/>
            <w:shd w:val="clear" w:color="auto" w:fill="CCEEFF"/>
            <w:tcMar>
              <w:top w:w="30" w:type="dxa"/>
              <w:left w:w="0" w:type="dxa"/>
              <w:bottom w:w="30" w:type="dxa"/>
              <w:right w:w="20" w:type="dxa"/>
            </w:tcMar>
            <w:vAlign w:val="bottom"/>
            <w:hideMark/>
          </w:tcPr>
          <w:p w14:paraId="4C81155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BDB7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BE6EBE" w14:textId="77777777" w:rsidR="00000000" w:rsidRDefault="000A3118">
            <w:pPr>
              <w:jc w:val="right"/>
              <w:rPr>
                <w:rFonts w:eastAsia="Times New Roman"/>
              </w:rPr>
            </w:pPr>
            <w:r>
              <w:rPr>
                <w:rFonts w:eastAsia="Times New Roman"/>
                <w:color w:val="000000"/>
                <w:sz w:val="16"/>
                <w:szCs w:val="16"/>
              </w:rPr>
              <w:t>20.6 </w:t>
            </w:r>
          </w:p>
        </w:tc>
        <w:tc>
          <w:tcPr>
            <w:tcW w:w="0" w:type="auto"/>
            <w:shd w:val="clear" w:color="auto" w:fill="CCEEFF"/>
            <w:tcMar>
              <w:top w:w="30" w:type="dxa"/>
              <w:left w:w="0" w:type="dxa"/>
              <w:bottom w:w="30" w:type="dxa"/>
              <w:right w:w="20" w:type="dxa"/>
            </w:tcMar>
            <w:vAlign w:val="bottom"/>
            <w:hideMark/>
          </w:tcPr>
          <w:p w14:paraId="36AB500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B0B8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66A0E6" w14:textId="77777777" w:rsidR="00000000" w:rsidRDefault="000A3118">
            <w:pPr>
              <w:jc w:val="right"/>
              <w:rPr>
                <w:rFonts w:eastAsia="Times New Roman"/>
              </w:rPr>
            </w:pPr>
            <w:r>
              <w:rPr>
                <w:rFonts w:eastAsia="Times New Roman"/>
                <w:color w:val="000000"/>
                <w:sz w:val="16"/>
                <w:szCs w:val="16"/>
              </w:rPr>
              <w:t>(12.4)</w:t>
            </w:r>
          </w:p>
        </w:tc>
        <w:tc>
          <w:tcPr>
            <w:tcW w:w="0" w:type="auto"/>
            <w:shd w:val="clear" w:color="auto" w:fill="CCEEFF"/>
            <w:tcMar>
              <w:top w:w="30" w:type="dxa"/>
              <w:left w:w="0" w:type="dxa"/>
              <w:bottom w:w="30" w:type="dxa"/>
              <w:right w:w="20" w:type="dxa"/>
            </w:tcMar>
            <w:vAlign w:val="bottom"/>
            <w:hideMark/>
          </w:tcPr>
          <w:p w14:paraId="5F376361" w14:textId="77777777" w:rsidR="00000000" w:rsidRDefault="000A3118">
            <w:pPr>
              <w:jc w:val="right"/>
              <w:rPr>
                <w:rFonts w:eastAsia="Times New Roman"/>
              </w:rPr>
            </w:pPr>
          </w:p>
        </w:tc>
      </w:tr>
      <w:tr w:rsidR="00000000" w14:paraId="75D41671" w14:textId="77777777">
        <w:trPr>
          <w:divId w:val="1520005996"/>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FFCCA0"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59C4CE" w14:textId="77777777" w:rsidR="00000000" w:rsidRDefault="000A3118">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DFF2E5" w14:textId="77777777" w:rsidR="00000000" w:rsidRDefault="000A3118">
            <w:pPr>
              <w:jc w:val="right"/>
              <w:rPr>
                <w:rFonts w:eastAsia="Times New Roman"/>
              </w:rPr>
            </w:pPr>
            <w:r>
              <w:rPr>
                <w:rFonts w:eastAsia="Times New Roman"/>
                <w:color w:val="000000"/>
                <w:sz w:val="16"/>
                <w:szCs w:val="16"/>
              </w:rPr>
              <w:t>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760FC8"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486EA2"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C903CF" w14:textId="77777777" w:rsidR="00000000" w:rsidRDefault="000A3118">
            <w:pPr>
              <w:jc w:val="right"/>
              <w:rPr>
                <w:rFonts w:eastAsia="Times New Roman"/>
              </w:rPr>
            </w:pPr>
            <w:r>
              <w:rPr>
                <w:rFonts w:eastAsia="Times New Roman"/>
                <w:color w:val="000000"/>
                <w:sz w:val="16"/>
                <w:szCs w:val="16"/>
              </w:rPr>
              <w:t>120.3 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A3F691"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436CE66"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9901F7" w14:textId="77777777" w:rsidR="00000000" w:rsidRDefault="000A3118">
            <w:pPr>
              <w:jc w:val="right"/>
              <w:rPr>
                <w:rFonts w:eastAsia="Times New Roman"/>
              </w:rPr>
            </w:pPr>
            <w:r>
              <w:rPr>
                <w:rFonts w:eastAsia="Times New Roman"/>
                <w:color w:val="000000"/>
                <w:sz w:val="16"/>
                <w:szCs w:val="16"/>
              </w:rPr>
              <w:t>(64.2)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ED0B37" w14:textId="77777777" w:rsidR="00000000" w:rsidRDefault="000A3118">
            <w:pPr>
              <w:jc w:val="right"/>
              <w:rPr>
                <w:rFonts w:eastAsia="Times New Roman"/>
              </w:rPr>
            </w:pPr>
          </w:p>
        </w:tc>
      </w:tr>
      <w:tr w:rsidR="00000000" w14:paraId="5C074BBF" w14:textId="77777777">
        <w:trPr>
          <w:divId w:val="1520005996"/>
        </w:trPr>
        <w:tc>
          <w:tcPr>
            <w:tcW w:w="0" w:type="auto"/>
            <w:gridSpan w:val="3"/>
            <w:shd w:val="clear" w:color="auto" w:fill="CCEEFF"/>
            <w:tcMar>
              <w:top w:w="30" w:type="dxa"/>
              <w:left w:w="20" w:type="dxa"/>
              <w:bottom w:w="30" w:type="dxa"/>
              <w:right w:w="20" w:type="dxa"/>
            </w:tcMar>
            <w:vAlign w:val="bottom"/>
            <w:hideMark/>
          </w:tcPr>
          <w:p w14:paraId="646DE89B" w14:textId="77777777" w:rsidR="00000000" w:rsidRDefault="000A3118">
            <w:pPr>
              <w:rPr>
                <w:rFonts w:eastAsia="Times New Roman"/>
              </w:rPr>
            </w:pPr>
            <w:r>
              <w:rPr>
                <w:rFonts w:eastAsia="Times New Roman"/>
                <w:color w:val="000000"/>
                <w:sz w:val="16"/>
                <w:szCs w:val="16"/>
              </w:rPr>
              <w:t>Corporate overhead - unallocated</w:t>
            </w:r>
          </w:p>
        </w:tc>
        <w:tc>
          <w:tcPr>
            <w:tcW w:w="0" w:type="auto"/>
            <w:gridSpan w:val="3"/>
            <w:shd w:val="clear" w:color="auto" w:fill="CCEEFF"/>
            <w:tcMar>
              <w:top w:w="0" w:type="dxa"/>
              <w:left w:w="20" w:type="dxa"/>
              <w:bottom w:w="0" w:type="dxa"/>
              <w:right w:w="20" w:type="dxa"/>
            </w:tcMar>
            <w:vAlign w:val="center"/>
            <w:hideMark/>
          </w:tcPr>
          <w:p w14:paraId="67817060"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C10C8E" w14:textId="77777777" w:rsidR="00000000" w:rsidRDefault="000A3118">
            <w:pPr>
              <w:jc w:val="right"/>
              <w:rPr>
                <w:rFonts w:eastAsia="Times New Roman"/>
              </w:rPr>
            </w:pPr>
            <w:r>
              <w:rPr>
                <w:rFonts w:eastAsia="Times New Roman"/>
                <w:color w:val="000000"/>
                <w:sz w:val="16"/>
                <w:szCs w:val="16"/>
              </w:rPr>
              <w:t>(17.4)</w:t>
            </w:r>
          </w:p>
        </w:tc>
        <w:tc>
          <w:tcPr>
            <w:tcW w:w="0" w:type="auto"/>
            <w:shd w:val="clear" w:color="auto" w:fill="CCEEFF"/>
            <w:tcMar>
              <w:top w:w="30" w:type="dxa"/>
              <w:left w:w="0" w:type="dxa"/>
              <w:bottom w:w="30" w:type="dxa"/>
              <w:right w:w="20" w:type="dxa"/>
            </w:tcMar>
            <w:vAlign w:val="bottom"/>
            <w:hideMark/>
          </w:tcPr>
          <w:p w14:paraId="680BA33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04F2B"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69D938" w14:textId="77777777" w:rsidR="00000000" w:rsidRDefault="000A3118">
            <w:pPr>
              <w:jc w:val="right"/>
              <w:rPr>
                <w:rFonts w:eastAsia="Times New Roman"/>
              </w:rPr>
            </w:pPr>
            <w:r>
              <w:rPr>
                <w:rFonts w:eastAsia="Times New Roman"/>
                <w:color w:val="000000"/>
                <w:sz w:val="16"/>
                <w:szCs w:val="16"/>
              </w:rPr>
              <w:t>(26.7)</w:t>
            </w:r>
          </w:p>
        </w:tc>
        <w:tc>
          <w:tcPr>
            <w:tcW w:w="0" w:type="auto"/>
            <w:shd w:val="clear" w:color="auto" w:fill="CCEEFF"/>
            <w:tcMar>
              <w:top w:w="30" w:type="dxa"/>
              <w:left w:w="0" w:type="dxa"/>
              <w:bottom w:w="30" w:type="dxa"/>
              <w:right w:w="20" w:type="dxa"/>
            </w:tcMar>
            <w:vAlign w:val="bottom"/>
            <w:hideMark/>
          </w:tcPr>
          <w:p w14:paraId="41BF26D0"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0E1DC"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25AF22" w14:textId="77777777" w:rsidR="00000000" w:rsidRDefault="000A3118">
            <w:pPr>
              <w:jc w:val="right"/>
              <w:rPr>
                <w:rFonts w:eastAsia="Times New Roman"/>
              </w:rPr>
            </w:pPr>
            <w:r>
              <w:rPr>
                <w:rFonts w:eastAsia="Times New Roman"/>
                <w:color w:val="000000"/>
                <w:sz w:val="16"/>
                <w:szCs w:val="16"/>
              </w:rPr>
              <w:t>9.3 </w:t>
            </w:r>
          </w:p>
        </w:tc>
        <w:tc>
          <w:tcPr>
            <w:tcW w:w="0" w:type="auto"/>
            <w:shd w:val="clear" w:color="auto" w:fill="CCEEFF"/>
            <w:tcMar>
              <w:top w:w="30" w:type="dxa"/>
              <w:left w:w="0" w:type="dxa"/>
              <w:bottom w:w="30" w:type="dxa"/>
              <w:right w:w="20" w:type="dxa"/>
            </w:tcMar>
            <w:vAlign w:val="bottom"/>
            <w:hideMark/>
          </w:tcPr>
          <w:p w14:paraId="49BC68A5" w14:textId="77777777" w:rsidR="00000000" w:rsidRDefault="000A3118">
            <w:pPr>
              <w:jc w:val="right"/>
              <w:rPr>
                <w:rFonts w:eastAsia="Times New Roman"/>
              </w:rPr>
            </w:pPr>
          </w:p>
        </w:tc>
      </w:tr>
      <w:tr w:rsidR="00000000" w14:paraId="5175FA15" w14:textId="77777777">
        <w:trPr>
          <w:divId w:val="1520005996"/>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EF1B502"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9B9C04E"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133B1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CFAC03" w14:textId="77777777" w:rsidR="00000000" w:rsidRDefault="000A3118">
            <w:pPr>
              <w:jc w:val="right"/>
              <w:rPr>
                <w:rFonts w:eastAsia="Times New Roman"/>
              </w:rPr>
            </w:pPr>
            <w:r>
              <w:rPr>
                <w:rFonts w:eastAsia="Times New Roman"/>
                <w:color w:val="000000"/>
                <w:sz w:val="16"/>
                <w:szCs w:val="16"/>
              </w:rPr>
              <w:t>38.8 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06DF2F"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EACDDB9"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C2DF44"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FC2478" w14:textId="77777777" w:rsidR="00000000" w:rsidRDefault="000A3118">
            <w:pPr>
              <w:jc w:val="right"/>
              <w:rPr>
                <w:rFonts w:eastAsia="Times New Roman"/>
              </w:rPr>
            </w:pPr>
            <w:r>
              <w:rPr>
                <w:rFonts w:eastAsia="Times New Roman"/>
                <w:color w:val="000000"/>
                <w:sz w:val="16"/>
                <w:szCs w:val="16"/>
              </w:rPr>
              <w:t>93.6 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0FF798"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499A608E"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76F55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AFB917" w14:textId="77777777" w:rsidR="00000000" w:rsidRDefault="000A3118">
            <w:pPr>
              <w:jc w:val="right"/>
              <w:rPr>
                <w:rFonts w:eastAsia="Times New Roman"/>
              </w:rPr>
            </w:pPr>
            <w:r>
              <w:rPr>
                <w:rFonts w:eastAsia="Times New Roman"/>
                <w:color w:val="000000"/>
                <w:sz w:val="16"/>
                <w:szCs w:val="16"/>
              </w:rPr>
              <w:t>(54.8)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5C8C0F" w14:textId="77777777" w:rsidR="00000000" w:rsidRDefault="000A3118">
            <w:pPr>
              <w:jc w:val="right"/>
              <w:rPr>
                <w:rFonts w:eastAsia="Times New Roman"/>
              </w:rPr>
            </w:pPr>
          </w:p>
        </w:tc>
      </w:tr>
    </w:tbl>
    <w:p w14:paraId="3607E147" w14:textId="77777777" w:rsidR="00000000" w:rsidRDefault="000A3118">
      <w:pPr>
        <w:ind w:firstLine="360"/>
        <w:jc w:val="both"/>
        <w:divId w:val="587419769"/>
        <w:rPr>
          <w:rFonts w:eastAsia="Times New Roman"/>
        </w:rPr>
      </w:pPr>
      <w:r>
        <w:rPr>
          <w:rFonts w:eastAsia="Times New Roman"/>
          <w:color w:val="000000"/>
          <w:sz w:val="20"/>
          <w:szCs w:val="20"/>
        </w:rPr>
        <w:t>Our income from operations for the third quarter of 2020 was $38.8 million, a decrease of $54.8 million, or 59%, as compared to the third q</w:t>
      </w:r>
      <w:r>
        <w:rPr>
          <w:rFonts w:eastAsia="Times New Roman"/>
          <w:color w:val="000000"/>
          <w:sz w:val="20"/>
          <w:szCs w:val="20"/>
        </w:rPr>
        <w:t>uarter of 2019. Results in our aviation segment primarily drove the decrease in operating income.</w:t>
      </w:r>
    </w:p>
    <w:p w14:paraId="675A3EFA" w14:textId="77777777" w:rsidR="00000000" w:rsidRDefault="000A3118">
      <w:pPr>
        <w:ind w:firstLine="360"/>
        <w:jc w:val="both"/>
        <w:rPr>
          <w:rFonts w:eastAsia="Times New Roman"/>
        </w:rPr>
      </w:pPr>
    </w:p>
    <w:p w14:paraId="0C2EE307" w14:textId="77777777" w:rsidR="00000000" w:rsidRDefault="000A3118">
      <w:pPr>
        <w:ind w:firstLine="360"/>
        <w:jc w:val="both"/>
        <w:rPr>
          <w:rFonts w:eastAsia="Times New Roman"/>
        </w:rPr>
      </w:pPr>
      <w:r>
        <w:rPr>
          <w:rFonts w:eastAsia="Times New Roman"/>
          <w:color w:val="000000"/>
          <w:sz w:val="20"/>
          <w:szCs w:val="20"/>
        </w:rPr>
        <w:t>Income from operations in our aviation segment for the third quarter of 2020 was $29.2 million, a decrease of $57.2 million, or 66% as compared to the third quarter of 2019. Our aviation segment was impacted by lower volumes and the correspondingly reduced</w:t>
      </w:r>
      <w:r>
        <w:rPr>
          <w:rFonts w:eastAsia="Times New Roman"/>
          <w:color w:val="000000"/>
          <w:sz w:val="20"/>
          <w:szCs w:val="20"/>
        </w:rPr>
        <w:t xml:space="preserve"> profit contribution as a consequence of the significant decline in air travel due to the COVID-19 pandemic, together with a reduction in our government-related activity in Afghanistan as a result of the ongoing drawdown of U.S. troops. Aviation segment op</w:t>
      </w:r>
      <w:r>
        <w:rPr>
          <w:rFonts w:eastAsia="Times New Roman"/>
          <w:color w:val="000000"/>
          <w:sz w:val="20"/>
          <w:szCs w:val="20"/>
        </w:rPr>
        <w:t>erating income was also reduced by increased expenses resulting from a higher bad debt expense principally due to the effects of the pandemic on the aviation industry.</w:t>
      </w:r>
    </w:p>
    <w:p w14:paraId="7DC82DB9" w14:textId="77777777" w:rsidR="00000000" w:rsidRDefault="000A3118">
      <w:pPr>
        <w:ind w:firstLine="360"/>
        <w:jc w:val="both"/>
        <w:rPr>
          <w:rFonts w:eastAsia="Times New Roman"/>
        </w:rPr>
      </w:pPr>
    </w:p>
    <w:p w14:paraId="038F1C87" w14:textId="77777777" w:rsidR="00000000" w:rsidRDefault="000A3118">
      <w:pPr>
        <w:ind w:firstLine="360"/>
        <w:jc w:val="both"/>
        <w:rPr>
          <w:rFonts w:eastAsia="Times New Roman"/>
        </w:rPr>
      </w:pPr>
      <w:r>
        <w:rPr>
          <w:rFonts w:eastAsia="Times New Roman"/>
          <w:color w:val="000000"/>
          <w:sz w:val="20"/>
          <w:szCs w:val="20"/>
        </w:rPr>
        <w:t>In our land segment, income from operations for the third quarter of 2020 was $18.8 mi</w:t>
      </w:r>
      <w:r>
        <w:rPr>
          <w:rFonts w:eastAsia="Times New Roman"/>
          <w:color w:val="000000"/>
          <w:sz w:val="20"/>
          <w:szCs w:val="20"/>
        </w:rPr>
        <w:t>llion, an increase of $5.4 million, or 40% compared to the third quarter of 2019. The increase in our land segment operating profit was primarily attributable to lower compensation costs and a reduction in general and administrative expenses resulting from</w:t>
      </w:r>
      <w:r>
        <w:rPr>
          <w:rFonts w:eastAsia="Times New Roman"/>
          <w:color w:val="000000"/>
          <w:sz w:val="20"/>
          <w:szCs w:val="20"/>
        </w:rPr>
        <w:t xml:space="preserve"> our cost reduction initiatives. The improvements in compensation costs and general and administrative expenses were partially offset by lower volumes as a result of the pandemic, particularly in our retail, commercial and industrial activities in North Am</w:t>
      </w:r>
      <w:r>
        <w:rPr>
          <w:rFonts w:eastAsia="Times New Roman"/>
          <w:color w:val="000000"/>
          <w:sz w:val="20"/>
          <w:szCs w:val="20"/>
        </w:rPr>
        <w:t xml:space="preserve">erica and our government-related activities in Afghanistan. </w:t>
      </w:r>
    </w:p>
    <w:p w14:paraId="24462682" w14:textId="77777777" w:rsidR="00000000" w:rsidRDefault="000A3118">
      <w:pPr>
        <w:ind w:firstLine="360"/>
        <w:jc w:val="both"/>
        <w:rPr>
          <w:rFonts w:eastAsia="Times New Roman"/>
        </w:rPr>
      </w:pPr>
    </w:p>
    <w:p w14:paraId="32401D4C" w14:textId="77777777" w:rsidR="00000000" w:rsidRDefault="000A3118">
      <w:pPr>
        <w:ind w:firstLine="270"/>
        <w:jc w:val="both"/>
        <w:rPr>
          <w:rFonts w:eastAsia="Times New Roman"/>
        </w:rPr>
      </w:pPr>
      <w:r>
        <w:rPr>
          <w:rFonts w:eastAsia="Times New Roman"/>
          <w:color w:val="000000"/>
          <w:sz w:val="20"/>
          <w:szCs w:val="20"/>
        </w:rPr>
        <w:t>Our marine segment income from operations for the third quarter of 2020 was $8.2 million, a decrease of $12.4 million, or 60% as compared to the third quarter of 2019. The decrease in operating</w:t>
      </w:r>
      <w:r>
        <w:rPr>
          <w:rFonts w:eastAsia="Times New Roman"/>
          <w:color w:val="000000"/>
          <w:sz w:val="20"/>
          <w:szCs w:val="20"/>
        </w:rPr>
        <w:t xml:space="preserve"> income was primarily attributable to lower volume and profitability due to a decline in both demand and average fuel prices as a consequence of the effects of the pandemic. The negative impact of the lower gross profit contribution was partially offset by</w:t>
      </w:r>
      <w:r>
        <w:rPr>
          <w:rFonts w:eastAsia="Times New Roman"/>
          <w:color w:val="000000"/>
          <w:sz w:val="20"/>
          <w:szCs w:val="20"/>
        </w:rPr>
        <w:t xml:space="preserve"> lower compensation costs. </w:t>
      </w:r>
    </w:p>
    <w:p w14:paraId="60B0BECE" w14:textId="77777777" w:rsidR="00000000" w:rsidRDefault="000A3118">
      <w:pPr>
        <w:ind w:firstLine="360"/>
        <w:jc w:val="both"/>
        <w:rPr>
          <w:rFonts w:eastAsia="Times New Roman"/>
        </w:rPr>
      </w:pPr>
    </w:p>
    <w:p w14:paraId="7794C8A3" w14:textId="77777777" w:rsidR="00000000" w:rsidRDefault="000A3118">
      <w:pPr>
        <w:jc w:val="center"/>
        <w:divId w:val="1396120498"/>
        <w:rPr>
          <w:rFonts w:eastAsia="Times New Roman"/>
        </w:rPr>
      </w:pPr>
      <w:r>
        <w:rPr>
          <w:rFonts w:eastAsia="Times New Roman"/>
          <w:color w:val="000000"/>
          <w:sz w:val="20"/>
          <w:szCs w:val="20"/>
        </w:rPr>
        <w:t>31</w:t>
      </w:r>
    </w:p>
    <w:p w14:paraId="21E21352" w14:textId="77777777" w:rsidR="00000000" w:rsidRDefault="000A3118">
      <w:pPr>
        <w:rPr>
          <w:rFonts w:eastAsia="Times New Roman"/>
        </w:rPr>
      </w:pPr>
      <w:r>
        <w:rPr>
          <w:rFonts w:eastAsia="Times New Roman"/>
        </w:rPr>
        <w:pict w14:anchorId="0CE1CA86">
          <v:rect id="_x0000_i1059" style="width:0;height:1.5pt" o:hralign="center" o:hrstd="t" o:hr="t" fillcolor="#a0a0a0" stroked="f"/>
        </w:pict>
      </w:r>
    </w:p>
    <w:p w14:paraId="790BFF3C" w14:textId="77777777" w:rsidR="00000000" w:rsidRDefault="000A3118">
      <w:pPr>
        <w:divId w:val="974606771"/>
        <w:rPr>
          <w:rFonts w:eastAsia="Times New Roman"/>
        </w:rPr>
      </w:pPr>
    </w:p>
    <w:p w14:paraId="5C4BA7D1" w14:textId="77777777" w:rsidR="00000000" w:rsidRDefault="000A3118">
      <w:pPr>
        <w:ind w:firstLine="360"/>
        <w:jc w:val="both"/>
        <w:rPr>
          <w:rFonts w:eastAsia="Times New Roman"/>
        </w:rPr>
      </w:pPr>
      <w:r>
        <w:rPr>
          <w:rFonts w:eastAsia="Times New Roman"/>
          <w:color w:val="000000"/>
          <w:sz w:val="20"/>
          <w:szCs w:val="20"/>
        </w:rPr>
        <w:t>Corporate overhead costs not charged to the business segments for the third quarter of 2020 were $17.4 million, a decrease of $9.3 million, or 34.9%, as compared to the third quarter o</w:t>
      </w:r>
      <w:r>
        <w:rPr>
          <w:rFonts w:eastAsia="Times New Roman"/>
          <w:color w:val="000000"/>
          <w:sz w:val="20"/>
          <w:szCs w:val="20"/>
        </w:rPr>
        <w:t>f 2019, primarily attributable to a decrease in compensation costs and general and administrative expenses.</w:t>
      </w:r>
    </w:p>
    <w:p w14:paraId="5D71E30D" w14:textId="77777777" w:rsidR="00000000" w:rsidRDefault="000A3118">
      <w:pPr>
        <w:ind w:firstLine="360"/>
        <w:jc w:val="both"/>
        <w:rPr>
          <w:rFonts w:eastAsia="Times New Roman"/>
        </w:rPr>
      </w:pPr>
    </w:p>
    <w:p w14:paraId="752059AA" w14:textId="77777777" w:rsidR="00000000" w:rsidRDefault="000A3118">
      <w:pPr>
        <w:ind w:firstLine="360"/>
        <w:jc w:val="both"/>
        <w:rPr>
          <w:rFonts w:eastAsia="Times New Roman"/>
        </w:rPr>
      </w:pPr>
      <w:r>
        <w:rPr>
          <w:rFonts w:eastAsia="Times New Roman"/>
          <w:i/>
          <w:iCs/>
          <w:color w:val="000000"/>
          <w:sz w:val="20"/>
          <w:szCs w:val="20"/>
        </w:rPr>
        <w:t>Non-Operating Income (Expense), net.</w:t>
      </w:r>
      <w:r>
        <w:rPr>
          <w:rFonts w:eastAsia="Times New Roman"/>
          <w:color w:val="000000"/>
          <w:sz w:val="20"/>
          <w:szCs w:val="20"/>
        </w:rPr>
        <w:t xml:space="preserve"> For the third quarter of 2020, we had non-operating income of $69.0 million compared to a non-operating expen</w:t>
      </w:r>
      <w:r>
        <w:rPr>
          <w:rFonts w:eastAsia="Times New Roman"/>
          <w:color w:val="000000"/>
          <w:sz w:val="20"/>
          <w:szCs w:val="20"/>
        </w:rPr>
        <w:t>se of $22.8 million in the third quarter of 2019. The positive variance was principally driven by a gain on the sale of our Multi Service payment solutions business of $80.0 million as well as a reduction in interest expense, and lower fees associated with</w:t>
      </w:r>
      <w:r>
        <w:rPr>
          <w:rFonts w:eastAsia="Times New Roman"/>
          <w:color w:val="000000"/>
          <w:sz w:val="20"/>
          <w:szCs w:val="20"/>
        </w:rPr>
        <w:t xml:space="preserve"> our receivable purchase programs.</w:t>
      </w:r>
    </w:p>
    <w:p w14:paraId="751CB6D5" w14:textId="77777777" w:rsidR="00000000" w:rsidRDefault="000A3118">
      <w:pPr>
        <w:ind w:firstLine="360"/>
        <w:jc w:val="both"/>
        <w:rPr>
          <w:rFonts w:eastAsia="Times New Roman"/>
        </w:rPr>
      </w:pPr>
    </w:p>
    <w:p w14:paraId="699EEEC1" w14:textId="77777777" w:rsidR="00000000" w:rsidRDefault="000A3118">
      <w:pPr>
        <w:ind w:firstLine="360"/>
        <w:jc w:val="both"/>
        <w:rPr>
          <w:rFonts w:eastAsia="Times New Roman"/>
        </w:rPr>
      </w:pPr>
      <w:r>
        <w:rPr>
          <w:rFonts w:eastAsia="Times New Roman"/>
          <w:i/>
          <w:iCs/>
          <w:color w:val="000000"/>
          <w:sz w:val="20"/>
          <w:szCs w:val="20"/>
        </w:rPr>
        <w:t>Income Taxes</w:t>
      </w:r>
      <w:r>
        <w:rPr>
          <w:rFonts w:eastAsia="Times New Roman"/>
          <w:color w:val="000000"/>
          <w:sz w:val="20"/>
          <w:szCs w:val="20"/>
        </w:rPr>
        <w:t>. For the third quarter of 2020, our income tax provision was $25.4 million and our effective income tax rate was 24%, as compared to an income tax provision of $21.5 million and an effective income tax rate</w:t>
      </w:r>
      <w:r>
        <w:rPr>
          <w:rFonts w:eastAsia="Times New Roman"/>
          <w:color w:val="000000"/>
          <w:sz w:val="20"/>
          <w:szCs w:val="20"/>
        </w:rPr>
        <w:t xml:space="preserve"> of 30% for the third quarter of 2019. The higher tax provision was primarily a result of the net tax expense associated with the sale of the Multi Service payment solutions business and an increase in other discrete tax items offset by a lower net tax pro</w:t>
      </w:r>
      <w:r>
        <w:rPr>
          <w:rFonts w:eastAsia="Times New Roman"/>
          <w:color w:val="000000"/>
          <w:sz w:val="20"/>
          <w:szCs w:val="20"/>
        </w:rPr>
        <w:t>vision related to the reduced worldwide income and its jurisdictional mix. See Note 8. Income Taxes within this 10-Q Report for additional information.</w:t>
      </w:r>
    </w:p>
    <w:p w14:paraId="113A592D" w14:textId="77777777" w:rsidR="00000000" w:rsidRDefault="000A3118">
      <w:pPr>
        <w:ind w:firstLine="360"/>
        <w:jc w:val="both"/>
        <w:rPr>
          <w:rFonts w:eastAsia="Times New Roman"/>
        </w:rPr>
      </w:pPr>
    </w:p>
    <w:p w14:paraId="067BDEE1" w14:textId="77777777" w:rsidR="00000000" w:rsidRDefault="000A3118">
      <w:pPr>
        <w:ind w:firstLine="360"/>
        <w:jc w:val="both"/>
        <w:rPr>
          <w:rFonts w:eastAsia="Times New Roman"/>
        </w:rPr>
      </w:pPr>
      <w:r>
        <w:rPr>
          <w:rFonts w:eastAsia="Times New Roman"/>
          <w:i/>
          <w:iCs/>
          <w:color w:val="000000"/>
          <w:sz w:val="20"/>
          <w:szCs w:val="20"/>
        </w:rPr>
        <w:t>Net Income Attributable to Noncontrolling Interest</w:t>
      </w:r>
      <w:r>
        <w:rPr>
          <w:rFonts w:eastAsia="Times New Roman"/>
          <w:color w:val="000000"/>
          <w:sz w:val="20"/>
          <w:szCs w:val="20"/>
        </w:rPr>
        <w:t>. For the third quarter of 2020, net income attribut</w:t>
      </w:r>
      <w:r>
        <w:rPr>
          <w:rFonts w:eastAsia="Times New Roman"/>
          <w:color w:val="000000"/>
          <w:sz w:val="20"/>
          <w:szCs w:val="20"/>
        </w:rPr>
        <w:t>able to noncontrolling interest was $0.5 million compared to net income of $1.2 million for the third quarter of 2019.</w:t>
      </w:r>
    </w:p>
    <w:p w14:paraId="592214CF" w14:textId="77777777" w:rsidR="00000000" w:rsidRDefault="000A3118">
      <w:pPr>
        <w:ind w:firstLine="360"/>
        <w:jc w:val="both"/>
        <w:rPr>
          <w:rFonts w:eastAsia="Times New Roman"/>
        </w:rPr>
      </w:pPr>
    </w:p>
    <w:p w14:paraId="0B853673" w14:textId="77777777" w:rsidR="00000000" w:rsidRDefault="000A3118">
      <w:pPr>
        <w:ind w:firstLine="360"/>
        <w:jc w:val="both"/>
        <w:rPr>
          <w:rFonts w:eastAsia="Times New Roman"/>
        </w:rPr>
      </w:pPr>
      <w:r>
        <w:rPr>
          <w:rFonts w:eastAsia="Times New Roman"/>
          <w:i/>
          <w:iCs/>
          <w:color w:val="000000"/>
          <w:sz w:val="20"/>
          <w:szCs w:val="20"/>
        </w:rPr>
        <w:t>Net Income Attributable to World Fuel and Diluted Earnings per Common Share</w:t>
      </w:r>
      <w:r>
        <w:rPr>
          <w:rFonts w:eastAsia="Times New Roman"/>
          <w:color w:val="000000"/>
          <w:sz w:val="20"/>
          <w:szCs w:val="20"/>
        </w:rPr>
        <w:t>. For the third quarter of 2020, we had net income attributable to World Fuel of $82.0 million and diluted income per common share of $1.29 as compared to net income attributable to World Fuel of $48.2 million and diluted earnings per common share of $0.73</w:t>
      </w:r>
      <w:r>
        <w:rPr>
          <w:rFonts w:eastAsia="Times New Roman"/>
          <w:color w:val="000000"/>
          <w:sz w:val="20"/>
          <w:szCs w:val="20"/>
        </w:rPr>
        <w:t xml:space="preserve"> for the third quarter of 2019.</w:t>
      </w:r>
    </w:p>
    <w:p w14:paraId="108686D0" w14:textId="77777777" w:rsidR="00000000" w:rsidRDefault="000A3118">
      <w:pPr>
        <w:jc w:val="center"/>
        <w:divId w:val="1794051873"/>
        <w:rPr>
          <w:rFonts w:eastAsia="Times New Roman"/>
        </w:rPr>
      </w:pPr>
      <w:r>
        <w:rPr>
          <w:rFonts w:eastAsia="Times New Roman"/>
          <w:color w:val="000000"/>
          <w:sz w:val="20"/>
          <w:szCs w:val="20"/>
        </w:rPr>
        <w:t>32</w:t>
      </w:r>
    </w:p>
    <w:p w14:paraId="13EE9369" w14:textId="77777777" w:rsidR="00000000" w:rsidRDefault="000A3118">
      <w:pPr>
        <w:rPr>
          <w:rFonts w:eastAsia="Times New Roman"/>
        </w:rPr>
      </w:pPr>
      <w:r>
        <w:rPr>
          <w:rFonts w:eastAsia="Times New Roman"/>
        </w:rPr>
        <w:pict w14:anchorId="4D232E93">
          <v:rect id="_x0000_i1060" style="width:0;height:1.5pt" o:hralign="center" o:hrstd="t" o:hr="t" fillcolor="#a0a0a0" stroked="f"/>
        </w:pict>
      </w:r>
    </w:p>
    <w:p w14:paraId="4299DF50" w14:textId="77777777" w:rsidR="00000000" w:rsidRDefault="000A3118">
      <w:pPr>
        <w:divId w:val="420565455"/>
        <w:rPr>
          <w:rFonts w:eastAsia="Times New Roman"/>
        </w:rPr>
      </w:pPr>
    </w:p>
    <w:p w14:paraId="2418D46F" w14:textId="77777777" w:rsidR="00000000" w:rsidRDefault="000A3118">
      <w:pPr>
        <w:ind w:firstLine="360"/>
        <w:divId w:val="1270354628"/>
        <w:rPr>
          <w:rFonts w:eastAsia="Times New Roman"/>
        </w:rPr>
      </w:pPr>
      <w:r>
        <w:rPr>
          <w:rFonts w:eastAsia="Times New Roman"/>
          <w:b/>
          <w:bCs/>
          <w:color w:val="000000"/>
          <w:sz w:val="20"/>
          <w:szCs w:val="20"/>
        </w:rPr>
        <w:t>Nine Months Ended September 30, 2020 Compared to Nine Months Ended September 30, 2019</w:t>
      </w:r>
    </w:p>
    <w:p w14:paraId="679A6E07" w14:textId="77777777" w:rsidR="00000000" w:rsidRDefault="000A3118">
      <w:pPr>
        <w:ind w:firstLine="360"/>
        <w:divId w:val="2039694654"/>
        <w:rPr>
          <w:rFonts w:eastAsia="Times New Roman"/>
        </w:rPr>
      </w:pPr>
      <w:r>
        <w:rPr>
          <w:rFonts w:eastAsia="Times New Roman"/>
          <w:color w:val="000000"/>
          <w:sz w:val="20"/>
          <w:szCs w:val="20"/>
        </w:rPr>
        <w:t> </w:t>
      </w:r>
    </w:p>
    <w:p w14:paraId="2A7BFC3A" w14:textId="77777777" w:rsidR="00000000" w:rsidRDefault="000A3118">
      <w:pPr>
        <w:ind w:firstLine="360"/>
        <w:jc w:val="both"/>
        <w:rPr>
          <w:rFonts w:eastAsia="Times New Roman"/>
        </w:rPr>
      </w:pPr>
      <w:r>
        <w:rPr>
          <w:rFonts w:eastAsia="Times New Roman"/>
          <w:i/>
          <w:iCs/>
          <w:color w:val="000000"/>
          <w:sz w:val="20"/>
          <w:szCs w:val="20"/>
        </w:rPr>
        <w:t>Revenue.</w:t>
      </w:r>
      <w:r>
        <w:rPr>
          <w:rFonts w:eastAsia="Times New Roman"/>
          <w:color w:val="000000"/>
          <w:sz w:val="20"/>
          <w:szCs w:val="20"/>
        </w:rPr>
        <w:t xml:space="preserve"> Our revenue for the first nine months of 2020 was $15.7 billion, a decrease of $11.8 </w:t>
      </w:r>
      <w:r>
        <w:rPr>
          <w:rFonts w:eastAsia="Times New Roman"/>
          <w:color w:val="000000"/>
          <w:sz w:val="20"/>
          <w:szCs w:val="20"/>
        </w:rPr>
        <w:t>billion, or 43%, as compared to the first nine months of 2019. Our revenue during these periods was attributable to the following segments (in millions):</w:t>
      </w:r>
    </w:p>
    <w:p w14:paraId="7188164F" w14:textId="77777777" w:rsidR="00000000" w:rsidRDefault="000A3118">
      <w:pPr>
        <w:ind w:firstLine="720"/>
        <w:divId w:val="2101218004"/>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42"/>
        <w:gridCol w:w="5154"/>
        <w:gridCol w:w="36"/>
        <w:gridCol w:w="36"/>
        <w:gridCol w:w="36"/>
        <w:gridCol w:w="36"/>
        <w:gridCol w:w="100"/>
        <w:gridCol w:w="792"/>
        <w:gridCol w:w="36"/>
        <w:gridCol w:w="36"/>
        <w:gridCol w:w="36"/>
        <w:gridCol w:w="36"/>
        <w:gridCol w:w="100"/>
        <w:gridCol w:w="792"/>
        <w:gridCol w:w="36"/>
        <w:gridCol w:w="36"/>
        <w:gridCol w:w="36"/>
        <w:gridCol w:w="36"/>
        <w:gridCol w:w="100"/>
        <w:gridCol w:w="758"/>
        <w:gridCol w:w="36"/>
      </w:tblGrid>
      <w:tr w:rsidR="00000000" w14:paraId="2FE5C06F" w14:textId="77777777">
        <w:trPr>
          <w:divId w:val="1026176049"/>
        </w:trPr>
        <w:tc>
          <w:tcPr>
            <w:tcW w:w="50" w:type="pct"/>
            <w:vAlign w:val="center"/>
            <w:hideMark/>
          </w:tcPr>
          <w:p w14:paraId="0CCCBB5B" w14:textId="77777777" w:rsidR="00000000" w:rsidRDefault="000A3118">
            <w:pPr>
              <w:ind w:firstLine="720"/>
              <w:rPr>
                <w:rFonts w:eastAsia="Times New Roman"/>
              </w:rPr>
            </w:pPr>
          </w:p>
        </w:tc>
        <w:tc>
          <w:tcPr>
            <w:tcW w:w="3124" w:type="pct"/>
            <w:vAlign w:val="center"/>
            <w:hideMark/>
          </w:tcPr>
          <w:p w14:paraId="253C3FD7" w14:textId="77777777" w:rsidR="00000000" w:rsidRDefault="000A3118">
            <w:pPr>
              <w:rPr>
                <w:rFonts w:eastAsia="Times New Roman"/>
                <w:sz w:val="20"/>
                <w:szCs w:val="20"/>
              </w:rPr>
            </w:pPr>
          </w:p>
        </w:tc>
        <w:tc>
          <w:tcPr>
            <w:tcW w:w="5" w:type="pct"/>
            <w:vAlign w:val="center"/>
            <w:hideMark/>
          </w:tcPr>
          <w:p w14:paraId="1369F446" w14:textId="77777777" w:rsidR="00000000" w:rsidRDefault="000A3118">
            <w:pPr>
              <w:rPr>
                <w:rFonts w:eastAsia="Times New Roman"/>
                <w:sz w:val="20"/>
                <w:szCs w:val="20"/>
              </w:rPr>
            </w:pPr>
          </w:p>
        </w:tc>
        <w:tc>
          <w:tcPr>
            <w:tcW w:w="5" w:type="pct"/>
            <w:vAlign w:val="center"/>
            <w:hideMark/>
          </w:tcPr>
          <w:p w14:paraId="62CCDABF" w14:textId="77777777" w:rsidR="00000000" w:rsidRDefault="000A3118">
            <w:pPr>
              <w:rPr>
                <w:rFonts w:eastAsia="Times New Roman"/>
                <w:sz w:val="20"/>
                <w:szCs w:val="20"/>
              </w:rPr>
            </w:pPr>
          </w:p>
        </w:tc>
        <w:tc>
          <w:tcPr>
            <w:tcW w:w="26" w:type="pct"/>
            <w:vAlign w:val="center"/>
            <w:hideMark/>
          </w:tcPr>
          <w:p w14:paraId="67F0CFDD" w14:textId="77777777" w:rsidR="00000000" w:rsidRDefault="000A3118">
            <w:pPr>
              <w:rPr>
                <w:rFonts w:eastAsia="Times New Roman"/>
                <w:sz w:val="20"/>
                <w:szCs w:val="20"/>
              </w:rPr>
            </w:pPr>
          </w:p>
        </w:tc>
        <w:tc>
          <w:tcPr>
            <w:tcW w:w="5" w:type="pct"/>
            <w:vAlign w:val="center"/>
            <w:hideMark/>
          </w:tcPr>
          <w:p w14:paraId="1C634281" w14:textId="77777777" w:rsidR="00000000" w:rsidRDefault="000A3118">
            <w:pPr>
              <w:rPr>
                <w:rFonts w:eastAsia="Times New Roman"/>
                <w:sz w:val="20"/>
                <w:szCs w:val="20"/>
              </w:rPr>
            </w:pPr>
          </w:p>
        </w:tc>
        <w:tc>
          <w:tcPr>
            <w:tcW w:w="50" w:type="pct"/>
            <w:vAlign w:val="center"/>
            <w:hideMark/>
          </w:tcPr>
          <w:p w14:paraId="26FB13F3" w14:textId="77777777" w:rsidR="00000000" w:rsidRDefault="000A3118">
            <w:pPr>
              <w:rPr>
                <w:rFonts w:eastAsia="Times New Roman"/>
                <w:sz w:val="20"/>
                <w:szCs w:val="20"/>
              </w:rPr>
            </w:pPr>
          </w:p>
        </w:tc>
        <w:tc>
          <w:tcPr>
            <w:tcW w:w="522" w:type="pct"/>
            <w:vAlign w:val="center"/>
            <w:hideMark/>
          </w:tcPr>
          <w:p w14:paraId="093916E4" w14:textId="77777777" w:rsidR="00000000" w:rsidRDefault="000A3118">
            <w:pPr>
              <w:rPr>
                <w:rFonts w:eastAsia="Times New Roman"/>
                <w:sz w:val="20"/>
                <w:szCs w:val="20"/>
              </w:rPr>
            </w:pPr>
          </w:p>
        </w:tc>
        <w:tc>
          <w:tcPr>
            <w:tcW w:w="5" w:type="pct"/>
            <w:vAlign w:val="center"/>
            <w:hideMark/>
          </w:tcPr>
          <w:p w14:paraId="6E2FD27C" w14:textId="77777777" w:rsidR="00000000" w:rsidRDefault="000A3118">
            <w:pPr>
              <w:rPr>
                <w:rFonts w:eastAsia="Times New Roman"/>
                <w:sz w:val="20"/>
                <w:szCs w:val="20"/>
              </w:rPr>
            </w:pPr>
          </w:p>
        </w:tc>
        <w:tc>
          <w:tcPr>
            <w:tcW w:w="5" w:type="pct"/>
            <w:vAlign w:val="center"/>
            <w:hideMark/>
          </w:tcPr>
          <w:p w14:paraId="3BAADEF3" w14:textId="77777777" w:rsidR="00000000" w:rsidRDefault="000A3118">
            <w:pPr>
              <w:rPr>
                <w:rFonts w:eastAsia="Times New Roman"/>
                <w:sz w:val="20"/>
                <w:szCs w:val="20"/>
              </w:rPr>
            </w:pPr>
          </w:p>
        </w:tc>
        <w:tc>
          <w:tcPr>
            <w:tcW w:w="26" w:type="pct"/>
            <w:vAlign w:val="center"/>
            <w:hideMark/>
          </w:tcPr>
          <w:p w14:paraId="2537EC84" w14:textId="77777777" w:rsidR="00000000" w:rsidRDefault="000A3118">
            <w:pPr>
              <w:rPr>
                <w:rFonts w:eastAsia="Times New Roman"/>
                <w:sz w:val="20"/>
                <w:szCs w:val="20"/>
              </w:rPr>
            </w:pPr>
          </w:p>
        </w:tc>
        <w:tc>
          <w:tcPr>
            <w:tcW w:w="5" w:type="pct"/>
            <w:vAlign w:val="center"/>
            <w:hideMark/>
          </w:tcPr>
          <w:p w14:paraId="6D794E6E" w14:textId="77777777" w:rsidR="00000000" w:rsidRDefault="000A3118">
            <w:pPr>
              <w:rPr>
                <w:rFonts w:eastAsia="Times New Roman"/>
                <w:sz w:val="20"/>
                <w:szCs w:val="20"/>
              </w:rPr>
            </w:pPr>
          </w:p>
        </w:tc>
        <w:tc>
          <w:tcPr>
            <w:tcW w:w="50" w:type="pct"/>
            <w:vAlign w:val="center"/>
            <w:hideMark/>
          </w:tcPr>
          <w:p w14:paraId="61C2C0EE" w14:textId="77777777" w:rsidR="00000000" w:rsidRDefault="000A3118">
            <w:pPr>
              <w:rPr>
                <w:rFonts w:eastAsia="Times New Roman"/>
                <w:sz w:val="20"/>
                <w:szCs w:val="20"/>
              </w:rPr>
            </w:pPr>
          </w:p>
        </w:tc>
        <w:tc>
          <w:tcPr>
            <w:tcW w:w="522" w:type="pct"/>
            <w:vAlign w:val="center"/>
            <w:hideMark/>
          </w:tcPr>
          <w:p w14:paraId="077044C1" w14:textId="77777777" w:rsidR="00000000" w:rsidRDefault="000A3118">
            <w:pPr>
              <w:rPr>
                <w:rFonts w:eastAsia="Times New Roman"/>
                <w:sz w:val="20"/>
                <w:szCs w:val="20"/>
              </w:rPr>
            </w:pPr>
          </w:p>
        </w:tc>
        <w:tc>
          <w:tcPr>
            <w:tcW w:w="5" w:type="pct"/>
            <w:vAlign w:val="center"/>
            <w:hideMark/>
          </w:tcPr>
          <w:p w14:paraId="790A4EDE" w14:textId="77777777" w:rsidR="00000000" w:rsidRDefault="000A3118">
            <w:pPr>
              <w:rPr>
                <w:rFonts w:eastAsia="Times New Roman"/>
                <w:sz w:val="20"/>
                <w:szCs w:val="20"/>
              </w:rPr>
            </w:pPr>
          </w:p>
        </w:tc>
        <w:tc>
          <w:tcPr>
            <w:tcW w:w="5" w:type="pct"/>
            <w:vAlign w:val="center"/>
            <w:hideMark/>
          </w:tcPr>
          <w:p w14:paraId="1B8081AD" w14:textId="77777777" w:rsidR="00000000" w:rsidRDefault="000A3118">
            <w:pPr>
              <w:rPr>
                <w:rFonts w:eastAsia="Times New Roman"/>
                <w:sz w:val="20"/>
                <w:szCs w:val="20"/>
              </w:rPr>
            </w:pPr>
          </w:p>
        </w:tc>
        <w:tc>
          <w:tcPr>
            <w:tcW w:w="26" w:type="pct"/>
            <w:vAlign w:val="center"/>
            <w:hideMark/>
          </w:tcPr>
          <w:p w14:paraId="2BFB9A66" w14:textId="77777777" w:rsidR="00000000" w:rsidRDefault="000A3118">
            <w:pPr>
              <w:rPr>
                <w:rFonts w:eastAsia="Times New Roman"/>
                <w:sz w:val="20"/>
                <w:szCs w:val="20"/>
              </w:rPr>
            </w:pPr>
          </w:p>
        </w:tc>
        <w:tc>
          <w:tcPr>
            <w:tcW w:w="5" w:type="pct"/>
            <w:vAlign w:val="center"/>
            <w:hideMark/>
          </w:tcPr>
          <w:p w14:paraId="6E5EF8A5" w14:textId="77777777" w:rsidR="00000000" w:rsidRDefault="000A3118">
            <w:pPr>
              <w:rPr>
                <w:rFonts w:eastAsia="Times New Roman"/>
                <w:sz w:val="20"/>
                <w:szCs w:val="20"/>
              </w:rPr>
            </w:pPr>
          </w:p>
        </w:tc>
        <w:tc>
          <w:tcPr>
            <w:tcW w:w="50" w:type="pct"/>
            <w:vAlign w:val="center"/>
            <w:hideMark/>
          </w:tcPr>
          <w:p w14:paraId="4C75B79E" w14:textId="77777777" w:rsidR="00000000" w:rsidRDefault="000A3118">
            <w:pPr>
              <w:rPr>
                <w:rFonts w:eastAsia="Times New Roman"/>
                <w:sz w:val="20"/>
                <w:szCs w:val="20"/>
              </w:rPr>
            </w:pPr>
          </w:p>
        </w:tc>
        <w:tc>
          <w:tcPr>
            <w:tcW w:w="500" w:type="pct"/>
            <w:vAlign w:val="center"/>
            <w:hideMark/>
          </w:tcPr>
          <w:p w14:paraId="5B1214F8" w14:textId="77777777" w:rsidR="00000000" w:rsidRDefault="000A3118">
            <w:pPr>
              <w:rPr>
                <w:rFonts w:eastAsia="Times New Roman"/>
                <w:sz w:val="20"/>
                <w:szCs w:val="20"/>
              </w:rPr>
            </w:pPr>
          </w:p>
        </w:tc>
        <w:tc>
          <w:tcPr>
            <w:tcW w:w="5" w:type="pct"/>
            <w:vAlign w:val="center"/>
            <w:hideMark/>
          </w:tcPr>
          <w:p w14:paraId="5FBB4F80" w14:textId="77777777" w:rsidR="00000000" w:rsidRDefault="000A3118">
            <w:pPr>
              <w:rPr>
                <w:rFonts w:eastAsia="Times New Roman"/>
                <w:sz w:val="20"/>
                <w:szCs w:val="20"/>
              </w:rPr>
            </w:pPr>
          </w:p>
        </w:tc>
      </w:tr>
      <w:tr w:rsidR="00000000" w14:paraId="5B2F0E3E" w14:textId="77777777">
        <w:trPr>
          <w:divId w:val="1026176049"/>
        </w:trPr>
        <w:tc>
          <w:tcPr>
            <w:tcW w:w="0" w:type="auto"/>
            <w:gridSpan w:val="3"/>
            <w:tcMar>
              <w:top w:w="0" w:type="dxa"/>
              <w:left w:w="20" w:type="dxa"/>
              <w:bottom w:w="0" w:type="dxa"/>
              <w:right w:w="20" w:type="dxa"/>
            </w:tcMar>
            <w:vAlign w:val="center"/>
            <w:hideMark/>
          </w:tcPr>
          <w:p w14:paraId="1C14417C"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5020FFBF"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1D002A17" w14:textId="77777777" w:rsidR="00000000" w:rsidRDefault="000A3118">
            <w:pPr>
              <w:jc w:val="center"/>
              <w:rPr>
                <w:rFonts w:eastAsia="Times New Roman"/>
              </w:rPr>
            </w:pPr>
            <w:r>
              <w:rPr>
                <w:rFonts w:eastAsia="Times New Roman"/>
                <w:b/>
                <w:bCs/>
                <w:color w:val="000000"/>
                <w:sz w:val="16"/>
                <w:szCs w:val="16"/>
              </w:rPr>
              <w:t>For the Nine Months Ended</w:t>
            </w:r>
          </w:p>
        </w:tc>
        <w:tc>
          <w:tcPr>
            <w:tcW w:w="0" w:type="auto"/>
            <w:gridSpan w:val="3"/>
            <w:tcMar>
              <w:top w:w="0" w:type="dxa"/>
              <w:left w:w="20" w:type="dxa"/>
              <w:bottom w:w="0" w:type="dxa"/>
              <w:right w:w="20" w:type="dxa"/>
            </w:tcMar>
            <w:vAlign w:val="center"/>
            <w:hideMark/>
          </w:tcPr>
          <w:p w14:paraId="2A5B76D2"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11EA0E30" w14:textId="77777777" w:rsidR="00000000" w:rsidRDefault="000A3118">
            <w:pPr>
              <w:rPr>
                <w:rFonts w:eastAsia="Times New Roman"/>
                <w:sz w:val="20"/>
                <w:szCs w:val="20"/>
              </w:rPr>
            </w:pPr>
          </w:p>
        </w:tc>
      </w:tr>
      <w:tr w:rsidR="00000000" w14:paraId="1DC630D2" w14:textId="77777777">
        <w:trPr>
          <w:divId w:val="1026176049"/>
        </w:trPr>
        <w:tc>
          <w:tcPr>
            <w:tcW w:w="0" w:type="auto"/>
            <w:gridSpan w:val="3"/>
            <w:tcMar>
              <w:top w:w="0" w:type="dxa"/>
              <w:left w:w="20" w:type="dxa"/>
              <w:bottom w:w="0" w:type="dxa"/>
              <w:right w:w="20" w:type="dxa"/>
            </w:tcMar>
            <w:vAlign w:val="center"/>
            <w:hideMark/>
          </w:tcPr>
          <w:p w14:paraId="37425350"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06830865"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6BE5C67B"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68FC5AF0"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34398593" w14:textId="77777777" w:rsidR="00000000" w:rsidRDefault="000A3118">
            <w:pPr>
              <w:rPr>
                <w:rFonts w:eastAsia="Times New Roman"/>
                <w:sz w:val="20"/>
                <w:szCs w:val="20"/>
              </w:rPr>
            </w:pPr>
          </w:p>
        </w:tc>
      </w:tr>
      <w:tr w:rsidR="00000000" w14:paraId="0CC35F14" w14:textId="77777777">
        <w:trPr>
          <w:divId w:val="1026176049"/>
        </w:trPr>
        <w:tc>
          <w:tcPr>
            <w:tcW w:w="0" w:type="auto"/>
            <w:gridSpan w:val="3"/>
            <w:tcMar>
              <w:top w:w="0" w:type="dxa"/>
              <w:left w:w="20" w:type="dxa"/>
              <w:bottom w:w="0" w:type="dxa"/>
              <w:right w:w="20" w:type="dxa"/>
            </w:tcMar>
            <w:vAlign w:val="center"/>
            <w:hideMark/>
          </w:tcPr>
          <w:p w14:paraId="574BA8A7"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91E9A2"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4BCB2F5"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62A494D"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4B092D"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7CAC0D5D"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6F89991A" w14:textId="77777777" w:rsidR="00000000" w:rsidRDefault="000A3118">
            <w:pPr>
              <w:jc w:val="center"/>
              <w:rPr>
                <w:rFonts w:eastAsia="Times New Roman"/>
              </w:rPr>
            </w:pPr>
            <w:r>
              <w:rPr>
                <w:rFonts w:eastAsia="Times New Roman"/>
                <w:b/>
                <w:bCs/>
                <w:color w:val="000000"/>
                <w:sz w:val="16"/>
                <w:szCs w:val="16"/>
              </w:rPr>
              <w:t>$ Change</w:t>
            </w:r>
          </w:p>
        </w:tc>
      </w:tr>
      <w:tr w:rsidR="00000000" w14:paraId="7458206F" w14:textId="77777777">
        <w:trPr>
          <w:divId w:val="102617604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2333A5" w14:textId="77777777" w:rsidR="00000000" w:rsidRDefault="000A3118">
            <w:pPr>
              <w:rPr>
                <w:rFonts w:eastAsia="Times New Roman"/>
              </w:rPr>
            </w:pPr>
            <w:r>
              <w:rPr>
                <w:rFonts w:eastAsia="Times New Roman"/>
                <w:color w:val="000000"/>
                <w:sz w:val="16"/>
                <w:szCs w:val="16"/>
              </w:rPr>
              <w:t>Aviation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810F50"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35701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1AF2A2" w14:textId="77777777" w:rsidR="00000000" w:rsidRDefault="000A3118">
            <w:pPr>
              <w:jc w:val="right"/>
              <w:rPr>
                <w:rFonts w:eastAsia="Times New Roman"/>
              </w:rPr>
            </w:pPr>
            <w:r>
              <w:rPr>
                <w:rFonts w:eastAsia="Times New Roman"/>
                <w:color w:val="000000"/>
                <w:sz w:val="16"/>
                <w:szCs w:val="16"/>
              </w:rPr>
              <w:t>6,381.0 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DB127C"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60EC87"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5EA37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B24E25" w14:textId="77777777" w:rsidR="00000000" w:rsidRDefault="000A3118">
            <w:pPr>
              <w:jc w:val="right"/>
              <w:rPr>
                <w:rFonts w:eastAsia="Times New Roman"/>
              </w:rPr>
            </w:pPr>
            <w:r>
              <w:rPr>
                <w:rFonts w:eastAsia="Times New Roman"/>
                <w:color w:val="000000"/>
                <w:sz w:val="16"/>
                <w:szCs w:val="16"/>
              </w:rPr>
              <w:t>13,780.8 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6CBE94"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D80523"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49F39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12ED01" w14:textId="77777777" w:rsidR="00000000" w:rsidRDefault="000A3118">
            <w:pPr>
              <w:jc w:val="right"/>
              <w:rPr>
                <w:rFonts w:eastAsia="Times New Roman"/>
              </w:rPr>
            </w:pPr>
            <w:r>
              <w:rPr>
                <w:rFonts w:eastAsia="Times New Roman"/>
                <w:color w:val="000000"/>
                <w:sz w:val="16"/>
                <w:szCs w:val="16"/>
              </w:rPr>
              <w:t>(7,399.8)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1B1096" w14:textId="77777777" w:rsidR="00000000" w:rsidRDefault="000A3118">
            <w:pPr>
              <w:jc w:val="right"/>
              <w:rPr>
                <w:rFonts w:eastAsia="Times New Roman"/>
              </w:rPr>
            </w:pPr>
          </w:p>
        </w:tc>
      </w:tr>
      <w:tr w:rsidR="00000000" w14:paraId="7CD20CE2" w14:textId="77777777">
        <w:trPr>
          <w:divId w:val="1026176049"/>
        </w:trPr>
        <w:tc>
          <w:tcPr>
            <w:tcW w:w="0" w:type="auto"/>
            <w:gridSpan w:val="3"/>
            <w:shd w:val="clear" w:color="auto" w:fill="FFFFFF"/>
            <w:tcMar>
              <w:top w:w="30" w:type="dxa"/>
              <w:left w:w="20" w:type="dxa"/>
              <w:bottom w:w="30" w:type="dxa"/>
              <w:right w:w="20" w:type="dxa"/>
            </w:tcMar>
            <w:vAlign w:val="bottom"/>
            <w:hideMark/>
          </w:tcPr>
          <w:p w14:paraId="73E12946" w14:textId="77777777" w:rsidR="00000000" w:rsidRDefault="000A3118">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14:paraId="1FF95273"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DCCE89" w14:textId="77777777" w:rsidR="00000000" w:rsidRDefault="000A3118">
            <w:pPr>
              <w:jc w:val="right"/>
              <w:rPr>
                <w:rFonts w:eastAsia="Times New Roman"/>
              </w:rPr>
            </w:pPr>
            <w:r>
              <w:rPr>
                <w:rFonts w:eastAsia="Times New Roman"/>
                <w:color w:val="000000"/>
                <w:sz w:val="16"/>
                <w:szCs w:val="16"/>
              </w:rPr>
              <w:t>4,948.8 </w:t>
            </w:r>
          </w:p>
        </w:tc>
        <w:tc>
          <w:tcPr>
            <w:tcW w:w="0" w:type="auto"/>
            <w:shd w:val="clear" w:color="auto" w:fill="FFFFFF"/>
            <w:tcMar>
              <w:top w:w="30" w:type="dxa"/>
              <w:left w:w="0" w:type="dxa"/>
              <w:bottom w:w="30" w:type="dxa"/>
              <w:right w:w="20" w:type="dxa"/>
            </w:tcMar>
            <w:vAlign w:val="bottom"/>
            <w:hideMark/>
          </w:tcPr>
          <w:p w14:paraId="43EC1F8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376D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739B74" w14:textId="77777777" w:rsidR="00000000" w:rsidRDefault="000A3118">
            <w:pPr>
              <w:jc w:val="right"/>
              <w:rPr>
                <w:rFonts w:eastAsia="Times New Roman"/>
              </w:rPr>
            </w:pPr>
            <w:r>
              <w:rPr>
                <w:rFonts w:eastAsia="Times New Roman"/>
                <w:color w:val="000000"/>
                <w:sz w:val="16"/>
                <w:szCs w:val="16"/>
              </w:rPr>
              <w:t>7,712.4 </w:t>
            </w:r>
          </w:p>
        </w:tc>
        <w:tc>
          <w:tcPr>
            <w:tcW w:w="0" w:type="auto"/>
            <w:shd w:val="clear" w:color="auto" w:fill="FFFFFF"/>
            <w:tcMar>
              <w:top w:w="30" w:type="dxa"/>
              <w:left w:w="0" w:type="dxa"/>
              <w:bottom w:w="30" w:type="dxa"/>
              <w:right w:w="20" w:type="dxa"/>
            </w:tcMar>
            <w:vAlign w:val="bottom"/>
            <w:hideMark/>
          </w:tcPr>
          <w:p w14:paraId="381FA08F"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5F6B9C"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B01B75" w14:textId="77777777" w:rsidR="00000000" w:rsidRDefault="000A3118">
            <w:pPr>
              <w:jc w:val="right"/>
              <w:rPr>
                <w:rFonts w:eastAsia="Times New Roman"/>
              </w:rPr>
            </w:pPr>
            <w:r>
              <w:rPr>
                <w:rFonts w:eastAsia="Times New Roman"/>
                <w:color w:val="000000"/>
                <w:sz w:val="16"/>
                <w:szCs w:val="16"/>
              </w:rPr>
              <w:t>(2,763.6)</w:t>
            </w:r>
          </w:p>
        </w:tc>
        <w:tc>
          <w:tcPr>
            <w:tcW w:w="0" w:type="auto"/>
            <w:shd w:val="clear" w:color="auto" w:fill="FFFFFF"/>
            <w:tcMar>
              <w:top w:w="30" w:type="dxa"/>
              <w:left w:w="0" w:type="dxa"/>
              <w:bottom w:w="30" w:type="dxa"/>
              <w:right w:w="20" w:type="dxa"/>
            </w:tcMar>
            <w:vAlign w:val="bottom"/>
            <w:hideMark/>
          </w:tcPr>
          <w:p w14:paraId="1A1A44E7" w14:textId="77777777" w:rsidR="00000000" w:rsidRDefault="000A3118">
            <w:pPr>
              <w:jc w:val="right"/>
              <w:rPr>
                <w:rFonts w:eastAsia="Times New Roman"/>
              </w:rPr>
            </w:pPr>
          </w:p>
        </w:tc>
      </w:tr>
      <w:tr w:rsidR="00000000" w14:paraId="22838079" w14:textId="77777777">
        <w:trPr>
          <w:divId w:val="1026176049"/>
        </w:trPr>
        <w:tc>
          <w:tcPr>
            <w:tcW w:w="0" w:type="auto"/>
            <w:gridSpan w:val="3"/>
            <w:shd w:val="clear" w:color="auto" w:fill="CCEEFF"/>
            <w:tcMar>
              <w:top w:w="30" w:type="dxa"/>
              <w:left w:w="20" w:type="dxa"/>
              <w:bottom w:w="30" w:type="dxa"/>
              <w:right w:w="20" w:type="dxa"/>
            </w:tcMar>
            <w:vAlign w:val="bottom"/>
            <w:hideMark/>
          </w:tcPr>
          <w:p w14:paraId="2145386F" w14:textId="77777777" w:rsidR="00000000" w:rsidRDefault="000A3118">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14:paraId="7792B763"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925297" w14:textId="77777777" w:rsidR="00000000" w:rsidRDefault="000A3118">
            <w:pPr>
              <w:jc w:val="right"/>
              <w:rPr>
                <w:rFonts w:eastAsia="Times New Roman"/>
              </w:rPr>
            </w:pPr>
            <w:r>
              <w:rPr>
                <w:rFonts w:eastAsia="Times New Roman"/>
                <w:color w:val="000000"/>
                <w:sz w:val="16"/>
                <w:szCs w:val="16"/>
              </w:rPr>
              <w:t>4,326.4 </w:t>
            </w:r>
          </w:p>
        </w:tc>
        <w:tc>
          <w:tcPr>
            <w:tcW w:w="0" w:type="auto"/>
            <w:shd w:val="clear" w:color="auto" w:fill="CCEEFF"/>
            <w:tcMar>
              <w:top w:w="30" w:type="dxa"/>
              <w:left w:w="0" w:type="dxa"/>
              <w:bottom w:w="30" w:type="dxa"/>
              <w:right w:w="20" w:type="dxa"/>
            </w:tcMar>
            <w:vAlign w:val="bottom"/>
            <w:hideMark/>
          </w:tcPr>
          <w:p w14:paraId="52774DFC"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7A24D"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1A3113" w14:textId="77777777" w:rsidR="00000000" w:rsidRDefault="000A3118">
            <w:pPr>
              <w:jc w:val="right"/>
              <w:rPr>
                <w:rFonts w:eastAsia="Times New Roman"/>
              </w:rPr>
            </w:pPr>
            <w:r>
              <w:rPr>
                <w:rFonts w:eastAsia="Times New Roman"/>
                <w:color w:val="000000"/>
                <w:sz w:val="16"/>
                <w:szCs w:val="16"/>
              </w:rPr>
              <w:t>5,967.7 </w:t>
            </w:r>
          </w:p>
        </w:tc>
        <w:tc>
          <w:tcPr>
            <w:tcW w:w="0" w:type="auto"/>
            <w:shd w:val="clear" w:color="auto" w:fill="CCEEFF"/>
            <w:tcMar>
              <w:top w:w="30" w:type="dxa"/>
              <w:left w:w="0" w:type="dxa"/>
              <w:bottom w:w="30" w:type="dxa"/>
              <w:right w:w="20" w:type="dxa"/>
            </w:tcMar>
            <w:vAlign w:val="bottom"/>
            <w:hideMark/>
          </w:tcPr>
          <w:p w14:paraId="2FD97C39"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F53C6"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DAE31" w14:textId="77777777" w:rsidR="00000000" w:rsidRDefault="000A3118">
            <w:pPr>
              <w:jc w:val="right"/>
              <w:rPr>
                <w:rFonts w:eastAsia="Times New Roman"/>
              </w:rPr>
            </w:pPr>
            <w:r>
              <w:rPr>
                <w:rFonts w:eastAsia="Times New Roman"/>
                <w:color w:val="000000"/>
                <w:sz w:val="16"/>
                <w:szCs w:val="16"/>
              </w:rPr>
              <w:t>(1,641.3)</w:t>
            </w:r>
          </w:p>
        </w:tc>
        <w:tc>
          <w:tcPr>
            <w:tcW w:w="0" w:type="auto"/>
            <w:shd w:val="clear" w:color="auto" w:fill="CCEEFF"/>
            <w:tcMar>
              <w:top w:w="30" w:type="dxa"/>
              <w:left w:w="0" w:type="dxa"/>
              <w:bottom w:w="30" w:type="dxa"/>
              <w:right w:w="20" w:type="dxa"/>
            </w:tcMar>
            <w:vAlign w:val="bottom"/>
            <w:hideMark/>
          </w:tcPr>
          <w:p w14:paraId="47D070C8" w14:textId="77777777" w:rsidR="00000000" w:rsidRDefault="000A3118">
            <w:pPr>
              <w:jc w:val="right"/>
              <w:rPr>
                <w:rFonts w:eastAsia="Times New Roman"/>
              </w:rPr>
            </w:pPr>
          </w:p>
        </w:tc>
      </w:tr>
      <w:tr w:rsidR="00000000" w14:paraId="465004C6" w14:textId="77777777">
        <w:trPr>
          <w:divId w:val="1026176049"/>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9E4774D"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CC19A8B"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528A9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9C3A6A" w14:textId="77777777" w:rsidR="00000000" w:rsidRDefault="000A3118">
            <w:pPr>
              <w:jc w:val="right"/>
              <w:rPr>
                <w:rFonts w:eastAsia="Times New Roman"/>
              </w:rPr>
            </w:pPr>
            <w:r>
              <w:rPr>
                <w:rFonts w:eastAsia="Times New Roman"/>
                <w:color w:val="000000"/>
                <w:sz w:val="16"/>
                <w:szCs w:val="16"/>
              </w:rPr>
              <w:t>15,656.2 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79FA1B"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97CB28D"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DAB5C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7C2BA5" w14:textId="77777777" w:rsidR="00000000" w:rsidRDefault="000A3118">
            <w:pPr>
              <w:jc w:val="right"/>
              <w:rPr>
                <w:rFonts w:eastAsia="Times New Roman"/>
              </w:rPr>
            </w:pPr>
            <w:r>
              <w:rPr>
                <w:rFonts w:eastAsia="Times New Roman"/>
                <w:color w:val="000000"/>
                <w:sz w:val="16"/>
                <w:szCs w:val="16"/>
              </w:rPr>
              <w:t>27,460.9 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A33422"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0213B201"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A085F0"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3F1D28" w14:textId="77777777" w:rsidR="00000000" w:rsidRDefault="000A3118">
            <w:pPr>
              <w:jc w:val="right"/>
              <w:rPr>
                <w:rFonts w:eastAsia="Times New Roman"/>
              </w:rPr>
            </w:pPr>
            <w:r>
              <w:rPr>
                <w:rFonts w:eastAsia="Times New Roman"/>
                <w:color w:val="000000"/>
                <w:sz w:val="16"/>
                <w:szCs w:val="16"/>
              </w:rPr>
              <w:t>(11,804.7)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4E779F" w14:textId="77777777" w:rsidR="00000000" w:rsidRDefault="000A3118">
            <w:pPr>
              <w:jc w:val="right"/>
              <w:rPr>
                <w:rFonts w:eastAsia="Times New Roman"/>
              </w:rPr>
            </w:pPr>
          </w:p>
        </w:tc>
      </w:tr>
    </w:tbl>
    <w:p w14:paraId="06D3FD12" w14:textId="77777777" w:rsidR="00000000" w:rsidRDefault="000A3118">
      <w:pPr>
        <w:ind w:firstLine="1080"/>
        <w:jc w:val="both"/>
        <w:rPr>
          <w:rFonts w:eastAsia="Times New Roman"/>
        </w:rPr>
      </w:pPr>
      <w:r>
        <w:rPr>
          <w:rFonts w:eastAsia="Times New Roman"/>
          <w:color w:val="000000"/>
          <w:sz w:val="20"/>
          <w:szCs w:val="20"/>
        </w:rPr>
        <w:t> </w:t>
      </w:r>
    </w:p>
    <w:p w14:paraId="0DA0468D" w14:textId="77777777" w:rsidR="00000000" w:rsidRDefault="000A3118">
      <w:pPr>
        <w:ind w:firstLine="360"/>
        <w:jc w:val="both"/>
        <w:rPr>
          <w:rFonts w:eastAsia="Times New Roman"/>
        </w:rPr>
      </w:pPr>
      <w:r>
        <w:rPr>
          <w:rFonts w:eastAsia="Times New Roman"/>
          <w:color w:val="000000"/>
          <w:sz w:val="20"/>
          <w:szCs w:val="20"/>
        </w:rPr>
        <w:t>Revenues in our aviation segment were $6.4 billion for the first nine months of 2020, a decrease of $7.4 billion, or 54%, as compared to</w:t>
      </w:r>
      <w:r>
        <w:rPr>
          <w:rFonts w:eastAsia="Times New Roman"/>
          <w:color w:val="000000"/>
          <w:sz w:val="20"/>
          <w:szCs w:val="20"/>
        </w:rPr>
        <w:t xml:space="preserve"> the first nine months of 2019. Lower average jet fuel prices, combined with a significant volume decline associated with the COVID-19 pandemic, drove the decrease in aviation revenue in the first nine months of 2020. Specifically, the average price per ga</w:t>
      </w:r>
      <w:r>
        <w:rPr>
          <w:rFonts w:eastAsia="Times New Roman"/>
          <w:color w:val="000000"/>
          <w:sz w:val="20"/>
          <w:szCs w:val="20"/>
        </w:rPr>
        <w:t>llon sold during the first nine months of 2020 was $1.50</w:t>
      </w:r>
      <w:r>
        <w:rPr>
          <w:rFonts w:eastAsia="Times New Roman"/>
          <w:color w:val="0000FF"/>
          <w:sz w:val="20"/>
          <w:szCs w:val="20"/>
          <w:u w:val="single"/>
        </w:rPr>
        <w:t>,</w:t>
      </w:r>
      <w:r>
        <w:rPr>
          <w:rFonts w:eastAsia="Times New Roman"/>
          <w:color w:val="000000"/>
          <w:sz w:val="20"/>
          <w:szCs w:val="20"/>
        </w:rPr>
        <w:t xml:space="preserve"> as compared to $2.07 for the comparable period in 2019. Total volumes for the first nine months of 2020 were 3.6 billion gallons, a decrease of 44%, as compared to the comparable prior-year period. </w:t>
      </w:r>
      <w:r>
        <w:rPr>
          <w:rFonts w:eastAsia="Times New Roman"/>
          <w:color w:val="000000"/>
          <w:sz w:val="20"/>
          <w:szCs w:val="20"/>
        </w:rPr>
        <w:t>The decline in volumes was attributable to a significant decrease in activity in our commercial aviation business due to the impact of the COVID-19 pandemic on air travel.</w:t>
      </w:r>
    </w:p>
    <w:p w14:paraId="58BF4CBD" w14:textId="77777777" w:rsidR="00000000" w:rsidRDefault="000A3118">
      <w:pPr>
        <w:ind w:firstLine="360"/>
        <w:jc w:val="both"/>
        <w:rPr>
          <w:rFonts w:eastAsia="Times New Roman"/>
        </w:rPr>
      </w:pPr>
      <w:r>
        <w:rPr>
          <w:rFonts w:eastAsia="Times New Roman"/>
          <w:color w:val="000000"/>
          <w:sz w:val="20"/>
          <w:szCs w:val="20"/>
        </w:rPr>
        <w:t> </w:t>
      </w:r>
    </w:p>
    <w:p w14:paraId="3DEFCD5F" w14:textId="77777777" w:rsidR="00000000" w:rsidRDefault="000A3118">
      <w:pPr>
        <w:ind w:firstLine="360"/>
        <w:jc w:val="both"/>
        <w:rPr>
          <w:rFonts w:eastAsia="Times New Roman"/>
        </w:rPr>
      </w:pPr>
      <w:r>
        <w:rPr>
          <w:rFonts w:eastAsia="Times New Roman"/>
          <w:color w:val="000000"/>
          <w:sz w:val="20"/>
          <w:szCs w:val="20"/>
        </w:rPr>
        <w:t xml:space="preserve">Revenues in our land segment were $4.9 billion for the first nine months of 2020, </w:t>
      </w:r>
      <w:r>
        <w:rPr>
          <w:rFonts w:eastAsia="Times New Roman"/>
          <w:color w:val="000000"/>
          <w:sz w:val="20"/>
          <w:szCs w:val="20"/>
        </w:rPr>
        <w:t>a decrease of $2.8 billion, or 36%, compared to the first nine months of 2019. The overall decrease in revenue was influenced by a lower average fuel price per gallon sold in the first nine months of 2020, where the average price per gallon or gallon equiv</w:t>
      </w:r>
      <w:r>
        <w:rPr>
          <w:rFonts w:eastAsia="Times New Roman"/>
          <w:color w:val="000000"/>
          <w:sz w:val="20"/>
          <w:szCs w:val="20"/>
        </w:rPr>
        <w:t>alent sold was $1.29 compared to $1.90 in the first nine months of 2019. Volumes in our land segment declined to 3.8 billion, a 6% decrease in the first nine months of 2020 compared to the first nine months of 2019.</w:t>
      </w:r>
    </w:p>
    <w:p w14:paraId="33A67FC4" w14:textId="77777777" w:rsidR="00000000" w:rsidRDefault="000A3118">
      <w:pPr>
        <w:ind w:firstLine="360"/>
        <w:jc w:val="both"/>
        <w:rPr>
          <w:rFonts w:eastAsia="Times New Roman"/>
        </w:rPr>
      </w:pPr>
      <w:r>
        <w:rPr>
          <w:rFonts w:eastAsia="Times New Roman"/>
          <w:color w:val="000000"/>
          <w:sz w:val="20"/>
          <w:szCs w:val="20"/>
        </w:rPr>
        <w:t> </w:t>
      </w:r>
    </w:p>
    <w:p w14:paraId="15805C45" w14:textId="77777777" w:rsidR="00000000" w:rsidRDefault="000A3118">
      <w:pPr>
        <w:ind w:firstLine="360"/>
        <w:jc w:val="both"/>
        <w:rPr>
          <w:rFonts w:eastAsia="Times New Roman"/>
        </w:rPr>
      </w:pPr>
      <w:r>
        <w:rPr>
          <w:rFonts w:eastAsia="Times New Roman"/>
          <w:color w:val="000000"/>
          <w:sz w:val="20"/>
          <w:szCs w:val="20"/>
        </w:rPr>
        <w:t>Revenues in our marine segment were $4.3 billion for the first nine months of 2020, a decrease of $1.6 billion, or 28%, as compared to the first nine months of 2019. The decrease in revenues was primarily attributable to a decrease in the average price per</w:t>
      </w:r>
      <w:r>
        <w:rPr>
          <w:rFonts w:eastAsia="Times New Roman"/>
          <w:color w:val="000000"/>
          <w:sz w:val="20"/>
          <w:szCs w:val="20"/>
        </w:rPr>
        <w:t xml:space="preserve"> metric ton of bunker fuel sold from $377.0 in the first nine months of 2019 to $326.4 in 2020. Revenues also fell due to a 16% volume decrease, from 15.8 to 13.3 million metric tons in the first nine months of 2019 compared to 2020. The volume decline res</w:t>
      </w:r>
      <w:r>
        <w:rPr>
          <w:rFonts w:eastAsia="Times New Roman"/>
          <w:color w:val="000000"/>
          <w:sz w:val="20"/>
          <w:szCs w:val="20"/>
        </w:rPr>
        <w:t>ulted from the effects of the pandemic on demand, combined with a continuing effort to exit activities that generate a low economic return, particularly in light of the elevated credit risk environment in the wake of the pandemic.</w:t>
      </w:r>
    </w:p>
    <w:p w14:paraId="78608347" w14:textId="77777777" w:rsidR="00000000" w:rsidRDefault="000A3118">
      <w:pPr>
        <w:divId w:val="1678650232"/>
        <w:rPr>
          <w:rFonts w:eastAsia="Times New Roman"/>
        </w:rPr>
      </w:pPr>
    </w:p>
    <w:p w14:paraId="29992E2F" w14:textId="77777777" w:rsidR="00000000" w:rsidRDefault="000A3118">
      <w:pPr>
        <w:ind w:firstLine="360"/>
        <w:jc w:val="both"/>
        <w:rPr>
          <w:rFonts w:eastAsia="Times New Roman"/>
        </w:rPr>
      </w:pPr>
      <w:r>
        <w:rPr>
          <w:rFonts w:eastAsia="Times New Roman"/>
          <w:i/>
          <w:iCs/>
          <w:color w:val="000000"/>
          <w:sz w:val="20"/>
          <w:szCs w:val="20"/>
        </w:rPr>
        <w:t>Gross Profit. </w:t>
      </w:r>
      <w:r>
        <w:rPr>
          <w:rFonts w:eastAsia="Times New Roman"/>
          <w:color w:val="000000"/>
          <w:sz w:val="20"/>
          <w:szCs w:val="20"/>
        </w:rPr>
        <w:t>Our gross</w:t>
      </w:r>
      <w:r>
        <w:rPr>
          <w:rFonts w:eastAsia="Times New Roman"/>
          <w:color w:val="000000"/>
          <w:sz w:val="20"/>
          <w:szCs w:val="20"/>
        </w:rPr>
        <w:t xml:space="preserve"> profit for the first nine months of 2020 was $686.6 million, a decrease of $138.7 million, or 17%, as compared to the first nine months of 2019.</w:t>
      </w:r>
    </w:p>
    <w:p w14:paraId="748D906C" w14:textId="77777777" w:rsidR="00000000" w:rsidRDefault="000A3118">
      <w:pPr>
        <w:ind w:firstLine="360"/>
        <w:jc w:val="both"/>
        <w:rPr>
          <w:rFonts w:eastAsia="Times New Roman"/>
        </w:rPr>
      </w:pPr>
    </w:p>
    <w:p w14:paraId="75EA66C8" w14:textId="77777777" w:rsidR="00000000" w:rsidRDefault="000A3118">
      <w:pPr>
        <w:ind w:firstLine="360"/>
        <w:jc w:val="both"/>
        <w:rPr>
          <w:rFonts w:eastAsia="Times New Roman"/>
        </w:rPr>
      </w:pPr>
      <w:r>
        <w:rPr>
          <w:rFonts w:eastAsia="Times New Roman"/>
          <w:color w:val="000000"/>
          <w:sz w:val="20"/>
          <w:szCs w:val="20"/>
        </w:rPr>
        <w:t>Our gross profit during these periods was attributable to the following segments (in millions): </w:t>
      </w:r>
    </w:p>
    <w:p w14:paraId="3C76080F" w14:textId="77777777" w:rsidR="00000000" w:rsidRDefault="000A3118">
      <w:pPr>
        <w:ind w:firstLine="1080"/>
        <w:jc w:val="both"/>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42"/>
        <w:gridCol w:w="5154"/>
        <w:gridCol w:w="36"/>
        <w:gridCol w:w="36"/>
        <w:gridCol w:w="36"/>
        <w:gridCol w:w="36"/>
        <w:gridCol w:w="100"/>
        <w:gridCol w:w="792"/>
        <w:gridCol w:w="36"/>
        <w:gridCol w:w="36"/>
        <w:gridCol w:w="36"/>
        <w:gridCol w:w="36"/>
        <w:gridCol w:w="100"/>
        <w:gridCol w:w="792"/>
        <w:gridCol w:w="36"/>
        <w:gridCol w:w="36"/>
        <w:gridCol w:w="36"/>
        <w:gridCol w:w="36"/>
        <w:gridCol w:w="101"/>
        <w:gridCol w:w="757"/>
        <w:gridCol w:w="36"/>
      </w:tblGrid>
      <w:tr w:rsidR="00000000" w14:paraId="6C789B65" w14:textId="77777777">
        <w:trPr>
          <w:divId w:val="1697660003"/>
        </w:trPr>
        <w:tc>
          <w:tcPr>
            <w:tcW w:w="50" w:type="pct"/>
            <w:vAlign w:val="center"/>
            <w:hideMark/>
          </w:tcPr>
          <w:p w14:paraId="171FF59A" w14:textId="77777777" w:rsidR="00000000" w:rsidRDefault="000A3118">
            <w:pPr>
              <w:ind w:firstLine="1080"/>
              <w:jc w:val="both"/>
              <w:rPr>
                <w:rFonts w:eastAsia="Times New Roman"/>
              </w:rPr>
            </w:pPr>
          </w:p>
        </w:tc>
        <w:tc>
          <w:tcPr>
            <w:tcW w:w="3124" w:type="pct"/>
            <w:vAlign w:val="center"/>
            <w:hideMark/>
          </w:tcPr>
          <w:p w14:paraId="401DD9BB" w14:textId="77777777" w:rsidR="00000000" w:rsidRDefault="000A3118">
            <w:pPr>
              <w:rPr>
                <w:rFonts w:eastAsia="Times New Roman"/>
                <w:sz w:val="20"/>
                <w:szCs w:val="20"/>
              </w:rPr>
            </w:pPr>
          </w:p>
        </w:tc>
        <w:tc>
          <w:tcPr>
            <w:tcW w:w="5" w:type="pct"/>
            <w:vAlign w:val="center"/>
            <w:hideMark/>
          </w:tcPr>
          <w:p w14:paraId="5436AB08" w14:textId="77777777" w:rsidR="00000000" w:rsidRDefault="000A3118">
            <w:pPr>
              <w:rPr>
                <w:rFonts w:eastAsia="Times New Roman"/>
                <w:sz w:val="20"/>
                <w:szCs w:val="20"/>
              </w:rPr>
            </w:pPr>
          </w:p>
        </w:tc>
        <w:tc>
          <w:tcPr>
            <w:tcW w:w="5" w:type="pct"/>
            <w:vAlign w:val="center"/>
            <w:hideMark/>
          </w:tcPr>
          <w:p w14:paraId="504C326A" w14:textId="77777777" w:rsidR="00000000" w:rsidRDefault="000A3118">
            <w:pPr>
              <w:rPr>
                <w:rFonts w:eastAsia="Times New Roman"/>
                <w:sz w:val="20"/>
                <w:szCs w:val="20"/>
              </w:rPr>
            </w:pPr>
          </w:p>
        </w:tc>
        <w:tc>
          <w:tcPr>
            <w:tcW w:w="26" w:type="pct"/>
            <w:vAlign w:val="center"/>
            <w:hideMark/>
          </w:tcPr>
          <w:p w14:paraId="1636E48D" w14:textId="77777777" w:rsidR="00000000" w:rsidRDefault="000A3118">
            <w:pPr>
              <w:rPr>
                <w:rFonts w:eastAsia="Times New Roman"/>
                <w:sz w:val="20"/>
                <w:szCs w:val="20"/>
              </w:rPr>
            </w:pPr>
          </w:p>
        </w:tc>
        <w:tc>
          <w:tcPr>
            <w:tcW w:w="5" w:type="pct"/>
            <w:vAlign w:val="center"/>
            <w:hideMark/>
          </w:tcPr>
          <w:p w14:paraId="52EAB91B" w14:textId="77777777" w:rsidR="00000000" w:rsidRDefault="000A3118">
            <w:pPr>
              <w:rPr>
                <w:rFonts w:eastAsia="Times New Roman"/>
                <w:sz w:val="20"/>
                <w:szCs w:val="20"/>
              </w:rPr>
            </w:pPr>
          </w:p>
        </w:tc>
        <w:tc>
          <w:tcPr>
            <w:tcW w:w="50" w:type="pct"/>
            <w:vAlign w:val="center"/>
            <w:hideMark/>
          </w:tcPr>
          <w:p w14:paraId="11CC3061" w14:textId="77777777" w:rsidR="00000000" w:rsidRDefault="000A3118">
            <w:pPr>
              <w:rPr>
                <w:rFonts w:eastAsia="Times New Roman"/>
                <w:sz w:val="20"/>
                <w:szCs w:val="20"/>
              </w:rPr>
            </w:pPr>
          </w:p>
        </w:tc>
        <w:tc>
          <w:tcPr>
            <w:tcW w:w="522" w:type="pct"/>
            <w:vAlign w:val="center"/>
            <w:hideMark/>
          </w:tcPr>
          <w:p w14:paraId="6168BE78" w14:textId="77777777" w:rsidR="00000000" w:rsidRDefault="000A3118">
            <w:pPr>
              <w:rPr>
                <w:rFonts w:eastAsia="Times New Roman"/>
                <w:sz w:val="20"/>
                <w:szCs w:val="20"/>
              </w:rPr>
            </w:pPr>
          </w:p>
        </w:tc>
        <w:tc>
          <w:tcPr>
            <w:tcW w:w="5" w:type="pct"/>
            <w:vAlign w:val="center"/>
            <w:hideMark/>
          </w:tcPr>
          <w:p w14:paraId="0A5FFB81" w14:textId="77777777" w:rsidR="00000000" w:rsidRDefault="000A3118">
            <w:pPr>
              <w:rPr>
                <w:rFonts w:eastAsia="Times New Roman"/>
                <w:sz w:val="20"/>
                <w:szCs w:val="20"/>
              </w:rPr>
            </w:pPr>
          </w:p>
        </w:tc>
        <w:tc>
          <w:tcPr>
            <w:tcW w:w="5" w:type="pct"/>
            <w:vAlign w:val="center"/>
            <w:hideMark/>
          </w:tcPr>
          <w:p w14:paraId="1F404BA6" w14:textId="77777777" w:rsidR="00000000" w:rsidRDefault="000A3118">
            <w:pPr>
              <w:rPr>
                <w:rFonts w:eastAsia="Times New Roman"/>
                <w:sz w:val="20"/>
                <w:szCs w:val="20"/>
              </w:rPr>
            </w:pPr>
          </w:p>
        </w:tc>
        <w:tc>
          <w:tcPr>
            <w:tcW w:w="26" w:type="pct"/>
            <w:vAlign w:val="center"/>
            <w:hideMark/>
          </w:tcPr>
          <w:p w14:paraId="00A2D33C" w14:textId="77777777" w:rsidR="00000000" w:rsidRDefault="000A3118">
            <w:pPr>
              <w:rPr>
                <w:rFonts w:eastAsia="Times New Roman"/>
                <w:sz w:val="20"/>
                <w:szCs w:val="20"/>
              </w:rPr>
            </w:pPr>
          </w:p>
        </w:tc>
        <w:tc>
          <w:tcPr>
            <w:tcW w:w="5" w:type="pct"/>
            <w:vAlign w:val="center"/>
            <w:hideMark/>
          </w:tcPr>
          <w:p w14:paraId="018E538E" w14:textId="77777777" w:rsidR="00000000" w:rsidRDefault="000A3118">
            <w:pPr>
              <w:rPr>
                <w:rFonts w:eastAsia="Times New Roman"/>
                <w:sz w:val="20"/>
                <w:szCs w:val="20"/>
              </w:rPr>
            </w:pPr>
          </w:p>
        </w:tc>
        <w:tc>
          <w:tcPr>
            <w:tcW w:w="50" w:type="pct"/>
            <w:vAlign w:val="center"/>
            <w:hideMark/>
          </w:tcPr>
          <w:p w14:paraId="4C282F40" w14:textId="77777777" w:rsidR="00000000" w:rsidRDefault="000A3118">
            <w:pPr>
              <w:rPr>
                <w:rFonts w:eastAsia="Times New Roman"/>
                <w:sz w:val="20"/>
                <w:szCs w:val="20"/>
              </w:rPr>
            </w:pPr>
          </w:p>
        </w:tc>
        <w:tc>
          <w:tcPr>
            <w:tcW w:w="522" w:type="pct"/>
            <w:vAlign w:val="center"/>
            <w:hideMark/>
          </w:tcPr>
          <w:p w14:paraId="3CA98639" w14:textId="77777777" w:rsidR="00000000" w:rsidRDefault="000A3118">
            <w:pPr>
              <w:rPr>
                <w:rFonts w:eastAsia="Times New Roman"/>
                <w:sz w:val="20"/>
                <w:szCs w:val="20"/>
              </w:rPr>
            </w:pPr>
          </w:p>
        </w:tc>
        <w:tc>
          <w:tcPr>
            <w:tcW w:w="5" w:type="pct"/>
            <w:vAlign w:val="center"/>
            <w:hideMark/>
          </w:tcPr>
          <w:p w14:paraId="4E8F0D60" w14:textId="77777777" w:rsidR="00000000" w:rsidRDefault="000A3118">
            <w:pPr>
              <w:rPr>
                <w:rFonts w:eastAsia="Times New Roman"/>
                <w:sz w:val="20"/>
                <w:szCs w:val="20"/>
              </w:rPr>
            </w:pPr>
          </w:p>
        </w:tc>
        <w:tc>
          <w:tcPr>
            <w:tcW w:w="5" w:type="pct"/>
            <w:vAlign w:val="center"/>
            <w:hideMark/>
          </w:tcPr>
          <w:p w14:paraId="6100FF74" w14:textId="77777777" w:rsidR="00000000" w:rsidRDefault="000A3118">
            <w:pPr>
              <w:rPr>
                <w:rFonts w:eastAsia="Times New Roman"/>
                <w:sz w:val="20"/>
                <w:szCs w:val="20"/>
              </w:rPr>
            </w:pPr>
          </w:p>
        </w:tc>
        <w:tc>
          <w:tcPr>
            <w:tcW w:w="26" w:type="pct"/>
            <w:vAlign w:val="center"/>
            <w:hideMark/>
          </w:tcPr>
          <w:p w14:paraId="7E54EE56" w14:textId="77777777" w:rsidR="00000000" w:rsidRDefault="000A3118">
            <w:pPr>
              <w:rPr>
                <w:rFonts w:eastAsia="Times New Roman"/>
                <w:sz w:val="20"/>
                <w:szCs w:val="20"/>
              </w:rPr>
            </w:pPr>
          </w:p>
        </w:tc>
        <w:tc>
          <w:tcPr>
            <w:tcW w:w="5" w:type="pct"/>
            <w:vAlign w:val="center"/>
            <w:hideMark/>
          </w:tcPr>
          <w:p w14:paraId="1B485A59" w14:textId="77777777" w:rsidR="00000000" w:rsidRDefault="000A3118">
            <w:pPr>
              <w:rPr>
                <w:rFonts w:eastAsia="Times New Roman"/>
                <w:sz w:val="20"/>
                <w:szCs w:val="20"/>
              </w:rPr>
            </w:pPr>
          </w:p>
        </w:tc>
        <w:tc>
          <w:tcPr>
            <w:tcW w:w="50" w:type="pct"/>
            <w:vAlign w:val="center"/>
            <w:hideMark/>
          </w:tcPr>
          <w:p w14:paraId="41BEBA9C" w14:textId="77777777" w:rsidR="00000000" w:rsidRDefault="000A3118">
            <w:pPr>
              <w:rPr>
                <w:rFonts w:eastAsia="Times New Roman"/>
                <w:sz w:val="20"/>
                <w:szCs w:val="20"/>
              </w:rPr>
            </w:pPr>
          </w:p>
        </w:tc>
        <w:tc>
          <w:tcPr>
            <w:tcW w:w="500" w:type="pct"/>
            <w:vAlign w:val="center"/>
            <w:hideMark/>
          </w:tcPr>
          <w:p w14:paraId="4D09C7F1" w14:textId="77777777" w:rsidR="00000000" w:rsidRDefault="000A3118">
            <w:pPr>
              <w:rPr>
                <w:rFonts w:eastAsia="Times New Roman"/>
                <w:sz w:val="20"/>
                <w:szCs w:val="20"/>
              </w:rPr>
            </w:pPr>
          </w:p>
        </w:tc>
        <w:tc>
          <w:tcPr>
            <w:tcW w:w="5" w:type="pct"/>
            <w:vAlign w:val="center"/>
            <w:hideMark/>
          </w:tcPr>
          <w:p w14:paraId="0B483727" w14:textId="77777777" w:rsidR="00000000" w:rsidRDefault="000A3118">
            <w:pPr>
              <w:rPr>
                <w:rFonts w:eastAsia="Times New Roman"/>
                <w:sz w:val="20"/>
                <w:szCs w:val="20"/>
              </w:rPr>
            </w:pPr>
          </w:p>
        </w:tc>
      </w:tr>
      <w:tr w:rsidR="00000000" w14:paraId="3158D44C" w14:textId="77777777">
        <w:trPr>
          <w:divId w:val="1697660003"/>
        </w:trPr>
        <w:tc>
          <w:tcPr>
            <w:tcW w:w="0" w:type="auto"/>
            <w:gridSpan w:val="3"/>
            <w:tcMar>
              <w:top w:w="0" w:type="dxa"/>
              <w:left w:w="20" w:type="dxa"/>
              <w:bottom w:w="0" w:type="dxa"/>
              <w:right w:w="20" w:type="dxa"/>
            </w:tcMar>
            <w:vAlign w:val="center"/>
            <w:hideMark/>
          </w:tcPr>
          <w:p w14:paraId="69EE75CA"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7C29A936"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654D6CDC" w14:textId="77777777" w:rsidR="00000000" w:rsidRDefault="000A3118">
            <w:pPr>
              <w:jc w:val="center"/>
              <w:rPr>
                <w:rFonts w:eastAsia="Times New Roman"/>
              </w:rPr>
            </w:pPr>
            <w:r>
              <w:rPr>
                <w:rFonts w:eastAsia="Times New Roman"/>
                <w:b/>
                <w:bCs/>
                <w:color w:val="000000"/>
                <w:sz w:val="16"/>
                <w:szCs w:val="16"/>
              </w:rPr>
              <w:t>For the Nine Months Ended</w:t>
            </w:r>
          </w:p>
        </w:tc>
        <w:tc>
          <w:tcPr>
            <w:tcW w:w="0" w:type="auto"/>
            <w:gridSpan w:val="3"/>
            <w:tcMar>
              <w:top w:w="0" w:type="dxa"/>
              <w:left w:w="20" w:type="dxa"/>
              <w:bottom w:w="0" w:type="dxa"/>
              <w:right w:w="20" w:type="dxa"/>
            </w:tcMar>
            <w:vAlign w:val="center"/>
            <w:hideMark/>
          </w:tcPr>
          <w:p w14:paraId="665611A8"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0EF03CCA" w14:textId="77777777" w:rsidR="00000000" w:rsidRDefault="000A3118">
            <w:pPr>
              <w:rPr>
                <w:rFonts w:eastAsia="Times New Roman"/>
                <w:sz w:val="20"/>
                <w:szCs w:val="20"/>
              </w:rPr>
            </w:pPr>
          </w:p>
        </w:tc>
      </w:tr>
      <w:tr w:rsidR="00000000" w14:paraId="3E6FA18C" w14:textId="77777777">
        <w:trPr>
          <w:divId w:val="1697660003"/>
        </w:trPr>
        <w:tc>
          <w:tcPr>
            <w:tcW w:w="0" w:type="auto"/>
            <w:gridSpan w:val="3"/>
            <w:tcMar>
              <w:top w:w="0" w:type="dxa"/>
              <w:left w:w="20" w:type="dxa"/>
              <w:bottom w:w="0" w:type="dxa"/>
              <w:right w:w="20" w:type="dxa"/>
            </w:tcMar>
            <w:vAlign w:val="center"/>
            <w:hideMark/>
          </w:tcPr>
          <w:p w14:paraId="37D522F4"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06AABF17"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5F717DAA"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1FEED853"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28ED9B68" w14:textId="77777777" w:rsidR="00000000" w:rsidRDefault="000A3118">
            <w:pPr>
              <w:rPr>
                <w:rFonts w:eastAsia="Times New Roman"/>
                <w:sz w:val="20"/>
                <w:szCs w:val="20"/>
              </w:rPr>
            </w:pPr>
          </w:p>
        </w:tc>
      </w:tr>
      <w:tr w:rsidR="00000000" w14:paraId="17F494CF" w14:textId="77777777">
        <w:trPr>
          <w:divId w:val="1697660003"/>
        </w:trPr>
        <w:tc>
          <w:tcPr>
            <w:tcW w:w="0" w:type="auto"/>
            <w:gridSpan w:val="3"/>
            <w:tcMar>
              <w:top w:w="0" w:type="dxa"/>
              <w:left w:w="20" w:type="dxa"/>
              <w:bottom w:w="0" w:type="dxa"/>
              <w:right w:w="20" w:type="dxa"/>
            </w:tcMar>
            <w:vAlign w:val="center"/>
            <w:hideMark/>
          </w:tcPr>
          <w:p w14:paraId="5B955D9C"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351D24"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CAB9E08"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EDA7C57"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E0CA94"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40C879B7"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65F23553" w14:textId="77777777" w:rsidR="00000000" w:rsidRDefault="000A3118">
            <w:pPr>
              <w:jc w:val="center"/>
              <w:rPr>
                <w:rFonts w:eastAsia="Times New Roman"/>
              </w:rPr>
            </w:pPr>
            <w:r>
              <w:rPr>
                <w:rFonts w:eastAsia="Times New Roman"/>
                <w:b/>
                <w:bCs/>
                <w:color w:val="000000"/>
                <w:sz w:val="16"/>
                <w:szCs w:val="16"/>
              </w:rPr>
              <w:t>$ Change</w:t>
            </w:r>
          </w:p>
        </w:tc>
      </w:tr>
      <w:tr w:rsidR="00000000" w14:paraId="39676447" w14:textId="77777777">
        <w:trPr>
          <w:divId w:val="1697660003"/>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14:paraId="1CFD9302" w14:textId="77777777" w:rsidR="00000000" w:rsidRDefault="000A3118">
            <w:pPr>
              <w:rPr>
                <w:rFonts w:eastAsia="Times New Roman"/>
              </w:rPr>
            </w:pPr>
            <w:r>
              <w:rPr>
                <w:rFonts w:eastAsia="Times New Roman"/>
                <w:color w:val="000000"/>
                <w:sz w:val="16"/>
                <w:szCs w:val="16"/>
              </w:rPr>
              <w:t>Aviation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FD63FB"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F16D2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F42F68" w14:textId="77777777" w:rsidR="00000000" w:rsidRDefault="000A3118">
            <w:pPr>
              <w:jc w:val="right"/>
              <w:rPr>
                <w:rFonts w:eastAsia="Times New Roman"/>
              </w:rPr>
            </w:pPr>
            <w:r>
              <w:rPr>
                <w:rFonts w:eastAsia="Times New Roman"/>
                <w:color w:val="000000"/>
                <w:sz w:val="16"/>
                <w:szCs w:val="16"/>
              </w:rPr>
              <w:t>282.6 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CB66E7"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376649"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5BEB7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65121E" w14:textId="77777777" w:rsidR="00000000" w:rsidRDefault="000A3118">
            <w:pPr>
              <w:jc w:val="right"/>
              <w:rPr>
                <w:rFonts w:eastAsia="Times New Roman"/>
              </w:rPr>
            </w:pPr>
            <w:r>
              <w:rPr>
                <w:rFonts w:eastAsia="Times New Roman"/>
                <w:color w:val="000000"/>
                <w:sz w:val="16"/>
                <w:szCs w:val="16"/>
              </w:rPr>
              <w:t>411.7 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74D33B"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D8391A"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137CE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AB7777" w14:textId="77777777" w:rsidR="00000000" w:rsidRDefault="000A3118">
            <w:pPr>
              <w:jc w:val="right"/>
              <w:rPr>
                <w:rFonts w:eastAsia="Times New Roman"/>
              </w:rPr>
            </w:pPr>
            <w:r>
              <w:rPr>
                <w:rFonts w:eastAsia="Times New Roman"/>
                <w:color w:val="000000"/>
                <w:sz w:val="16"/>
                <w:szCs w:val="16"/>
              </w:rPr>
              <w:t>(129.1)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13105C" w14:textId="77777777" w:rsidR="00000000" w:rsidRDefault="000A3118">
            <w:pPr>
              <w:jc w:val="right"/>
              <w:rPr>
                <w:rFonts w:eastAsia="Times New Roman"/>
              </w:rPr>
            </w:pPr>
          </w:p>
        </w:tc>
      </w:tr>
      <w:tr w:rsidR="00000000" w14:paraId="4B4A7D66" w14:textId="77777777">
        <w:trPr>
          <w:divId w:val="1697660003"/>
        </w:trPr>
        <w:tc>
          <w:tcPr>
            <w:tcW w:w="0" w:type="auto"/>
            <w:gridSpan w:val="3"/>
            <w:shd w:val="clear" w:color="auto" w:fill="FFFFFF"/>
            <w:tcMar>
              <w:top w:w="30" w:type="dxa"/>
              <w:left w:w="135" w:type="dxa"/>
              <w:bottom w:w="30" w:type="dxa"/>
              <w:right w:w="20" w:type="dxa"/>
            </w:tcMar>
            <w:vAlign w:val="bottom"/>
            <w:hideMark/>
          </w:tcPr>
          <w:p w14:paraId="4E7EBCE0" w14:textId="77777777" w:rsidR="00000000" w:rsidRDefault="000A3118">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14:paraId="6F20C958"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D92B5B" w14:textId="77777777" w:rsidR="00000000" w:rsidRDefault="000A3118">
            <w:pPr>
              <w:jc w:val="right"/>
              <w:rPr>
                <w:rFonts w:eastAsia="Times New Roman"/>
              </w:rPr>
            </w:pPr>
            <w:r>
              <w:rPr>
                <w:rFonts w:eastAsia="Times New Roman"/>
                <w:color w:val="000000"/>
                <w:sz w:val="16"/>
                <w:szCs w:val="16"/>
              </w:rPr>
              <w:t>275.4 </w:t>
            </w:r>
          </w:p>
        </w:tc>
        <w:tc>
          <w:tcPr>
            <w:tcW w:w="0" w:type="auto"/>
            <w:shd w:val="clear" w:color="auto" w:fill="FFFFFF"/>
            <w:tcMar>
              <w:top w:w="30" w:type="dxa"/>
              <w:left w:w="0" w:type="dxa"/>
              <w:bottom w:w="30" w:type="dxa"/>
              <w:right w:w="20" w:type="dxa"/>
            </w:tcMar>
            <w:vAlign w:val="bottom"/>
            <w:hideMark/>
          </w:tcPr>
          <w:p w14:paraId="41611B99"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C98B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C9AE5" w14:textId="77777777" w:rsidR="00000000" w:rsidRDefault="000A3118">
            <w:pPr>
              <w:jc w:val="right"/>
              <w:rPr>
                <w:rFonts w:eastAsia="Times New Roman"/>
              </w:rPr>
            </w:pPr>
            <w:r>
              <w:rPr>
                <w:rFonts w:eastAsia="Times New Roman"/>
                <w:color w:val="000000"/>
                <w:sz w:val="16"/>
                <w:szCs w:val="16"/>
              </w:rPr>
              <w:t>288.6 </w:t>
            </w:r>
          </w:p>
        </w:tc>
        <w:tc>
          <w:tcPr>
            <w:tcW w:w="0" w:type="auto"/>
            <w:shd w:val="clear" w:color="auto" w:fill="FFFFFF"/>
            <w:tcMar>
              <w:top w:w="30" w:type="dxa"/>
              <w:left w:w="0" w:type="dxa"/>
              <w:bottom w:w="30" w:type="dxa"/>
              <w:right w:w="20" w:type="dxa"/>
            </w:tcMar>
            <w:vAlign w:val="bottom"/>
            <w:hideMark/>
          </w:tcPr>
          <w:p w14:paraId="343F3648"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1241FE"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7AA54E" w14:textId="77777777" w:rsidR="00000000" w:rsidRDefault="000A3118">
            <w:pPr>
              <w:jc w:val="right"/>
              <w:rPr>
                <w:rFonts w:eastAsia="Times New Roman"/>
              </w:rPr>
            </w:pPr>
            <w:r>
              <w:rPr>
                <w:rFonts w:eastAsia="Times New Roman"/>
                <w:color w:val="000000"/>
                <w:sz w:val="16"/>
                <w:szCs w:val="16"/>
              </w:rPr>
              <w:t>(13.2)</w:t>
            </w:r>
          </w:p>
        </w:tc>
        <w:tc>
          <w:tcPr>
            <w:tcW w:w="0" w:type="auto"/>
            <w:shd w:val="clear" w:color="auto" w:fill="FFFFFF"/>
            <w:tcMar>
              <w:top w:w="30" w:type="dxa"/>
              <w:left w:w="0" w:type="dxa"/>
              <w:bottom w:w="30" w:type="dxa"/>
              <w:right w:w="20" w:type="dxa"/>
            </w:tcMar>
            <w:vAlign w:val="bottom"/>
            <w:hideMark/>
          </w:tcPr>
          <w:p w14:paraId="4F24A13D" w14:textId="77777777" w:rsidR="00000000" w:rsidRDefault="000A3118">
            <w:pPr>
              <w:jc w:val="right"/>
              <w:rPr>
                <w:rFonts w:eastAsia="Times New Roman"/>
              </w:rPr>
            </w:pPr>
          </w:p>
        </w:tc>
      </w:tr>
      <w:tr w:rsidR="00000000" w14:paraId="6267843E" w14:textId="77777777">
        <w:trPr>
          <w:divId w:val="1697660003"/>
        </w:trPr>
        <w:tc>
          <w:tcPr>
            <w:tcW w:w="0" w:type="auto"/>
            <w:gridSpan w:val="3"/>
            <w:shd w:val="clear" w:color="auto" w:fill="CCEEFF"/>
            <w:tcMar>
              <w:top w:w="30" w:type="dxa"/>
              <w:left w:w="135" w:type="dxa"/>
              <w:bottom w:w="30" w:type="dxa"/>
              <w:right w:w="20" w:type="dxa"/>
            </w:tcMar>
            <w:vAlign w:val="bottom"/>
            <w:hideMark/>
          </w:tcPr>
          <w:p w14:paraId="03B97C8A" w14:textId="77777777" w:rsidR="00000000" w:rsidRDefault="000A3118">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14:paraId="7DEB5C5F"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43A917" w14:textId="77777777" w:rsidR="00000000" w:rsidRDefault="000A3118">
            <w:pPr>
              <w:jc w:val="right"/>
              <w:rPr>
                <w:rFonts w:eastAsia="Times New Roman"/>
              </w:rPr>
            </w:pPr>
            <w:r>
              <w:rPr>
                <w:rFonts w:eastAsia="Times New Roman"/>
                <w:color w:val="000000"/>
                <w:sz w:val="16"/>
                <w:szCs w:val="16"/>
              </w:rPr>
              <w:t>128.6 </w:t>
            </w:r>
          </w:p>
        </w:tc>
        <w:tc>
          <w:tcPr>
            <w:tcW w:w="0" w:type="auto"/>
            <w:shd w:val="clear" w:color="auto" w:fill="CCEEFF"/>
            <w:tcMar>
              <w:top w:w="30" w:type="dxa"/>
              <w:left w:w="0" w:type="dxa"/>
              <w:bottom w:w="30" w:type="dxa"/>
              <w:right w:w="20" w:type="dxa"/>
            </w:tcMar>
            <w:vAlign w:val="bottom"/>
            <w:hideMark/>
          </w:tcPr>
          <w:p w14:paraId="43BAA58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C3102"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A11030" w14:textId="77777777" w:rsidR="00000000" w:rsidRDefault="000A3118">
            <w:pPr>
              <w:jc w:val="right"/>
              <w:rPr>
                <w:rFonts w:eastAsia="Times New Roman"/>
              </w:rPr>
            </w:pPr>
            <w:r>
              <w:rPr>
                <w:rFonts w:eastAsia="Times New Roman"/>
                <w:color w:val="000000"/>
                <w:sz w:val="16"/>
                <w:szCs w:val="16"/>
              </w:rPr>
              <w:t>125.0 </w:t>
            </w:r>
          </w:p>
        </w:tc>
        <w:tc>
          <w:tcPr>
            <w:tcW w:w="0" w:type="auto"/>
            <w:shd w:val="clear" w:color="auto" w:fill="CCEEFF"/>
            <w:tcMar>
              <w:top w:w="30" w:type="dxa"/>
              <w:left w:w="0" w:type="dxa"/>
              <w:bottom w:w="30" w:type="dxa"/>
              <w:right w:w="20" w:type="dxa"/>
            </w:tcMar>
            <w:vAlign w:val="bottom"/>
            <w:hideMark/>
          </w:tcPr>
          <w:p w14:paraId="64F6E1F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46D8F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FDF2E4" w14:textId="77777777" w:rsidR="00000000" w:rsidRDefault="000A3118">
            <w:pPr>
              <w:jc w:val="right"/>
              <w:rPr>
                <w:rFonts w:eastAsia="Times New Roman"/>
              </w:rPr>
            </w:pPr>
            <w:r>
              <w:rPr>
                <w:rFonts w:eastAsia="Times New Roman"/>
                <w:color w:val="000000"/>
                <w:sz w:val="16"/>
                <w:szCs w:val="16"/>
              </w:rPr>
              <w:t>3.6 </w:t>
            </w:r>
          </w:p>
        </w:tc>
        <w:tc>
          <w:tcPr>
            <w:tcW w:w="0" w:type="auto"/>
            <w:shd w:val="clear" w:color="auto" w:fill="CCEEFF"/>
            <w:tcMar>
              <w:top w:w="30" w:type="dxa"/>
              <w:left w:w="0" w:type="dxa"/>
              <w:bottom w:w="30" w:type="dxa"/>
              <w:right w:w="20" w:type="dxa"/>
            </w:tcMar>
            <w:vAlign w:val="bottom"/>
            <w:hideMark/>
          </w:tcPr>
          <w:p w14:paraId="5F5BDE2E" w14:textId="77777777" w:rsidR="00000000" w:rsidRDefault="000A3118">
            <w:pPr>
              <w:jc w:val="right"/>
              <w:rPr>
                <w:rFonts w:eastAsia="Times New Roman"/>
              </w:rPr>
            </w:pPr>
          </w:p>
        </w:tc>
      </w:tr>
      <w:tr w:rsidR="00000000" w14:paraId="24508582" w14:textId="77777777">
        <w:trPr>
          <w:divId w:val="1697660003"/>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8493031"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ACA9054"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0FE01F"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15FDF9" w14:textId="77777777" w:rsidR="00000000" w:rsidRDefault="000A3118">
            <w:pPr>
              <w:jc w:val="right"/>
              <w:rPr>
                <w:rFonts w:eastAsia="Times New Roman"/>
              </w:rPr>
            </w:pPr>
            <w:r>
              <w:rPr>
                <w:rFonts w:eastAsia="Times New Roman"/>
                <w:color w:val="000000"/>
                <w:sz w:val="16"/>
                <w:szCs w:val="16"/>
              </w:rPr>
              <w:t>686.6 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BD04E9"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3072351D"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6C648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159D527" w14:textId="77777777" w:rsidR="00000000" w:rsidRDefault="000A3118">
            <w:pPr>
              <w:jc w:val="right"/>
              <w:rPr>
                <w:rFonts w:eastAsia="Times New Roman"/>
              </w:rPr>
            </w:pPr>
            <w:r>
              <w:rPr>
                <w:rFonts w:eastAsia="Times New Roman"/>
                <w:color w:val="000000"/>
                <w:sz w:val="16"/>
                <w:szCs w:val="16"/>
              </w:rPr>
              <w:t>825.3 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531CE6"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65887453"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E38D0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A58568" w14:textId="77777777" w:rsidR="00000000" w:rsidRDefault="000A3118">
            <w:pPr>
              <w:jc w:val="right"/>
              <w:rPr>
                <w:rFonts w:eastAsia="Times New Roman"/>
              </w:rPr>
            </w:pPr>
            <w:r>
              <w:rPr>
                <w:rFonts w:eastAsia="Times New Roman"/>
                <w:color w:val="000000"/>
                <w:sz w:val="16"/>
                <w:szCs w:val="16"/>
              </w:rPr>
              <w:t>(138.7)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FBAE09" w14:textId="77777777" w:rsidR="00000000" w:rsidRDefault="000A3118">
            <w:pPr>
              <w:jc w:val="right"/>
              <w:rPr>
                <w:rFonts w:eastAsia="Times New Roman"/>
              </w:rPr>
            </w:pPr>
          </w:p>
        </w:tc>
      </w:tr>
    </w:tbl>
    <w:p w14:paraId="401E97FB" w14:textId="77777777" w:rsidR="00000000" w:rsidRDefault="000A3118">
      <w:pPr>
        <w:ind w:firstLine="1080"/>
        <w:jc w:val="both"/>
        <w:rPr>
          <w:rFonts w:eastAsia="Times New Roman"/>
        </w:rPr>
      </w:pPr>
      <w:r>
        <w:rPr>
          <w:rFonts w:eastAsia="Times New Roman"/>
          <w:color w:val="000000"/>
          <w:sz w:val="20"/>
          <w:szCs w:val="20"/>
        </w:rPr>
        <w:t> </w:t>
      </w:r>
    </w:p>
    <w:p w14:paraId="70B94429" w14:textId="77777777" w:rsidR="00000000" w:rsidRDefault="000A3118">
      <w:pPr>
        <w:ind w:firstLine="360"/>
        <w:jc w:val="both"/>
        <w:rPr>
          <w:rFonts w:eastAsia="Times New Roman"/>
        </w:rPr>
      </w:pPr>
      <w:r>
        <w:rPr>
          <w:rFonts w:eastAsia="Times New Roman"/>
          <w:color w:val="000000"/>
          <w:sz w:val="20"/>
          <w:szCs w:val="20"/>
        </w:rPr>
        <w:t>Our aviation segment gross profit for the first nine months of 2020 was $282.6 million, a decrease of $129.1 million, or 31%</w:t>
      </w:r>
      <w:r>
        <w:rPr>
          <w:rFonts w:eastAsia="Times New Roman"/>
          <w:color w:val="000000"/>
          <w:sz w:val="20"/>
          <w:szCs w:val="20"/>
        </w:rPr>
        <w:t>, as compared to the first nine months of 2019. The decrease in aviation gross profit was primarily due to a 44% decline in volume as a consequence of the significant decline in passenger air travel due to the pandemic, together with a reduction in our gov</w:t>
      </w:r>
      <w:r>
        <w:rPr>
          <w:rFonts w:eastAsia="Times New Roman"/>
          <w:color w:val="000000"/>
          <w:sz w:val="20"/>
          <w:szCs w:val="20"/>
        </w:rPr>
        <w:t>ernment-related activity in Afghanistan as a result of the ongoing drawdown of U.S. troops. Partially offsetting the volume-related impact on gross profit during the first nine months of 2020 were certain situation-specific activities arising from the pand</w:t>
      </w:r>
      <w:r>
        <w:rPr>
          <w:rFonts w:eastAsia="Times New Roman"/>
          <w:color w:val="000000"/>
          <w:sz w:val="20"/>
          <w:szCs w:val="20"/>
        </w:rPr>
        <w:t xml:space="preserve">emic, such as repatriation flights and the repositioning of aircraft, as well as physical supply gains associated with the historic volatility in jet fuel prices during the period. </w:t>
      </w:r>
    </w:p>
    <w:p w14:paraId="0E78B9C8" w14:textId="77777777" w:rsidR="00000000" w:rsidRDefault="000A3118">
      <w:pPr>
        <w:ind w:firstLine="360"/>
        <w:jc w:val="both"/>
        <w:rPr>
          <w:rFonts w:eastAsia="Times New Roman"/>
        </w:rPr>
      </w:pPr>
    </w:p>
    <w:p w14:paraId="487BDBE3" w14:textId="77777777" w:rsidR="00000000" w:rsidRDefault="000A3118">
      <w:pPr>
        <w:divId w:val="927346945"/>
        <w:rPr>
          <w:rFonts w:eastAsia="Times New Roman"/>
        </w:rPr>
      </w:pPr>
    </w:p>
    <w:p w14:paraId="52AF7013" w14:textId="77777777" w:rsidR="00000000" w:rsidRDefault="000A3118">
      <w:pPr>
        <w:rPr>
          <w:rFonts w:eastAsia="Times New Roman"/>
        </w:rPr>
      </w:pPr>
      <w:r>
        <w:rPr>
          <w:rFonts w:eastAsia="Times New Roman"/>
        </w:rPr>
        <w:pict w14:anchorId="59BEAA92">
          <v:rect id="_x0000_i1061" style="width:0;height:1.5pt" o:hralign="center" o:hrstd="t" o:hr="t" fillcolor="#a0a0a0" stroked="f"/>
        </w:pict>
      </w:r>
    </w:p>
    <w:p w14:paraId="2F6B7639" w14:textId="77777777" w:rsidR="00000000" w:rsidRDefault="000A3118">
      <w:pPr>
        <w:divId w:val="70469360"/>
        <w:rPr>
          <w:rFonts w:eastAsia="Times New Roman"/>
        </w:rPr>
      </w:pPr>
    </w:p>
    <w:p w14:paraId="48A34312" w14:textId="77777777" w:rsidR="00000000" w:rsidRDefault="000A3118">
      <w:pPr>
        <w:ind w:firstLine="360"/>
        <w:jc w:val="both"/>
        <w:rPr>
          <w:rFonts w:eastAsia="Times New Roman"/>
        </w:rPr>
      </w:pPr>
      <w:r>
        <w:rPr>
          <w:rFonts w:eastAsia="Times New Roman"/>
          <w:color w:val="000000"/>
          <w:sz w:val="20"/>
          <w:szCs w:val="20"/>
        </w:rPr>
        <w:t>Our land segment gross profit for the first nine months of 2020 was $275.4 million, a decrease of $13.2 million, or 5%, as compared to the first nine months of 2019. The decrease in land segment gross profit is primari</w:t>
      </w:r>
      <w:r>
        <w:rPr>
          <w:rFonts w:eastAsia="Times New Roman"/>
          <w:color w:val="000000"/>
          <w:sz w:val="20"/>
          <w:szCs w:val="20"/>
        </w:rPr>
        <w:t xml:space="preserve">ly attributable to a decline in profitability in our retail, commercial and industrial activities in North America due to lower volumes as a result of the pandemic, as well as a decrease in our government-related activities in Afghanistan. These decreases </w:t>
      </w:r>
      <w:r>
        <w:rPr>
          <w:rFonts w:eastAsia="Times New Roman"/>
          <w:color w:val="000000"/>
          <w:sz w:val="20"/>
          <w:szCs w:val="20"/>
        </w:rPr>
        <w:t>were partly offset by higher profitability in the U.K. and growth in World Kinect Energy Services, our global energy management brand.</w:t>
      </w:r>
    </w:p>
    <w:p w14:paraId="3A50E5A0" w14:textId="77777777" w:rsidR="00000000" w:rsidRDefault="000A3118">
      <w:pPr>
        <w:ind w:firstLine="360"/>
        <w:jc w:val="both"/>
        <w:rPr>
          <w:rFonts w:eastAsia="Times New Roman"/>
        </w:rPr>
      </w:pPr>
      <w:r>
        <w:rPr>
          <w:rFonts w:eastAsia="Times New Roman"/>
          <w:color w:val="000000"/>
          <w:sz w:val="20"/>
          <w:szCs w:val="20"/>
        </w:rPr>
        <w:t> </w:t>
      </w:r>
    </w:p>
    <w:p w14:paraId="4C860E08" w14:textId="77777777" w:rsidR="00000000" w:rsidRDefault="000A3118">
      <w:pPr>
        <w:ind w:firstLine="360"/>
        <w:jc w:val="both"/>
        <w:rPr>
          <w:rFonts w:eastAsia="Times New Roman"/>
        </w:rPr>
      </w:pPr>
      <w:r>
        <w:rPr>
          <w:rFonts w:eastAsia="Times New Roman"/>
          <w:color w:val="000000"/>
          <w:sz w:val="20"/>
          <w:szCs w:val="20"/>
        </w:rPr>
        <w:t>Our marine segment gross profit for the first nine months of 2020 was $128.6 million, an increase of $3.6 million, or 3</w:t>
      </w:r>
      <w:r>
        <w:rPr>
          <w:rFonts w:eastAsia="Times New Roman"/>
          <w:color w:val="000000"/>
          <w:sz w:val="20"/>
          <w:szCs w:val="20"/>
        </w:rPr>
        <w:t xml:space="preserve">%, as compared to the first nine months of 2019. The gross profit increase was largely attributable to improved performance in our core resale business in the first quarter 2020 resulting from the shift to very low-sulfur fuel oil mandated by the IMO 2020 </w:t>
      </w:r>
      <w:r>
        <w:rPr>
          <w:rFonts w:eastAsia="Times New Roman"/>
          <w:color w:val="000000"/>
          <w:sz w:val="20"/>
          <w:szCs w:val="20"/>
        </w:rPr>
        <w:t xml:space="preserve">regulations that took effect on January 1, 2020. </w:t>
      </w:r>
    </w:p>
    <w:p w14:paraId="4DD519C1" w14:textId="77777777" w:rsidR="00000000" w:rsidRDefault="000A3118">
      <w:pPr>
        <w:divId w:val="1069617954"/>
        <w:rPr>
          <w:rFonts w:eastAsia="Times New Roman"/>
        </w:rPr>
      </w:pPr>
    </w:p>
    <w:p w14:paraId="0349DA95" w14:textId="77777777" w:rsidR="00000000" w:rsidRDefault="000A3118">
      <w:pPr>
        <w:ind w:firstLine="360"/>
        <w:jc w:val="both"/>
        <w:rPr>
          <w:rFonts w:eastAsia="Times New Roman"/>
        </w:rPr>
      </w:pPr>
      <w:r>
        <w:rPr>
          <w:rFonts w:eastAsia="Times New Roman"/>
          <w:i/>
          <w:iCs/>
          <w:color w:val="000000"/>
          <w:sz w:val="20"/>
          <w:szCs w:val="20"/>
        </w:rPr>
        <w:t>Operating Expenses.</w:t>
      </w:r>
      <w:r>
        <w:rPr>
          <w:rFonts w:eastAsia="Times New Roman"/>
          <w:color w:val="000000"/>
          <w:sz w:val="20"/>
          <w:szCs w:val="20"/>
        </w:rPr>
        <w:t xml:space="preserve"> Total operating expenses for the first nine months of 2020 were $565.1 million, a decrease of $21.0 million, or 4%, compared to the first nine months of 2019. Lower employee compensati</w:t>
      </w:r>
      <w:r>
        <w:rPr>
          <w:rFonts w:eastAsia="Times New Roman"/>
          <w:color w:val="000000"/>
          <w:sz w:val="20"/>
          <w:szCs w:val="20"/>
        </w:rPr>
        <w:t>on and benefits costs, including lower incentive bonuses, accounted for the majority of the reduction in total operating expenses for the first nine months of 2020 as compared to the first nine months of 2019. Furthermore, as part of our cost-reduction ini</w:t>
      </w:r>
      <w:r>
        <w:rPr>
          <w:rFonts w:eastAsia="Times New Roman"/>
          <w:color w:val="000000"/>
          <w:sz w:val="20"/>
          <w:szCs w:val="20"/>
        </w:rPr>
        <w:t>tiatives, we materially reduced certain general and administrative expenses during the first nine months of 2020, which were offset by a higher provision for bad debt, principally due to the effects of the pandemic on our accounts receivable. Total operati</w:t>
      </w:r>
      <w:r>
        <w:rPr>
          <w:rFonts w:eastAsia="Times New Roman"/>
          <w:color w:val="000000"/>
          <w:sz w:val="20"/>
          <w:szCs w:val="20"/>
        </w:rPr>
        <w:t xml:space="preserve">ng expenses were also impacted by an impairment charge of $18.6 million during the second quarter of 2020 associated with our decision to rationalize our global office footprint. </w:t>
      </w:r>
    </w:p>
    <w:p w14:paraId="435334F6" w14:textId="77777777" w:rsidR="00000000" w:rsidRDefault="000A3118">
      <w:pPr>
        <w:ind w:firstLine="360"/>
        <w:jc w:val="both"/>
        <w:rPr>
          <w:rFonts w:eastAsia="Times New Roman"/>
        </w:rPr>
      </w:pPr>
    </w:p>
    <w:p w14:paraId="6A238900" w14:textId="77777777" w:rsidR="00000000" w:rsidRDefault="000A3118">
      <w:pPr>
        <w:ind w:firstLine="360"/>
        <w:jc w:val="both"/>
        <w:rPr>
          <w:rFonts w:eastAsia="Times New Roman"/>
        </w:rPr>
      </w:pPr>
      <w:r>
        <w:rPr>
          <w:rFonts w:eastAsia="Times New Roman"/>
          <w:color w:val="000000"/>
          <w:sz w:val="20"/>
          <w:szCs w:val="20"/>
        </w:rPr>
        <w:t xml:space="preserve">The following table sets forth our expense categories (in millions): </w:t>
      </w:r>
    </w:p>
    <w:p w14:paraId="704BA85A" w14:textId="77777777" w:rsidR="00000000" w:rsidRDefault="000A3118">
      <w:pPr>
        <w:ind w:firstLine="1080"/>
        <w:jc w:val="both"/>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42"/>
        <w:gridCol w:w="5154"/>
        <w:gridCol w:w="36"/>
        <w:gridCol w:w="36"/>
        <w:gridCol w:w="36"/>
        <w:gridCol w:w="36"/>
        <w:gridCol w:w="100"/>
        <w:gridCol w:w="792"/>
        <w:gridCol w:w="36"/>
        <w:gridCol w:w="36"/>
        <w:gridCol w:w="36"/>
        <w:gridCol w:w="36"/>
        <w:gridCol w:w="100"/>
        <w:gridCol w:w="792"/>
        <w:gridCol w:w="36"/>
        <w:gridCol w:w="36"/>
        <w:gridCol w:w="36"/>
        <w:gridCol w:w="36"/>
        <w:gridCol w:w="101"/>
        <w:gridCol w:w="757"/>
        <w:gridCol w:w="36"/>
      </w:tblGrid>
      <w:tr w:rsidR="00000000" w14:paraId="76F89A2C" w14:textId="77777777">
        <w:trPr>
          <w:divId w:val="354429647"/>
        </w:trPr>
        <w:tc>
          <w:tcPr>
            <w:tcW w:w="50" w:type="pct"/>
            <w:vAlign w:val="center"/>
            <w:hideMark/>
          </w:tcPr>
          <w:p w14:paraId="21867F5B" w14:textId="77777777" w:rsidR="00000000" w:rsidRDefault="000A3118">
            <w:pPr>
              <w:ind w:firstLine="1080"/>
              <w:jc w:val="both"/>
              <w:rPr>
                <w:rFonts w:eastAsia="Times New Roman"/>
              </w:rPr>
            </w:pPr>
          </w:p>
        </w:tc>
        <w:tc>
          <w:tcPr>
            <w:tcW w:w="3124" w:type="pct"/>
            <w:vAlign w:val="center"/>
            <w:hideMark/>
          </w:tcPr>
          <w:p w14:paraId="3FD086DF" w14:textId="77777777" w:rsidR="00000000" w:rsidRDefault="000A3118">
            <w:pPr>
              <w:rPr>
                <w:rFonts w:eastAsia="Times New Roman"/>
                <w:sz w:val="20"/>
                <w:szCs w:val="20"/>
              </w:rPr>
            </w:pPr>
          </w:p>
        </w:tc>
        <w:tc>
          <w:tcPr>
            <w:tcW w:w="5" w:type="pct"/>
            <w:vAlign w:val="center"/>
            <w:hideMark/>
          </w:tcPr>
          <w:p w14:paraId="3DD2F76C" w14:textId="77777777" w:rsidR="00000000" w:rsidRDefault="000A3118">
            <w:pPr>
              <w:rPr>
                <w:rFonts w:eastAsia="Times New Roman"/>
                <w:sz w:val="20"/>
                <w:szCs w:val="20"/>
              </w:rPr>
            </w:pPr>
          </w:p>
        </w:tc>
        <w:tc>
          <w:tcPr>
            <w:tcW w:w="5" w:type="pct"/>
            <w:vAlign w:val="center"/>
            <w:hideMark/>
          </w:tcPr>
          <w:p w14:paraId="616ABEFA" w14:textId="77777777" w:rsidR="00000000" w:rsidRDefault="000A3118">
            <w:pPr>
              <w:rPr>
                <w:rFonts w:eastAsia="Times New Roman"/>
                <w:sz w:val="20"/>
                <w:szCs w:val="20"/>
              </w:rPr>
            </w:pPr>
          </w:p>
        </w:tc>
        <w:tc>
          <w:tcPr>
            <w:tcW w:w="26" w:type="pct"/>
            <w:vAlign w:val="center"/>
            <w:hideMark/>
          </w:tcPr>
          <w:p w14:paraId="572D675E" w14:textId="77777777" w:rsidR="00000000" w:rsidRDefault="000A3118">
            <w:pPr>
              <w:rPr>
                <w:rFonts w:eastAsia="Times New Roman"/>
                <w:sz w:val="20"/>
                <w:szCs w:val="20"/>
              </w:rPr>
            </w:pPr>
          </w:p>
        </w:tc>
        <w:tc>
          <w:tcPr>
            <w:tcW w:w="5" w:type="pct"/>
            <w:vAlign w:val="center"/>
            <w:hideMark/>
          </w:tcPr>
          <w:p w14:paraId="03E3663B" w14:textId="77777777" w:rsidR="00000000" w:rsidRDefault="000A3118">
            <w:pPr>
              <w:rPr>
                <w:rFonts w:eastAsia="Times New Roman"/>
                <w:sz w:val="20"/>
                <w:szCs w:val="20"/>
              </w:rPr>
            </w:pPr>
          </w:p>
        </w:tc>
        <w:tc>
          <w:tcPr>
            <w:tcW w:w="50" w:type="pct"/>
            <w:vAlign w:val="center"/>
            <w:hideMark/>
          </w:tcPr>
          <w:p w14:paraId="45D59A2F" w14:textId="77777777" w:rsidR="00000000" w:rsidRDefault="000A3118">
            <w:pPr>
              <w:rPr>
                <w:rFonts w:eastAsia="Times New Roman"/>
                <w:sz w:val="20"/>
                <w:szCs w:val="20"/>
              </w:rPr>
            </w:pPr>
          </w:p>
        </w:tc>
        <w:tc>
          <w:tcPr>
            <w:tcW w:w="522" w:type="pct"/>
            <w:vAlign w:val="center"/>
            <w:hideMark/>
          </w:tcPr>
          <w:p w14:paraId="2E88D21F" w14:textId="77777777" w:rsidR="00000000" w:rsidRDefault="000A3118">
            <w:pPr>
              <w:rPr>
                <w:rFonts w:eastAsia="Times New Roman"/>
                <w:sz w:val="20"/>
                <w:szCs w:val="20"/>
              </w:rPr>
            </w:pPr>
          </w:p>
        </w:tc>
        <w:tc>
          <w:tcPr>
            <w:tcW w:w="5" w:type="pct"/>
            <w:vAlign w:val="center"/>
            <w:hideMark/>
          </w:tcPr>
          <w:p w14:paraId="51F1A8F5" w14:textId="77777777" w:rsidR="00000000" w:rsidRDefault="000A3118">
            <w:pPr>
              <w:rPr>
                <w:rFonts w:eastAsia="Times New Roman"/>
                <w:sz w:val="20"/>
                <w:szCs w:val="20"/>
              </w:rPr>
            </w:pPr>
          </w:p>
        </w:tc>
        <w:tc>
          <w:tcPr>
            <w:tcW w:w="5" w:type="pct"/>
            <w:vAlign w:val="center"/>
            <w:hideMark/>
          </w:tcPr>
          <w:p w14:paraId="3EEB9399" w14:textId="77777777" w:rsidR="00000000" w:rsidRDefault="000A3118">
            <w:pPr>
              <w:rPr>
                <w:rFonts w:eastAsia="Times New Roman"/>
                <w:sz w:val="20"/>
                <w:szCs w:val="20"/>
              </w:rPr>
            </w:pPr>
          </w:p>
        </w:tc>
        <w:tc>
          <w:tcPr>
            <w:tcW w:w="26" w:type="pct"/>
            <w:vAlign w:val="center"/>
            <w:hideMark/>
          </w:tcPr>
          <w:p w14:paraId="6E8A3131" w14:textId="77777777" w:rsidR="00000000" w:rsidRDefault="000A3118">
            <w:pPr>
              <w:rPr>
                <w:rFonts w:eastAsia="Times New Roman"/>
                <w:sz w:val="20"/>
                <w:szCs w:val="20"/>
              </w:rPr>
            </w:pPr>
          </w:p>
        </w:tc>
        <w:tc>
          <w:tcPr>
            <w:tcW w:w="5" w:type="pct"/>
            <w:vAlign w:val="center"/>
            <w:hideMark/>
          </w:tcPr>
          <w:p w14:paraId="468E121F" w14:textId="77777777" w:rsidR="00000000" w:rsidRDefault="000A3118">
            <w:pPr>
              <w:rPr>
                <w:rFonts w:eastAsia="Times New Roman"/>
                <w:sz w:val="20"/>
                <w:szCs w:val="20"/>
              </w:rPr>
            </w:pPr>
          </w:p>
        </w:tc>
        <w:tc>
          <w:tcPr>
            <w:tcW w:w="50" w:type="pct"/>
            <w:vAlign w:val="center"/>
            <w:hideMark/>
          </w:tcPr>
          <w:p w14:paraId="535A09B3" w14:textId="77777777" w:rsidR="00000000" w:rsidRDefault="000A3118">
            <w:pPr>
              <w:rPr>
                <w:rFonts w:eastAsia="Times New Roman"/>
                <w:sz w:val="20"/>
                <w:szCs w:val="20"/>
              </w:rPr>
            </w:pPr>
          </w:p>
        </w:tc>
        <w:tc>
          <w:tcPr>
            <w:tcW w:w="522" w:type="pct"/>
            <w:vAlign w:val="center"/>
            <w:hideMark/>
          </w:tcPr>
          <w:p w14:paraId="4032FB15" w14:textId="77777777" w:rsidR="00000000" w:rsidRDefault="000A3118">
            <w:pPr>
              <w:rPr>
                <w:rFonts w:eastAsia="Times New Roman"/>
                <w:sz w:val="20"/>
                <w:szCs w:val="20"/>
              </w:rPr>
            </w:pPr>
          </w:p>
        </w:tc>
        <w:tc>
          <w:tcPr>
            <w:tcW w:w="5" w:type="pct"/>
            <w:vAlign w:val="center"/>
            <w:hideMark/>
          </w:tcPr>
          <w:p w14:paraId="7ED73369" w14:textId="77777777" w:rsidR="00000000" w:rsidRDefault="000A3118">
            <w:pPr>
              <w:rPr>
                <w:rFonts w:eastAsia="Times New Roman"/>
                <w:sz w:val="20"/>
                <w:szCs w:val="20"/>
              </w:rPr>
            </w:pPr>
          </w:p>
        </w:tc>
        <w:tc>
          <w:tcPr>
            <w:tcW w:w="5" w:type="pct"/>
            <w:vAlign w:val="center"/>
            <w:hideMark/>
          </w:tcPr>
          <w:p w14:paraId="20DC3ABB" w14:textId="77777777" w:rsidR="00000000" w:rsidRDefault="000A3118">
            <w:pPr>
              <w:rPr>
                <w:rFonts w:eastAsia="Times New Roman"/>
                <w:sz w:val="20"/>
                <w:szCs w:val="20"/>
              </w:rPr>
            </w:pPr>
          </w:p>
        </w:tc>
        <w:tc>
          <w:tcPr>
            <w:tcW w:w="26" w:type="pct"/>
            <w:vAlign w:val="center"/>
            <w:hideMark/>
          </w:tcPr>
          <w:p w14:paraId="3BC5EDE0" w14:textId="77777777" w:rsidR="00000000" w:rsidRDefault="000A3118">
            <w:pPr>
              <w:rPr>
                <w:rFonts w:eastAsia="Times New Roman"/>
                <w:sz w:val="20"/>
                <w:szCs w:val="20"/>
              </w:rPr>
            </w:pPr>
          </w:p>
        </w:tc>
        <w:tc>
          <w:tcPr>
            <w:tcW w:w="5" w:type="pct"/>
            <w:vAlign w:val="center"/>
            <w:hideMark/>
          </w:tcPr>
          <w:p w14:paraId="33439154" w14:textId="77777777" w:rsidR="00000000" w:rsidRDefault="000A3118">
            <w:pPr>
              <w:rPr>
                <w:rFonts w:eastAsia="Times New Roman"/>
                <w:sz w:val="20"/>
                <w:szCs w:val="20"/>
              </w:rPr>
            </w:pPr>
          </w:p>
        </w:tc>
        <w:tc>
          <w:tcPr>
            <w:tcW w:w="50" w:type="pct"/>
            <w:vAlign w:val="center"/>
            <w:hideMark/>
          </w:tcPr>
          <w:p w14:paraId="422B0D05" w14:textId="77777777" w:rsidR="00000000" w:rsidRDefault="000A3118">
            <w:pPr>
              <w:rPr>
                <w:rFonts w:eastAsia="Times New Roman"/>
                <w:sz w:val="20"/>
                <w:szCs w:val="20"/>
              </w:rPr>
            </w:pPr>
          </w:p>
        </w:tc>
        <w:tc>
          <w:tcPr>
            <w:tcW w:w="500" w:type="pct"/>
            <w:vAlign w:val="center"/>
            <w:hideMark/>
          </w:tcPr>
          <w:p w14:paraId="089F59ED" w14:textId="77777777" w:rsidR="00000000" w:rsidRDefault="000A3118">
            <w:pPr>
              <w:rPr>
                <w:rFonts w:eastAsia="Times New Roman"/>
                <w:sz w:val="20"/>
                <w:szCs w:val="20"/>
              </w:rPr>
            </w:pPr>
          </w:p>
        </w:tc>
        <w:tc>
          <w:tcPr>
            <w:tcW w:w="5" w:type="pct"/>
            <w:vAlign w:val="center"/>
            <w:hideMark/>
          </w:tcPr>
          <w:p w14:paraId="64499C28" w14:textId="77777777" w:rsidR="00000000" w:rsidRDefault="000A3118">
            <w:pPr>
              <w:rPr>
                <w:rFonts w:eastAsia="Times New Roman"/>
                <w:sz w:val="20"/>
                <w:szCs w:val="20"/>
              </w:rPr>
            </w:pPr>
          </w:p>
        </w:tc>
      </w:tr>
      <w:tr w:rsidR="00000000" w14:paraId="1E3769D7" w14:textId="77777777">
        <w:trPr>
          <w:divId w:val="354429647"/>
        </w:trPr>
        <w:tc>
          <w:tcPr>
            <w:tcW w:w="0" w:type="auto"/>
            <w:gridSpan w:val="3"/>
            <w:tcMar>
              <w:top w:w="0" w:type="dxa"/>
              <w:left w:w="20" w:type="dxa"/>
              <w:bottom w:w="0" w:type="dxa"/>
              <w:right w:w="20" w:type="dxa"/>
            </w:tcMar>
            <w:vAlign w:val="center"/>
            <w:hideMark/>
          </w:tcPr>
          <w:p w14:paraId="3A3F7C8D"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3099FCB9"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1E811455" w14:textId="77777777" w:rsidR="00000000" w:rsidRDefault="000A3118">
            <w:pPr>
              <w:jc w:val="center"/>
              <w:rPr>
                <w:rFonts w:eastAsia="Times New Roman"/>
              </w:rPr>
            </w:pPr>
            <w:r>
              <w:rPr>
                <w:rFonts w:eastAsia="Times New Roman"/>
                <w:b/>
                <w:bCs/>
                <w:color w:val="000000"/>
                <w:sz w:val="16"/>
                <w:szCs w:val="16"/>
              </w:rPr>
              <w:t>For the Nine Months Ended</w:t>
            </w:r>
          </w:p>
        </w:tc>
        <w:tc>
          <w:tcPr>
            <w:tcW w:w="0" w:type="auto"/>
            <w:gridSpan w:val="3"/>
            <w:tcMar>
              <w:top w:w="0" w:type="dxa"/>
              <w:left w:w="20" w:type="dxa"/>
              <w:bottom w:w="0" w:type="dxa"/>
              <w:right w:w="20" w:type="dxa"/>
            </w:tcMar>
            <w:vAlign w:val="center"/>
            <w:hideMark/>
          </w:tcPr>
          <w:p w14:paraId="58F5D386"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69C0A2EE" w14:textId="77777777" w:rsidR="00000000" w:rsidRDefault="000A3118">
            <w:pPr>
              <w:rPr>
                <w:rFonts w:eastAsia="Times New Roman"/>
                <w:sz w:val="20"/>
                <w:szCs w:val="20"/>
              </w:rPr>
            </w:pPr>
          </w:p>
        </w:tc>
      </w:tr>
      <w:tr w:rsidR="00000000" w14:paraId="005673F1" w14:textId="77777777">
        <w:trPr>
          <w:divId w:val="354429647"/>
        </w:trPr>
        <w:tc>
          <w:tcPr>
            <w:tcW w:w="0" w:type="auto"/>
            <w:gridSpan w:val="3"/>
            <w:tcMar>
              <w:top w:w="0" w:type="dxa"/>
              <w:left w:w="20" w:type="dxa"/>
              <w:bottom w:w="0" w:type="dxa"/>
              <w:right w:w="20" w:type="dxa"/>
            </w:tcMar>
            <w:vAlign w:val="center"/>
            <w:hideMark/>
          </w:tcPr>
          <w:p w14:paraId="4EE42DBA"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22BB237F"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004D7A56"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375AD563"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32B90DE2" w14:textId="77777777" w:rsidR="00000000" w:rsidRDefault="000A3118">
            <w:pPr>
              <w:rPr>
                <w:rFonts w:eastAsia="Times New Roman"/>
                <w:sz w:val="20"/>
                <w:szCs w:val="20"/>
              </w:rPr>
            </w:pPr>
          </w:p>
        </w:tc>
      </w:tr>
      <w:tr w:rsidR="00000000" w14:paraId="1140DF0F" w14:textId="77777777">
        <w:trPr>
          <w:divId w:val="354429647"/>
        </w:trPr>
        <w:tc>
          <w:tcPr>
            <w:tcW w:w="0" w:type="auto"/>
            <w:gridSpan w:val="3"/>
            <w:tcMar>
              <w:top w:w="0" w:type="dxa"/>
              <w:left w:w="20" w:type="dxa"/>
              <w:bottom w:w="0" w:type="dxa"/>
              <w:right w:w="20" w:type="dxa"/>
            </w:tcMar>
            <w:vAlign w:val="center"/>
            <w:hideMark/>
          </w:tcPr>
          <w:p w14:paraId="0FAA9A0E"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E4B2BA"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6A94EC9"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840506E"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5A7CE2"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58759350"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31A13A28" w14:textId="77777777" w:rsidR="00000000" w:rsidRDefault="000A3118">
            <w:pPr>
              <w:jc w:val="center"/>
              <w:rPr>
                <w:rFonts w:eastAsia="Times New Roman"/>
              </w:rPr>
            </w:pPr>
            <w:r>
              <w:rPr>
                <w:rFonts w:eastAsia="Times New Roman"/>
                <w:b/>
                <w:bCs/>
                <w:color w:val="000000"/>
                <w:sz w:val="16"/>
                <w:szCs w:val="16"/>
              </w:rPr>
              <w:t>$ Change</w:t>
            </w:r>
          </w:p>
        </w:tc>
      </w:tr>
      <w:tr w:rsidR="00000000" w14:paraId="506E0F5D" w14:textId="77777777">
        <w:trPr>
          <w:divId w:val="35442964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BA03B7" w14:textId="77777777" w:rsidR="00000000" w:rsidRDefault="000A3118">
            <w:pPr>
              <w:rPr>
                <w:rFonts w:eastAsia="Times New Roman"/>
              </w:rPr>
            </w:pPr>
            <w:r>
              <w:rPr>
                <w:rFonts w:eastAsia="Times New Roman"/>
                <w:color w:val="000000"/>
                <w:sz w:val="16"/>
                <w:szCs w:val="16"/>
              </w:rPr>
              <w:t>Compensation and employee benefits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2D3EF8"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D5B8D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20E227" w14:textId="77777777" w:rsidR="00000000" w:rsidRDefault="000A3118">
            <w:pPr>
              <w:jc w:val="right"/>
              <w:rPr>
                <w:rFonts w:eastAsia="Times New Roman"/>
              </w:rPr>
            </w:pPr>
            <w:r>
              <w:rPr>
                <w:rFonts w:eastAsia="Times New Roman"/>
                <w:color w:val="000000"/>
                <w:sz w:val="16"/>
                <w:szCs w:val="16"/>
              </w:rPr>
              <w:t>289.8 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90C809"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56E141"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0C483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3C2CE5" w14:textId="77777777" w:rsidR="00000000" w:rsidRDefault="000A3118">
            <w:pPr>
              <w:jc w:val="right"/>
              <w:rPr>
                <w:rFonts w:eastAsia="Times New Roman"/>
              </w:rPr>
            </w:pPr>
            <w:r>
              <w:rPr>
                <w:rFonts w:eastAsia="Times New Roman"/>
                <w:color w:val="000000"/>
                <w:sz w:val="16"/>
                <w:szCs w:val="16"/>
              </w:rPr>
              <w:t>347.0 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9313D9"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6D50B0"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BD362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D30AD9" w14:textId="77777777" w:rsidR="00000000" w:rsidRDefault="000A3118">
            <w:pPr>
              <w:jc w:val="right"/>
              <w:rPr>
                <w:rFonts w:eastAsia="Times New Roman"/>
              </w:rPr>
            </w:pPr>
            <w:r>
              <w:rPr>
                <w:rFonts w:eastAsia="Times New Roman"/>
                <w:color w:val="000000"/>
                <w:sz w:val="16"/>
                <w:szCs w:val="16"/>
              </w:rPr>
              <w:t>(57.2)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5405C4" w14:textId="77777777" w:rsidR="00000000" w:rsidRDefault="000A3118">
            <w:pPr>
              <w:jc w:val="right"/>
              <w:rPr>
                <w:rFonts w:eastAsia="Times New Roman"/>
              </w:rPr>
            </w:pPr>
          </w:p>
        </w:tc>
      </w:tr>
      <w:tr w:rsidR="00000000" w14:paraId="4A447D83" w14:textId="77777777">
        <w:trPr>
          <w:divId w:val="354429647"/>
        </w:trPr>
        <w:tc>
          <w:tcPr>
            <w:tcW w:w="0" w:type="auto"/>
            <w:gridSpan w:val="3"/>
            <w:tcMar>
              <w:top w:w="30" w:type="dxa"/>
              <w:left w:w="20" w:type="dxa"/>
              <w:bottom w:w="30" w:type="dxa"/>
              <w:right w:w="20" w:type="dxa"/>
            </w:tcMar>
            <w:vAlign w:val="bottom"/>
            <w:hideMark/>
          </w:tcPr>
          <w:p w14:paraId="2950307D" w14:textId="77777777" w:rsidR="00000000" w:rsidRDefault="000A3118">
            <w:pPr>
              <w:rPr>
                <w:rFonts w:eastAsia="Times New Roman"/>
              </w:rPr>
            </w:pPr>
            <w:r>
              <w:rPr>
                <w:rFonts w:eastAsia="Times New Roman"/>
                <w:color w:val="000000"/>
                <w:sz w:val="16"/>
                <w:szCs w:val="16"/>
              </w:rPr>
              <w:t>General and administrative</w:t>
            </w:r>
          </w:p>
        </w:tc>
        <w:tc>
          <w:tcPr>
            <w:tcW w:w="0" w:type="auto"/>
            <w:gridSpan w:val="3"/>
            <w:tcMar>
              <w:top w:w="0" w:type="dxa"/>
              <w:left w:w="20" w:type="dxa"/>
              <w:bottom w:w="0" w:type="dxa"/>
              <w:right w:w="20" w:type="dxa"/>
            </w:tcMar>
            <w:vAlign w:val="center"/>
            <w:hideMark/>
          </w:tcPr>
          <w:p w14:paraId="0460ECC0" w14:textId="77777777" w:rsidR="00000000" w:rsidRDefault="000A3118">
            <w:pPr>
              <w:rPr>
                <w:rFonts w:eastAsia="Times New Roman"/>
              </w:rPr>
            </w:pPr>
          </w:p>
        </w:tc>
        <w:tc>
          <w:tcPr>
            <w:tcW w:w="0" w:type="auto"/>
            <w:gridSpan w:val="2"/>
            <w:tcMar>
              <w:top w:w="30" w:type="dxa"/>
              <w:left w:w="20" w:type="dxa"/>
              <w:bottom w:w="30" w:type="dxa"/>
              <w:right w:w="0" w:type="dxa"/>
            </w:tcMar>
            <w:vAlign w:val="bottom"/>
            <w:hideMark/>
          </w:tcPr>
          <w:p w14:paraId="15674437" w14:textId="77777777" w:rsidR="00000000" w:rsidRDefault="000A3118">
            <w:pPr>
              <w:jc w:val="right"/>
              <w:rPr>
                <w:rFonts w:eastAsia="Times New Roman"/>
              </w:rPr>
            </w:pPr>
            <w:r>
              <w:rPr>
                <w:rFonts w:eastAsia="Times New Roman"/>
                <w:color w:val="000000"/>
                <w:sz w:val="16"/>
                <w:szCs w:val="16"/>
              </w:rPr>
              <w:t>249.1 </w:t>
            </w:r>
          </w:p>
        </w:tc>
        <w:tc>
          <w:tcPr>
            <w:tcW w:w="0" w:type="auto"/>
            <w:tcMar>
              <w:top w:w="30" w:type="dxa"/>
              <w:left w:w="0" w:type="dxa"/>
              <w:bottom w:w="30" w:type="dxa"/>
              <w:right w:w="20" w:type="dxa"/>
            </w:tcMar>
            <w:vAlign w:val="bottom"/>
            <w:hideMark/>
          </w:tcPr>
          <w:p w14:paraId="35B0A9E1"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5571E38B" w14:textId="77777777" w:rsidR="00000000" w:rsidRDefault="000A311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333E4A" w14:textId="77777777" w:rsidR="00000000" w:rsidRDefault="000A3118">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1E95ADA" w14:textId="77777777" w:rsidR="00000000" w:rsidRDefault="000A3118">
            <w:pPr>
              <w:jc w:val="right"/>
              <w:rPr>
                <w:rFonts w:eastAsia="Times New Roman"/>
              </w:rPr>
            </w:pPr>
            <w:r>
              <w:rPr>
                <w:rFonts w:eastAsia="Times New Roman"/>
                <w:color w:val="000000"/>
                <w:sz w:val="16"/>
                <w:szCs w:val="16"/>
              </w:rPr>
              <w:t>232.9 </w:t>
            </w:r>
          </w:p>
        </w:tc>
        <w:tc>
          <w:tcPr>
            <w:tcW w:w="0" w:type="auto"/>
            <w:shd w:val="clear" w:color="auto" w:fill="FFFFFF"/>
            <w:tcMar>
              <w:top w:w="30" w:type="dxa"/>
              <w:left w:w="0" w:type="dxa"/>
              <w:bottom w:w="30" w:type="dxa"/>
              <w:right w:w="20" w:type="dxa"/>
            </w:tcMar>
            <w:vAlign w:val="bottom"/>
            <w:hideMark/>
          </w:tcPr>
          <w:p w14:paraId="704F18FC"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257E79CE" w14:textId="77777777" w:rsidR="00000000" w:rsidRDefault="000A311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013A0CB" w14:textId="77777777" w:rsidR="00000000" w:rsidRDefault="000A3118">
            <w:pPr>
              <w:jc w:val="right"/>
              <w:rPr>
                <w:rFonts w:eastAsia="Times New Roman"/>
              </w:rPr>
            </w:pPr>
            <w:r>
              <w:rPr>
                <w:rFonts w:eastAsia="Times New Roman"/>
                <w:color w:val="000000"/>
                <w:sz w:val="16"/>
                <w:szCs w:val="16"/>
              </w:rPr>
              <w:t>16.2 </w:t>
            </w:r>
          </w:p>
        </w:tc>
        <w:tc>
          <w:tcPr>
            <w:tcW w:w="0" w:type="auto"/>
            <w:tcMar>
              <w:top w:w="30" w:type="dxa"/>
              <w:left w:w="0" w:type="dxa"/>
              <w:bottom w:w="30" w:type="dxa"/>
              <w:right w:w="20" w:type="dxa"/>
            </w:tcMar>
            <w:vAlign w:val="bottom"/>
            <w:hideMark/>
          </w:tcPr>
          <w:p w14:paraId="0C0C2DC4" w14:textId="77777777" w:rsidR="00000000" w:rsidRDefault="000A3118">
            <w:pPr>
              <w:jc w:val="right"/>
              <w:rPr>
                <w:rFonts w:eastAsia="Times New Roman"/>
              </w:rPr>
            </w:pPr>
          </w:p>
        </w:tc>
      </w:tr>
      <w:tr w:rsidR="00000000" w14:paraId="6B3EE094" w14:textId="77777777">
        <w:trPr>
          <w:divId w:val="354429647"/>
        </w:trPr>
        <w:tc>
          <w:tcPr>
            <w:tcW w:w="0" w:type="auto"/>
            <w:gridSpan w:val="3"/>
            <w:shd w:val="clear" w:color="auto" w:fill="CCEEFF"/>
            <w:tcMar>
              <w:top w:w="30" w:type="dxa"/>
              <w:left w:w="20" w:type="dxa"/>
              <w:bottom w:w="30" w:type="dxa"/>
              <w:right w:w="20" w:type="dxa"/>
            </w:tcMar>
            <w:vAlign w:val="bottom"/>
            <w:hideMark/>
          </w:tcPr>
          <w:p w14:paraId="408FF2C2" w14:textId="77777777" w:rsidR="00000000" w:rsidRDefault="000A3118">
            <w:pPr>
              <w:rPr>
                <w:rFonts w:eastAsia="Times New Roman"/>
              </w:rPr>
            </w:pPr>
            <w:r>
              <w:rPr>
                <w:rFonts w:eastAsia="Times New Roman"/>
                <w:color w:val="000000"/>
                <w:sz w:val="16"/>
                <w:szCs w:val="16"/>
              </w:rPr>
              <w:t>Asset impairments</w:t>
            </w:r>
          </w:p>
        </w:tc>
        <w:tc>
          <w:tcPr>
            <w:tcW w:w="0" w:type="auto"/>
            <w:gridSpan w:val="3"/>
            <w:shd w:val="clear" w:color="auto" w:fill="CCEEFF"/>
            <w:tcMar>
              <w:top w:w="0" w:type="dxa"/>
              <w:left w:w="20" w:type="dxa"/>
              <w:bottom w:w="0" w:type="dxa"/>
              <w:right w:w="20" w:type="dxa"/>
            </w:tcMar>
            <w:vAlign w:val="center"/>
            <w:hideMark/>
          </w:tcPr>
          <w:p w14:paraId="6D60E0E1"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A000DD" w14:textId="77777777" w:rsidR="00000000" w:rsidRDefault="000A3118">
            <w:pPr>
              <w:jc w:val="right"/>
              <w:rPr>
                <w:rFonts w:eastAsia="Times New Roman"/>
              </w:rPr>
            </w:pPr>
            <w:r>
              <w:rPr>
                <w:rFonts w:eastAsia="Times New Roman"/>
                <w:color w:val="000000"/>
                <w:sz w:val="16"/>
                <w:szCs w:val="16"/>
              </w:rPr>
              <w:t>18.6 </w:t>
            </w:r>
          </w:p>
        </w:tc>
        <w:tc>
          <w:tcPr>
            <w:tcW w:w="0" w:type="auto"/>
            <w:shd w:val="clear" w:color="auto" w:fill="CCEEFF"/>
            <w:tcMar>
              <w:top w:w="30" w:type="dxa"/>
              <w:left w:w="0" w:type="dxa"/>
              <w:bottom w:w="30" w:type="dxa"/>
              <w:right w:w="20" w:type="dxa"/>
            </w:tcMar>
            <w:vAlign w:val="bottom"/>
            <w:hideMark/>
          </w:tcPr>
          <w:p w14:paraId="6D4DF221"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EBFA4"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1AE6E6"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D18C3BE"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1A471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25F985" w14:textId="77777777" w:rsidR="00000000" w:rsidRDefault="000A3118">
            <w:pPr>
              <w:jc w:val="right"/>
              <w:rPr>
                <w:rFonts w:eastAsia="Times New Roman"/>
              </w:rPr>
            </w:pPr>
            <w:r>
              <w:rPr>
                <w:rFonts w:eastAsia="Times New Roman"/>
                <w:color w:val="000000"/>
                <w:sz w:val="16"/>
                <w:szCs w:val="16"/>
              </w:rPr>
              <w:t>18.6 </w:t>
            </w:r>
          </w:p>
        </w:tc>
        <w:tc>
          <w:tcPr>
            <w:tcW w:w="0" w:type="auto"/>
            <w:shd w:val="clear" w:color="auto" w:fill="CCEEFF"/>
            <w:tcMar>
              <w:top w:w="30" w:type="dxa"/>
              <w:left w:w="0" w:type="dxa"/>
              <w:bottom w:w="30" w:type="dxa"/>
              <w:right w:w="20" w:type="dxa"/>
            </w:tcMar>
            <w:vAlign w:val="bottom"/>
            <w:hideMark/>
          </w:tcPr>
          <w:p w14:paraId="34E25E0D" w14:textId="77777777" w:rsidR="00000000" w:rsidRDefault="000A3118">
            <w:pPr>
              <w:jc w:val="right"/>
              <w:rPr>
                <w:rFonts w:eastAsia="Times New Roman"/>
              </w:rPr>
            </w:pPr>
          </w:p>
        </w:tc>
      </w:tr>
      <w:tr w:rsidR="00000000" w14:paraId="032BC658" w14:textId="77777777">
        <w:trPr>
          <w:divId w:val="354429647"/>
        </w:trPr>
        <w:tc>
          <w:tcPr>
            <w:tcW w:w="0" w:type="auto"/>
            <w:gridSpan w:val="3"/>
            <w:shd w:val="clear" w:color="auto" w:fill="FFFFFF"/>
            <w:tcMar>
              <w:top w:w="30" w:type="dxa"/>
              <w:left w:w="20" w:type="dxa"/>
              <w:bottom w:w="30" w:type="dxa"/>
              <w:right w:w="20" w:type="dxa"/>
            </w:tcMar>
            <w:vAlign w:val="bottom"/>
            <w:hideMark/>
          </w:tcPr>
          <w:p w14:paraId="663A6F05" w14:textId="77777777" w:rsidR="00000000" w:rsidRDefault="000A3118">
            <w:pPr>
              <w:rPr>
                <w:rFonts w:eastAsia="Times New Roman"/>
              </w:rPr>
            </w:pPr>
            <w:r>
              <w:rPr>
                <w:rFonts w:eastAsia="Times New Roman"/>
                <w:color w:val="000000"/>
                <w:sz w:val="16"/>
                <w:szCs w:val="16"/>
              </w:rPr>
              <w:t>Restructuring charges</w:t>
            </w:r>
          </w:p>
        </w:tc>
        <w:tc>
          <w:tcPr>
            <w:tcW w:w="0" w:type="auto"/>
            <w:gridSpan w:val="3"/>
            <w:shd w:val="clear" w:color="auto" w:fill="FFFFFF"/>
            <w:tcMar>
              <w:top w:w="0" w:type="dxa"/>
              <w:left w:w="20" w:type="dxa"/>
              <w:bottom w:w="0" w:type="dxa"/>
              <w:right w:w="20" w:type="dxa"/>
            </w:tcMar>
            <w:vAlign w:val="center"/>
            <w:hideMark/>
          </w:tcPr>
          <w:p w14:paraId="6AC20A53"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13077E" w14:textId="77777777" w:rsidR="00000000" w:rsidRDefault="000A3118">
            <w:pPr>
              <w:jc w:val="right"/>
              <w:rPr>
                <w:rFonts w:eastAsia="Times New Roman"/>
              </w:rPr>
            </w:pPr>
            <w:r>
              <w:rPr>
                <w:rFonts w:eastAsia="Times New Roman"/>
                <w:color w:val="000000"/>
                <w:sz w:val="16"/>
                <w:szCs w:val="16"/>
              </w:rPr>
              <w:t>7.7 </w:t>
            </w:r>
          </w:p>
        </w:tc>
        <w:tc>
          <w:tcPr>
            <w:tcW w:w="0" w:type="auto"/>
            <w:shd w:val="clear" w:color="auto" w:fill="FFFFFF"/>
            <w:tcMar>
              <w:top w:w="30" w:type="dxa"/>
              <w:left w:w="0" w:type="dxa"/>
              <w:bottom w:w="30" w:type="dxa"/>
              <w:right w:w="20" w:type="dxa"/>
            </w:tcMar>
            <w:vAlign w:val="bottom"/>
            <w:hideMark/>
          </w:tcPr>
          <w:p w14:paraId="4213317C"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E2B2D"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AB41FA" w14:textId="77777777" w:rsidR="00000000" w:rsidRDefault="000A3118">
            <w:pPr>
              <w:jc w:val="right"/>
              <w:rPr>
                <w:rFonts w:eastAsia="Times New Roman"/>
              </w:rPr>
            </w:pPr>
            <w:r>
              <w:rPr>
                <w:rFonts w:eastAsia="Times New Roman"/>
                <w:color w:val="000000"/>
                <w:sz w:val="16"/>
                <w:szCs w:val="16"/>
              </w:rPr>
              <w:t>6.3 </w:t>
            </w:r>
          </w:p>
        </w:tc>
        <w:tc>
          <w:tcPr>
            <w:tcW w:w="0" w:type="auto"/>
            <w:shd w:val="clear" w:color="auto" w:fill="FFFFFF"/>
            <w:tcMar>
              <w:top w:w="30" w:type="dxa"/>
              <w:left w:w="0" w:type="dxa"/>
              <w:bottom w:w="30" w:type="dxa"/>
              <w:right w:w="20" w:type="dxa"/>
            </w:tcMar>
            <w:vAlign w:val="bottom"/>
            <w:hideMark/>
          </w:tcPr>
          <w:p w14:paraId="1D0EEB90"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6FC1B0"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6656A1" w14:textId="77777777" w:rsidR="00000000" w:rsidRDefault="000A3118">
            <w:pPr>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14:paraId="0316223A" w14:textId="77777777" w:rsidR="00000000" w:rsidRDefault="000A3118">
            <w:pPr>
              <w:jc w:val="right"/>
              <w:rPr>
                <w:rFonts w:eastAsia="Times New Roman"/>
              </w:rPr>
            </w:pPr>
          </w:p>
        </w:tc>
      </w:tr>
      <w:tr w:rsidR="00000000" w14:paraId="7DA17CF1" w14:textId="77777777">
        <w:trPr>
          <w:divId w:val="354429647"/>
        </w:trPr>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164C515"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1E9A06C"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BC33B7"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18BD35" w14:textId="77777777" w:rsidR="00000000" w:rsidRDefault="000A3118">
            <w:pPr>
              <w:jc w:val="right"/>
              <w:rPr>
                <w:rFonts w:eastAsia="Times New Roman"/>
              </w:rPr>
            </w:pPr>
            <w:r>
              <w:rPr>
                <w:rFonts w:eastAsia="Times New Roman"/>
                <w:color w:val="000000"/>
                <w:sz w:val="16"/>
                <w:szCs w:val="16"/>
              </w:rPr>
              <w:t>565.1 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1F9044"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1EEE5DD7"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92D27A"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A17633" w14:textId="77777777" w:rsidR="00000000" w:rsidRDefault="000A3118">
            <w:pPr>
              <w:jc w:val="right"/>
              <w:rPr>
                <w:rFonts w:eastAsia="Times New Roman"/>
              </w:rPr>
            </w:pPr>
            <w:r>
              <w:rPr>
                <w:rFonts w:eastAsia="Times New Roman"/>
                <w:color w:val="000000"/>
                <w:sz w:val="16"/>
                <w:szCs w:val="16"/>
              </w:rPr>
              <w:t>586.2 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40613C"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09DF2B6B"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915B92"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72D69D" w14:textId="77777777" w:rsidR="00000000" w:rsidRDefault="000A3118">
            <w:pPr>
              <w:jc w:val="right"/>
              <w:rPr>
                <w:rFonts w:eastAsia="Times New Roman"/>
              </w:rPr>
            </w:pPr>
            <w:r>
              <w:rPr>
                <w:rFonts w:eastAsia="Times New Roman"/>
                <w:color w:val="000000"/>
                <w:sz w:val="16"/>
                <w:szCs w:val="16"/>
              </w:rPr>
              <w:t>(21.0)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A0386C" w14:textId="77777777" w:rsidR="00000000" w:rsidRDefault="000A3118">
            <w:pPr>
              <w:jc w:val="right"/>
              <w:rPr>
                <w:rFonts w:eastAsia="Times New Roman"/>
              </w:rPr>
            </w:pPr>
          </w:p>
        </w:tc>
      </w:tr>
      <w:tr w:rsidR="00000000" w14:paraId="0433467B" w14:textId="77777777">
        <w:trPr>
          <w:divId w:val="354429647"/>
        </w:trPr>
        <w:tc>
          <w:tcPr>
            <w:tcW w:w="0" w:type="auto"/>
            <w:gridSpan w:val="3"/>
            <w:vAlign w:val="center"/>
            <w:hideMark/>
          </w:tcPr>
          <w:p w14:paraId="37433777" w14:textId="77777777" w:rsidR="00000000" w:rsidRDefault="000A3118">
            <w:pPr>
              <w:jc w:val="right"/>
              <w:rPr>
                <w:rFonts w:eastAsia="Times New Roman"/>
                <w:sz w:val="20"/>
                <w:szCs w:val="20"/>
              </w:rPr>
            </w:pPr>
          </w:p>
        </w:tc>
        <w:tc>
          <w:tcPr>
            <w:tcW w:w="0" w:type="auto"/>
            <w:gridSpan w:val="3"/>
            <w:vAlign w:val="center"/>
            <w:hideMark/>
          </w:tcPr>
          <w:p w14:paraId="28B3AB45" w14:textId="77777777" w:rsidR="00000000" w:rsidRDefault="000A3118">
            <w:pPr>
              <w:rPr>
                <w:rFonts w:eastAsia="Times New Roman"/>
                <w:sz w:val="20"/>
                <w:szCs w:val="20"/>
              </w:rPr>
            </w:pPr>
          </w:p>
        </w:tc>
        <w:tc>
          <w:tcPr>
            <w:tcW w:w="0" w:type="auto"/>
            <w:gridSpan w:val="3"/>
            <w:vAlign w:val="center"/>
            <w:hideMark/>
          </w:tcPr>
          <w:p w14:paraId="0FBE4425" w14:textId="77777777" w:rsidR="00000000" w:rsidRDefault="000A3118">
            <w:pPr>
              <w:rPr>
                <w:rFonts w:eastAsia="Times New Roman"/>
                <w:sz w:val="20"/>
                <w:szCs w:val="20"/>
              </w:rPr>
            </w:pPr>
          </w:p>
        </w:tc>
        <w:tc>
          <w:tcPr>
            <w:tcW w:w="0" w:type="auto"/>
            <w:gridSpan w:val="3"/>
            <w:vAlign w:val="center"/>
            <w:hideMark/>
          </w:tcPr>
          <w:p w14:paraId="1148FD43" w14:textId="77777777" w:rsidR="00000000" w:rsidRDefault="000A3118">
            <w:pPr>
              <w:rPr>
                <w:rFonts w:eastAsia="Times New Roman"/>
                <w:sz w:val="20"/>
                <w:szCs w:val="20"/>
              </w:rPr>
            </w:pPr>
          </w:p>
        </w:tc>
        <w:tc>
          <w:tcPr>
            <w:tcW w:w="0" w:type="auto"/>
            <w:gridSpan w:val="3"/>
            <w:vAlign w:val="center"/>
            <w:hideMark/>
          </w:tcPr>
          <w:p w14:paraId="3828A132" w14:textId="77777777" w:rsidR="00000000" w:rsidRDefault="000A3118">
            <w:pPr>
              <w:rPr>
                <w:rFonts w:eastAsia="Times New Roman"/>
                <w:sz w:val="20"/>
                <w:szCs w:val="20"/>
              </w:rPr>
            </w:pPr>
          </w:p>
        </w:tc>
        <w:tc>
          <w:tcPr>
            <w:tcW w:w="0" w:type="auto"/>
            <w:gridSpan w:val="3"/>
            <w:vAlign w:val="center"/>
            <w:hideMark/>
          </w:tcPr>
          <w:p w14:paraId="09BCDB4D" w14:textId="77777777" w:rsidR="00000000" w:rsidRDefault="000A3118">
            <w:pPr>
              <w:rPr>
                <w:rFonts w:eastAsia="Times New Roman"/>
                <w:sz w:val="20"/>
                <w:szCs w:val="20"/>
              </w:rPr>
            </w:pPr>
          </w:p>
        </w:tc>
        <w:tc>
          <w:tcPr>
            <w:tcW w:w="0" w:type="auto"/>
            <w:gridSpan w:val="3"/>
            <w:vAlign w:val="center"/>
            <w:hideMark/>
          </w:tcPr>
          <w:p w14:paraId="2D35CE2C" w14:textId="77777777" w:rsidR="00000000" w:rsidRDefault="000A3118">
            <w:pPr>
              <w:rPr>
                <w:rFonts w:eastAsia="Times New Roman"/>
                <w:sz w:val="20"/>
                <w:szCs w:val="20"/>
              </w:rPr>
            </w:pPr>
          </w:p>
        </w:tc>
      </w:tr>
      <w:tr w:rsidR="00000000" w14:paraId="32F97E80" w14:textId="77777777">
        <w:trPr>
          <w:divId w:val="354429647"/>
        </w:trPr>
        <w:tc>
          <w:tcPr>
            <w:tcW w:w="0" w:type="auto"/>
            <w:gridSpan w:val="3"/>
            <w:vAlign w:val="center"/>
            <w:hideMark/>
          </w:tcPr>
          <w:p w14:paraId="3E237DA7" w14:textId="77777777" w:rsidR="00000000" w:rsidRDefault="000A3118">
            <w:pPr>
              <w:rPr>
                <w:rFonts w:eastAsia="Times New Roman"/>
                <w:sz w:val="20"/>
                <w:szCs w:val="20"/>
              </w:rPr>
            </w:pPr>
          </w:p>
        </w:tc>
        <w:tc>
          <w:tcPr>
            <w:tcW w:w="0" w:type="auto"/>
            <w:gridSpan w:val="3"/>
            <w:vAlign w:val="center"/>
            <w:hideMark/>
          </w:tcPr>
          <w:p w14:paraId="72984682" w14:textId="77777777" w:rsidR="00000000" w:rsidRDefault="000A3118">
            <w:pPr>
              <w:rPr>
                <w:rFonts w:eastAsia="Times New Roman"/>
                <w:sz w:val="20"/>
                <w:szCs w:val="20"/>
              </w:rPr>
            </w:pPr>
          </w:p>
        </w:tc>
        <w:tc>
          <w:tcPr>
            <w:tcW w:w="0" w:type="auto"/>
            <w:gridSpan w:val="3"/>
            <w:vAlign w:val="center"/>
            <w:hideMark/>
          </w:tcPr>
          <w:p w14:paraId="56D5D712" w14:textId="77777777" w:rsidR="00000000" w:rsidRDefault="000A3118">
            <w:pPr>
              <w:rPr>
                <w:rFonts w:eastAsia="Times New Roman"/>
                <w:sz w:val="20"/>
                <w:szCs w:val="20"/>
              </w:rPr>
            </w:pPr>
          </w:p>
        </w:tc>
        <w:tc>
          <w:tcPr>
            <w:tcW w:w="0" w:type="auto"/>
            <w:gridSpan w:val="3"/>
            <w:vAlign w:val="center"/>
            <w:hideMark/>
          </w:tcPr>
          <w:p w14:paraId="64A8B277" w14:textId="77777777" w:rsidR="00000000" w:rsidRDefault="000A3118">
            <w:pPr>
              <w:rPr>
                <w:rFonts w:eastAsia="Times New Roman"/>
                <w:sz w:val="20"/>
                <w:szCs w:val="20"/>
              </w:rPr>
            </w:pPr>
          </w:p>
        </w:tc>
        <w:tc>
          <w:tcPr>
            <w:tcW w:w="0" w:type="auto"/>
            <w:gridSpan w:val="3"/>
            <w:vAlign w:val="center"/>
            <w:hideMark/>
          </w:tcPr>
          <w:p w14:paraId="36D372C5" w14:textId="77777777" w:rsidR="00000000" w:rsidRDefault="000A3118">
            <w:pPr>
              <w:rPr>
                <w:rFonts w:eastAsia="Times New Roman"/>
                <w:sz w:val="20"/>
                <w:szCs w:val="20"/>
              </w:rPr>
            </w:pPr>
          </w:p>
        </w:tc>
        <w:tc>
          <w:tcPr>
            <w:tcW w:w="0" w:type="auto"/>
            <w:gridSpan w:val="3"/>
            <w:vAlign w:val="center"/>
            <w:hideMark/>
          </w:tcPr>
          <w:p w14:paraId="68E6CCDA" w14:textId="77777777" w:rsidR="00000000" w:rsidRDefault="000A3118">
            <w:pPr>
              <w:rPr>
                <w:rFonts w:eastAsia="Times New Roman"/>
                <w:sz w:val="20"/>
                <w:szCs w:val="20"/>
              </w:rPr>
            </w:pPr>
          </w:p>
        </w:tc>
        <w:tc>
          <w:tcPr>
            <w:tcW w:w="0" w:type="auto"/>
            <w:gridSpan w:val="3"/>
            <w:vAlign w:val="center"/>
            <w:hideMark/>
          </w:tcPr>
          <w:p w14:paraId="794DA680" w14:textId="77777777" w:rsidR="00000000" w:rsidRDefault="000A3118">
            <w:pPr>
              <w:rPr>
                <w:rFonts w:eastAsia="Times New Roman"/>
                <w:sz w:val="20"/>
                <w:szCs w:val="20"/>
              </w:rPr>
            </w:pPr>
          </w:p>
        </w:tc>
      </w:tr>
    </w:tbl>
    <w:p w14:paraId="2876D409" w14:textId="77777777" w:rsidR="00000000" w:rsidRDefault="000A3118">
      <w:pPr>
        <w:ind w:firstLine="360"/>
        <w:jc w:val="both"/>
        <w:rPr>
          <w:rFonts w:eastAsia="Times New Roman"/>
        </w:rPr>
      </w:pPr>
    </w:p>
    <w:p w14:paraId="71B12772" w14:textId="77777777" w:rsidR="00000000" w:rsidRDefault="000A3118">
      <w:pPr>
        <w:ind w:firstLine="360"/>
        <w:jc w:val="both"/>
        <w:rPr>
          <w:rFonts w:eastAsia="Times New Roman"/>
        </w:rPr>
      </w:pPr>
      <w:r>
        <w:rPr>
          <w:rFonts w:eastAsia="Times New Roman"/>
          <w:i/>
          <w:iCs/>
          <w:color w:val="000000"/>
          <w:sz w:val="20"/>
          <w:szCs w:val="20"/>
        </w:rPr>
        <w:t>Income from Operations</w:t>
      </w:r>
      <w:r>
        <w:rPr>
          <w:rFonts w:eastAsia="Times New Roman"/>
          <w:color w:val="000000"/>
          <w:sz w:val="20"/>
          <w:szCs w:val="20"/>
        </w:rPr>
        <w:t>.  </w:t>
      </w:r>
      <w:r>
        <w:rPr>
          <w:rFonts w:eastAsia="Times New Roman"/>
          <w:color w:val="000000"/>
          <w:sz w:val="20"/>
          <w:szCs w:val="20"/>
        </w:rPr>
        <w:t>Income from operations during these periods was attributable to the following segments (in millions): </w:t>
      </w:r>
    </w:p>
    <w:tbl>
      <w:tblPr>
        <w:tblW w:w="4992" w:type="pct"/>
        <w:tblCellMar>
          <w:top w:w="15" w:type="dxa"/>
          <w:left w:w="15" w:type="dxa"/>
          <w:bottom w:w="15" w:type="dxa"/>
          <w:right w:w="15" w:type="dxa"/>
        </w:tblCellMar>
        <w:tblLook w:val="04A0" w:firstRow="1" w:lastRow="0" w:firstColumn="1" w:lastColumn="0" w:noHBand="0" w:noVBand="1"/>
      </w:tblPr>
      <w:tblGrid>
        <w:gridCol w:w="42"/>
        <w:gridCol w:w="5127"/>
        <w:gridCol w:w="37"/>
        <w:gridCol w:w="36"/>
        <w:gridCol w:w="36"/>
        <w:gridCol w:w="36"/>
        <w:gridCol w:w="100"/>
        <w:gridCol w:w="804"/>
        <w:gridCol w:w="36"/>
        <w:gridCol w:w="36"/>
        <w:gridCol w:w="36"/>
        <w:gridCol w:w="36"/>
        <w:gridCol w:w="100"/>
        <w:gridCol w:w="792"/>
        <w:gridCol w:w="36"/>
        <w:gridCol w:w="36"/>
        <w:gridCol w:w="36"/>
        <w:gridCol w:w="36"/>
        <w:gridCol w:w="101"/>
        <w:gridCol w:w="758"/>
        <w:gridCol w:w="36"/>
      </w:tblGrid>
      <w:tr w:rsidR="00000000" w14:paraId="36F455F0" w14:textId="77777777">
        <w:trPr>
          <w:divId w:val="392973896"/>
        </w:trPr>
        <w:tc>
          <w:tcPr>
            <w:tcW w:w="50" w:type="pct"/>
            <w:vAlign w:val="center"/>
            <w:hideMark/>
          </w:tcPr>
          <w:p w14:paraId="344339E0" w14:textId="77777777" w:rsidR="00000000" w:rsidRDefault="000A3118">
            <w:pPr>
              <w:ind w:firstLine="360"/>
              <w:jc w:val="both"/>
              <w:rPr>
                <w:rFonts w:eastAsia="Times New Roman"/>
              </w:rPr>
            </w:pPr>
          </w:p>
        </w:tc>
        <w:tc>
          <w:tcPr>
            <w:tcW w:w="3114" w:type="pct"/>
            <w:vAlign w:val="center"/>
            <w:hideMark/>
          </w:tcPr>
          <w:p w14:paraId="12100ACA" w14:textId="77777777" w:rsidR="00000000" w:rsidRDefault="000A3118">
            <w:pPr>
              <w:rPr>
                <w:rFonts w:eastAsia="Times New Roman"/>
                <w:sz w:val="20"/>
                <w:szCs w:val="20"/>
              </w:rPr>
            </w:pPr>
          </w:p>
        </w:tc>
        <w:tc>
          <w:tcPr>
            <w:tcW w:w="5" w:type="pct"/>
            <w:vAlign w:val="center"/>
            <w:hideMark/>
          </w:tcPr>
          <w:p w14:paraId="0C7A94A5" w14:textId="77777777" w:rsidR="00000000" w:rsidRDefault="000A3118">
            <w:pPr>
              <w:rPr>
                <w:rFonts w:eastAsia="Times New Roman"/>
                <w:sz w:val="20"/>
                <w:szCs w:val="20"/>
              </w:rPr>
            </w:pPr>
          </w:p>
        </w:tc>
        <w:tc>
          <w:tcPr>
            <w:tcW w:w="5" w:type="pct"/>
            <w:vAlign w:val="center"/>
            <w:hideMark/>
          </w:tcPr>
          <w:p w14:paraId="55A52654" w14:textId="77777777" w:rsidR="00000000" w:rsidRDefault="000A3118">
            <w:pPr>
              <w:rPr>
                <w:rFonts w:eastAsia="Times New Roman"/>
                <w:sz w:val="20"/>
                <w:szCs w:val="20"/>
              </w:rPr>
            </w:pPr>
          </w:p>
        </w:tc>
        <w:tc>
          <w:tcPr>
            <w:tcW w:w="26" w:type="pct"/>
            <w:vAlign w:val="center"/>
            <w:hideMark/>
          </w:tcPr>
          <w:p w14:paraId="3BBC3AAF" w14:textId="77777777" w:rsidR="00000000" w:rsidRDefault="000A3118">
            <w:pPr>
              <w:rPr>
                <w:rFonts w:eastAsia="Times New Roman"/>
                <w:sz w:val="20"/>
                <w:szCs w:val="20"/>
              </w:rPr>
            </w:pPr>
          </w:p>
        </w:tc>
        <w:tc>
          <w:tcPr>
            <w:tcW w:w="5" w:type="pct"/>
            <w:vAlign w:val="center"/>
            <w:hideMark/>
          </w:tcPr>
          <w:p w14:paraId="3F242111" w14:textId="77777777" w:rsidR="00000000" w:rsidRDefault="000A3118">
            <w:pPr>
              <w:rPr>
                <w:rFonts w:eastAsia="Times New Roman"/>
                <w:sz w:val="20"/>
                <w:szCs w:val="20"/>
              </w:rPr>
            </w:pPr>
          </w:p>
        </w:tc>
        <w:tc>
          <w:tcPr>
            <w:tcW w:w="50" w:type="pct"/>
            <w:vAlign w:val="center"/>
            <w:hideMark/>
          </w:tcPr>
          <w:p w14:paraId="68156CAE" w14:textId="77777777" w:rsidR="00000000" w:rsidRDefault="000A3118">
            <w:pPr>
              <w:rPr>
                <w:rFonts w:eastAsia="Times New Roman"/>
                <w:sz w:val="20"/>
                <w:szCs w:val="20"/>
              </w:rPr>
            </w:pPr>
          </w:p>
        </w:tc>
        <w:tc>
          <w:tcPr>
            <w:tcW w:w="530" w:type="pct"/>
            <w:vAlign w:val="center"/>
            <w:hideMark/>
          </w:tcPr>
          <w:p w14:paraId="18F73172" w14:textId="77777777" w:rsidR="00000000" w:rsidRDefault="000A3118">
            <w:pPr>
              <w:rPr>
                <w:rFonts w:eastAsia="Times New Roman"/>
                <w:sz w:val="20"/>
                <w:szCs w:val="20"/>
              </w:rPr>
            </w:pPr>
          </w:p>
        </w:tc>
        <w:tc>
          <w:tcPr>
            <w:tcW w:w="5" w:type="pct"/>
            <w:vAlign w:val="center"/>
            <w:hideMark/>
          </w:tcPr>
          <w:p w14:paraId="5E309AE9" w14:textId="77777777" w:rsidR="00000000" w:rsidRDefault="000A3118">
            <w:pPr>
              <w:rPr>
                <w:rFonts w:eastAsia="Times New Roman"/>
                <w:sz w:val="20"/>
                <w:szCs w:val="20"/>
              </w:rPr>
            </w:pPr>
          </w:p>
        </w:tc>
        <w:tc>
          <w:tcPr>
            <w:tcW w:w="5" w:type="pct"/>
            <w:vAlign w:val="center"/>
            <w:hideMark/>
          </w:tcPr>
          <w:p w14:paraId="09B3B4D7" w14:textId="77777777" w:rsidR="00000000" w:rsidRDefault="000A3118">
            <w:pPr>
              <w:rPr>
                <w:rFonts w:eastAsia="Times New Roman"/>
                <w:sz w:val="20"/>
                <w:szCs w:val="20"/>
              </w:rPr>
            </w:pPr>
          </w:p>
        </w:tc>
        <w:tc>
          <w:tcPr>
            <w:tcW w:w="26" w:type="pct"/>
            <w:vAlign w:val="center"/>
            <w:hideMark/>
          </w:tcPr>
          <w:p w14:paraId="4E2D4790" w14:textId="77777777" w:rsidR="00000000" w:rsidRDefault="000A3118">
            <w:pPr>
              <w:rPr>
                <w:rFonts w:eastAsia="Times New Roman"/>
                <w:sz w:val="20"/>
                <w:szCs w:val="20"/>
              </w:rPr>
            </w:pPr>
          </w:p>
        </w:tc>
        <w:tc>
          <w:tcPr>
            <w:tcW w:w="5" w:type="pct"/>
            <w:vAlign w:val="center"/>
            <w:hideMark/>
          </w:tcPr>
          <w:p w14:paraId="3A1F46A4" w14:textId="77777777" w:rsidR="00000000" w:rsidRDefault="000A3118">
            <w:pPr>
              <w:rPr>
                <w:rFonts w:eastAsia="Times New Roman"/>
                <w:sz w:val="20"/>
                <w:szCs w:val="20"/>
              </w:rPr>
            </w:pPr>
          </w:p>
        </w:tc>
        <w:tc>
          <w:tcPr>
            <w:tcW w:w="50" w:type="pct"/>
            <w:vAlign w:val="center"/>
            <w:hideMark/>
          </w:tcPr>
          <w:p w14:paraId="5CE5C78F" w14:textId="77777777" w:rsidR="00000000" w:rsidRDefault="000A3118">
            <w:pPr>
              <w:rPr>
                <w:rFonts w:eastAsia="Times New Roman"/>
                <w:sz w:val="20"/>
                <w:szCs w:val="20"/>
              </w:rPr>
            </w:pPr>
          </w:p>
        </w:tc>
        <w:tc>
          <w:tcPr>
            <w:tcW w:w="523" w:type="pct"/>
            <w:vAlign w:val="center"/>
            <w:hideMark/>
          </w:tcPr>
          <w:p w14:paraId="7625ABD0" w14:textId="77777777" w:rsidR="00000000" w:rsidRDefault="000A3118">
            <w:pPr>
              <w:rPr>
                <w:rFonts w:eastAsia="Times New Roman"/>
                <w:sz w:val="20"/>
                <w:szCs w:val="20"/>
              </w:rPr>
            </w:pPr>
          </w:p>
        </w:tc>
        <w:tc>
          <w:tcPr>
            <w:tcW w:w="5" w:type="pct"/>
            <w:vAlign w:val="center"/>
            <w:hideMark/>
          </w:tcPr>
          <w:p w14:paraId="1E3D35DD" w14:textId="77777777" w:rsidR="00000000" w:rsidRDefault="000A3118">
            <w:pPr>
              <w:rPr>
                <w:rFonts w:eastAsia="Times New Roman"/>
                <w:sz w:val="20"/>
                <w:szCs w:val="20"/>
              </w:rPr>
            </w:pPr>
          </w:p>
        </w:tc>
        <w:tc>
          <w:tcPr>
            <w:tcW w:w="5" w:type="pct"/>
            <w:vAlign w:val="center"/>
            <w:hideMark/>
          </w:tcPr>
          <w:p w14:paraId="2D4816F5" w14:textId="77777777" w:rsidR="00000000" w:rsidRDefault="000A3118">
            <w:pPr>
              <w:rPr>
                <w:rFonts w:eastAsia="Times New Roman"/>
                <w:sz w:val="20"/>
                <w:szCs w:val="20"/>
              </w:rPr>
            </w:pPr>
          </w:p>
        </w:tc>
        <w:tc>
          <w:tcPr>
            <w:tcW w:w="26" w:type="pct"/>
            <w:vAlign w:val="center"/>
            <w:hideMark/>
          </w:tcPr>
          <w:p w14:paraId="41A58D45" w14:textId="77777777" w:rsidR="00000000" w:rsidRDefault="000A3118">
            <w:pPr>
              <w:rPr>
                <w:rFonts w:eastAsia="Times New Roman"/>
                <w:sz w:val="20"/>
                <w:szCs w:val="20"/>
              </w:rPr>
            </w:pPr>
          </w:p>
        </w:tc>
        <w:tc>
          <w:tcPr>
            <w:tcW w:w="5" w:type="pct"/>
            <w:vAlign w:val="center"/>
            <w:hideMark/>
          </w:tcPr>
          <w:p w14:paraId="072968DC" w14:textId="77777777" w:rsidR="00000000" w:rsidRDefault="000A3118">
            <w:pPr>
              <w:rPr>
                <w:rFonts w:eastAsia="Times New Roman"/>
                <w:sz w:val="20"/>
                <w:szCs w:val="20"/>
              </w:rPr>
            </w:pPr>
          </w:p>
        </w:tc>
        <w:tc>
          <w:tcPr>
            <w:tcW w:w="50" w:type="pct"/>
            <w:vAlign w:val="center"/>
            <w:hideMark/>
          </w:tcPr>
          <w:p w14:paraId="5AA87CC3" w14:textId="77777777" w:rsidR="00000000" w:rsidRDefault="000A3118">
            <w:pPr>
              <w:rPr>
                <w:rFonts w:eastAsia="Times New Roman"/>
                <w:sz w:val="20"/>
                <w:szCs w:val="20"/>
              </w:rPr>
            </w:pPr>
          </w:p>
        </w:tc>
        <w:tc>
          <w:tcPr>
            <w:tcW w:w="501" w:type="pct"/>
            <w:vAlign w:val="center"/>
            <w:hideMark/>
          </w:tcPr>
          <w:p w14:paraId="0CC73190" w14:textId="77777777" w:rsidR="00000000" w:rsidRDefault="000A3118">
            <w:pPr>
              <w:rPr>
                <w:rFonts w:eastAsia="Times New Roman"/>
                <w:sz w:val="20"/>
                <w:szCs w:val="20"/>
              </w:rPr>
            </w:pPr>
          </w:p>
        </w:tc>
        <w:tc>
          <w:tcPr>
            <w:tcW w:w="5" w:type="pct"/>
            <w:vAlign w:val="center"/>
            <w:hideMark/>
          </w:tcPr>
          <w:p w14:paraId="50C52A4B" w14:textId="77777777" w:rsidR="00000000" w:rsidRDefault="000A3118">
            <w:pPr>
              <w:rPr>
                <w:rFonts w:eastAsia="Times New Roman"/>
                <w:sz w:val="20"/>
                <w:szCs w:val="20"/>
              </w:rPr>
            </w:pPr>
          </w:p>
        </w:tc>
      </w:tr>
      <w:tr w:rsidR="00000000" w14:paraId="311814E8" w14:textId="77777777">
        <w:trPr>
          <w:divId w:val="392973896"/>
        </w:trPr>
        <w:tc>
          <w:tcPr>
            <w:tcW w:w="0" w:type="auto"/>
            <w:gridSpan w:val="3"/>
            <w:tcMar>
              <w:top w:w="0" w:type="dxa"/>
              <w:left w:w="20" w:type="dxa"/>
              <w:bottom w:w="0" w:type="dxa"/>
              <w:right w:w="20" w:type="dxa"/>
            </w:tcMar>
            <w:vAlign w:val="center"/>
            <w:hideMark/>
          </w:tcPr>
          <w:p w14:paraId="5691B818"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2F505DBE"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39290084" w14:textId="77777777" w:rsidR="00000000" w:rsidRDefault="000A3118">
            <w:pPr>
              <w:jc w:val="center"/>
              <w:rPr>
                <w:rFonts w:eastAsia="Times New Roman"/>
              </w:rPr>
            </w:pPr>
            <w:r>
              <w:rPr>
                <w:rFonts w:eastAsia="Times New Roman"/>
                <w:b/>
                <w:bCs/>
                <w:color w:val="000000"/>
                <w:sz w:val="16"/>
                <w:szCs w:val="16"/>
              </w:rPr>
              <w:t>For the Nine Months Ended</w:t>
            </w:r>
          </w:p>
        </w:tc>
        <w:tc>
          <w:tcPr>
            <w:tcW w:w="0" w:type="auto"/>
            <w:gridSpan w:val="3"/>
            <w:tcMar>
              <w:top w:w="0" w:type="dxa"/>
              <w:left w:w="20" w:type="dxa"/>
              <w:bottom w:w="0" w:type="dxa"/>
              <w:right w:w="20" w:type="dxa"/>
            </w:tcMar>
            <w:vAlign w:val="center"/>
            <w:hideMark/>
          </w:tcPr>
          <w:p w14:paraId="75058E28"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712B9C4C" w14:textId="77777777" w:rsidR="00000000" w:rsidRDefault="000A3118">
            <w:pPr>
              <w:rPr>
                <w:rFonts w:eastAsia="Times New Roman"/>
                <w:sz w:val="20"/>
                <w:szCs w:val="20"/>
              </w:rPr>
            </w:pPr>
          </w:p>
        </w:tc>
      </w:tr>
      <w:tr w:rsidR="00000000" w14:paraId="74FEE0F7" w14:textId="77777777">
        <w:trPr>
          <w:divId w:val="392973896"/>
        </w:trPr>
        <w:tc>
          <w:tcPr>
            <w:tcW w:w="0" w:type="auto"/>
            <w:gridSpan w:val="3"/>
            <w:tcMar>
              <w:top w:w="0" w:type="dxa"/>
              <w:left w:w="20" w:type="dxa"/>
              <w:bottom w:w="0" w:type="dxa"/>
              <w:right w:w="20" w:type="dxa"/>
            </w:tcMar>
            <w:vAlign w:val="center"/>
            <w:hideMark/>
          </w:tcPr>
          <w:p w14:paraId="03E6E785"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C4C879F"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2EFBC258" w14:textId="77777777" w:rsidR="00000000" w:rsidRDefault="000A3118">
            <w:pPr>
              <w:jc w:val="center"/>
              <w:rPr>
                <w:rFonts w:eastAsia="Times New Roman"/>
              </w:rPr>
            </w:pPr>
            <w:r>
              <w:rPr>
                <w:rFonts w:eastAsia="Times New Roman"/>
                <w:b/>
                <w:bCs/>
                <w:color w:val="000000"/>
                <w:sz w:val="16"/>
                <w:szCs w:val="16"/>
              </w:rPr>
              <w:t>September 30,</w:t>
            </w:r>
          </w:p>
        </w:tc>
        <w:tc>
          <w:tcPr>
            <w:tcW w:w="0" w:type="auto"/>
            <w:gridSpan w:val="3"/>
            <w:tcMar>
              <w:top w:w="0" w:type="dxa"/>
              <w:left w:w="20" w:type="dxa"/>
              <w:bottom w:w="0" w:type="dxa"/>
              <w:right w:w="20" w:type="dxa"/>
            </w:tcMar>
            <w:vAlign w:val="center"/>
            <w:hideMark/>
          </w:tcPr>
          <w:p w14:paraId="0B5B6CCF"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4D69F593" w14:textId="77777777" w:rsidR="00000000" w:rsidRDefault="000A3118">
            <w:pPr>
              <w:rPr>
                <w:rFonts w:eastAsia="Times New Roman"/>
                <w:sz w:val="20"/>
                <w:szCs w:val="20"/>
              </w:rPr>
            </w:pPr>
          </w:p>
        </w:tc>
      </w:tr>
      <w:tr w:rsidR="00000000" w14:paraId="601934E9" w14:textId="77777777">
        <w:trPr>
          <w:divId w:val="392973896"/>
        </w:trPr>
        <w:tc>
          <w:tcPr>
            <w:tcW w:w="0" w:type="auto"/>
            <w:gridSpan w:val="3"/>
            <w:tcMar>
              <w:top w:w="0" w:type="dxa"/>
              <w:left w:w="20" w:type="dxa"/>
              <w:bottom w:w="0" w:type="dxa"/>
              <w:right w:w="20" w:type="dxa"/>
            </w:tcMar>
            <w:vAlign w:val="center"/>
            <w:hideMark/>
          </w:tcPr>
          <w:p w14:paraId="71095864" w14:textId="77777777" w:rsidR="00000000" w:rsidRDefault="000A311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90ED7E"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8F3A34F"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5CCF1CD"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653917" w14:textId="77777777" w:rsidR="00000000" w:rsidRDefault="000A311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14:paraId="004BE540"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7AA67D13" w14:textId="77777777" w:rsidR="00000000" w:rsidRDefault="000A3118">
            <w:pPr>
              <w:jc w:val="center"/>
              <w:rPr>
                <w:rFonts w:eastAsia="Times New Roman"/>
              </w:rPr>
            </w:pPr>
            <w:r>
              <w:rPr>
                <w:rFonts w:eastAsia="Times New Roman"/>
                <w:b/>
                <w:bCs/>
                <w:color w:val="000000"/>
                <w:sz w:val="16"/>
                <w:szCs w:val="16"/>
              </w:rPr>
              <w:t>$ Change</w:t>
            </w:r>
          </w:p>
        </w:tc>
      </w:tr>
      <w:tr w:rsidR="00000000" w14:paraId="580DC0CF" w14:textId="77777777">
        <w:trPr>
          <w:divId w:val="39297389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20FB7C5" w14:textId="77777777" w:rsidR="00000000" w:rsidRDefault="000A3118">
            <w:pPr>
              <w:rPr>
                <w:rFonts w:eastAsia="Times New Roman"/>
              </w:rPr>
            </w:pPr>
            <w:r>
              <w:rPr>
                <w:rFonts w:eastAsia="Times New Roman"/>
                <w:color w:val="000000"/>
                <w:sz w:val="16"/>
                <w:szCs w:val="16"/>
              </w:rPr>
              <w:t>Aviation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09D455"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23C3EE"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204F76" w14:textId="77777777" w:rsidR="00000000" w:rsidRDefault="000A3118">
            <w:pPr>
              <w:jc w:val="right"/>
              <w:rPr>
                <w:rFonts w:eastAsia="Times New Roman"/>
              </w:rPr>
            </w:pPr>
            <w:r>
              <w:rPr>
                <w:rFonts w:eastAsia="Times New Roman"/>
                <w:color w:val="000000"/>
                <w:sz w:val="16"/>
                <w:szCs w:val="16"/>
              </w:rPr>
              <w:t>67.3 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953F15"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A1BA9C"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80AC1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55E743" w14:textId="77777777" w:rsidR="00000000" w:rsidRDefault="000A3118">
            <w:pPr>
              <w:jc w:val="right"/>
              <w:rPr>
                <w:rFonts w:eastAsia="Times New Roman"/>
              </w:rPr>
            </w:pPr>
            <w:r>
              <w:rPr>
                <w:rFonts w:eastAsia="Times New Roman"/>
                <w:color w:val="000000"/>
                <w:sz w:val="16"/>
                <w:szCs w:val="16"/>
              </w:rPr>
              <w:t>215.4 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95BC12"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5CEA5D"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97B3F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DF33AA" w14:textId="77777777" w:rsidR="00000000" w:rsidRDefault="000A3118">
            <w:pPr>
              <w:jc w:val="right"/>
              <w:rPr>
                <w:rFonts w:eastAsia="Times New Roman"/>
              </w:rPr>
            </w:pPr>
            <w:r>
              <w:rPr>
                <w:rFonts w:eastAsia="Times New Roman"/>
                <w:color w:val="000000"/>
                <w:sz w:val="16"/>
                <w:szCs w:val="16"/>
              </w:rPr>
              <w:t>(148.2)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CDE66D" w14:textId="77777777" w:rsidR="00000000" w:rsidRDefault="000A3118">
            <w:pPr>
              <w:jc w:val="right"/>
              <w:rPr>
                <w:rFonts w:eastAsia="Times New Roman"/>
              </w:rPr>
            </w:pPr>
          </w:p>
        </w:tc>
      </w:tr>
      <w:tr w:rsidR="00000000" w14:paraId="0D820FD2" w14:textId="77777777">
        <w:trPr>
          <w:divId w:val="392973896"/>
        </w:trPr>
        <w:tc>
          <w:tcPr>
            <w:tcW w:w="0" w:type="auto"/>
            <w:gridSpan w:val="3"/>
            <w:shd w:val="clear" w:color="auto" w:fill="FFFFFF"/>
            <w:tcMar>
              <w:top w:w="30" w:type="dxa"/>
              <w:left w:w="20" w:type="dxa"/>
              <w:bottom w:w="30" w:type="dxa"/>
              <w:right w:w="20" w:type="dxa"/>
            </w:tcMar>
            <w:vAlign w:val="bottom"/>
            <w:hideMark/>
          </w:tcPr>
          <w:p w14:paraId="22AA9D8B" w14:textId="77777777" w:rsidR="00000000" w:rsidRDefault="000A3118">
            <w:pPr>
              <w:rPr>
                <w:rFonts w:eastAsia="Times New Roman"/>
              </w:rPr>
            </w:pPr>
            <w:r>
              <w:rPr>
                <w:rFonts w:eastAsia="Times New Roman"/>
                <w:color w:val="000000"/>
                <w:sz w:val="16"/>
                <w:szCs w:val="16"/>
              </w:rPr>
              <w:t>Land segment</w:t>
            </w:r>
          </w:p>
        </w:tc>
        <w:tc>
          <w:tcPr>
            <w:tcW w:w="0" w:type="auto"/>
            <w:gridSpan w:val="3"/>
            <w:shd w:val="clear" w:color="auto" w:fill="FFFFFF"/>
            <w:tcMar>
              <w:top w:w="0" w:type="dxa"/>
              <w:left w:w="20" w:type="dxa"/>
              <w:bottom w:w="0" w:type="dxa"/>
              <w:right w:w="20" w:type="dxa"/>
            </w:tcMar>
            <w:vAlign w:val="center"/>
            <w:hideMark/>
          </w:tcPr>
          <w:p w14:paraId="066A96E5" w14:textId="77777777" w:rsidR="00000000" w:rsidRDefault="000A311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2B87EA" w14:textId="77777777" w:rsidR="00000000" w:rsidRDefault="000A3118">
            <w:pPr>
              <w:jc w:val="right"/>
              <w:rPr>
                <w:rFonts w:eastAsia="Times New Roman"/>
              </w:rPr>
            </w:pPr>
            <w:r>
              <w:rPr>
                <w:rFonts w:eastAsia="Times New Roman"/>
                <w:color w:val="000000"/>
                <w:sz w:val="16"/>
                <w:szCs w:val="16"/>
              </w:rPr>
              <w:t>54.1 </w:t>
            </w:r>
          </w:p>
        </w:tc>
        <w:tc>
          <w:tcPr>
            <w:tcW w:w="0" w:type="auto"/>
            <w:shd w:val="clear" w:color="auto" w:fill="FFFFFF"/>
            <w:tcMar>
              <w:top w:w="30" w:type="dxa"/>
              <w:left w:w="0" w:type="dxa"/>
              <w:bottom w:w="30" w:type="dxa"/>
              <w:right w:w="20" w:type="dxa"/>
            </w:tcMar>
            <w:vAlign w:val="bottom"/>
            <w:hideMark/>
          </w:tcPr>
          <w:p w14:paraId="1B09E2BE"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4C587B"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EB4F22" w14:textId="77777777" w:rsidR="00000000" w:rsidRDefault="000A3118">
            <w:pPr>
              <w:jc w:val="right"/>
              <w:rPr>
                <w:rFonts w:eastAsia="Times New Roman"/>
              </w:rPr>
            </w:pPr>
            <w:r>
              <w:rPr>
                <w:rFonts w:eastAsia="Times New Roman"/>
                <w:color w:val="000000"/>
                <w:sz w:val="16"/>
                <w:szCs w:val="16"/>
              </w:rPr>
              <w:t>46.2 </w:t>
            </w:r>
          </w:p>
        </w:tc>
        <w:tc>
          <w:tcPr>
            <w:tcW w:w="0" w:type="auto"/>
            <w:shd w:val="clear" w:color="auto" w:fill="FFFFFF"/>
            <w:tcMar>
              <w:top w:w="30" w:type="dxa"/>
              <w:left w:w="0" w:type="dxa"/>
              <w:bottom w:w="30" w:type="dxa"/>
              <w:right w:w="20" w:type="dxa"/>
            </w:tcMar>
            <w:vAlign w:val="bottom"/>
            <w:hideMark/>
          </w:tcPr>
          <w:p w14:paraId="2A47AD22" w14:textId="77777777" w:rsidR="00000000" w:rsidRDefault="000A311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9CCC4" w14:textId="77777777" w:rsidR="00000000" w:rsidRDefault="000A311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145C2" w14:textId="77777777" w:rsidR="00000000" w:rsidRDefault="000A3118">
            <w:pPr>
              <w:jc w:val="right"/>
              <w:rPr>
                <w:rFonts w:eastAsia="Times New Roman"/>
              </w:rPr>
            </w:pPr>
            <w:r>
              <w:rPr>
                <w:rFonts w:eastAsia="Times New Roman"/>
                <w:color w:val="000000"/>
                <w:sz w:val="16"/>
                <w:szCs w:val="16"/>
              </w:rPr>
              <w:t>7.9 </w:t>
            </w:r>
          </w:p>
        </w:tc>
        <w:tc>
          <w:tcPr>
            <w:tcW w:w="0" w:type="auto"/>
            <w:shd w:val="clear" w:color="auto" w:fill="FFFFFF"/>
            <w:tcMar>
              <w:top w:w="30" w:type="dxa"/>
              <w:left w:w="0" w:type="dxa"/>
              <w:bottom w:w="30" w:type="dxa"/>
              <w:right w:w="20" w:type="dxa"/>
            </w:tcMar>
            <w:vAlign w:val="bottom"/>
            <w:hideMark/>
          </w:tcPr>
          <w:p w14:paraId="739DF30C" w14:textId="77777777" w:rsidR="00000000" w:rsidRDefault="000A3118">
            <w:pPr>
              <w:jc w:val="right"/>
              <w:rPr>
                <w:rFonts w:eastAsia="Times New Roman"/>
              </w:rPr>
            </w:pPr>
          </w:p>
        </w:tc>
      </w:tr>
      <w:tr w:rsidR="00000000" w14:paraId="3FF59136" w14:textId="77777777">
        <w:trPr>
          <w:divId w:val="392973896"/>
        </w:trPr>
        <w:tc>
          <w:tcPr>
            <w:tcW w:w="0" w:type="auto"/>
            <w:gridSpan w:val="3"/>
            <w:shd w:val="clear" w:color="auto" w:fill="CCEEFF"/>
            <w:tcMar>
              <w:top w:w="30" w:type="dxa"/>
              <w:left w:w="20" w:type="dxa"/>
              <w:bottom w:w="30" w:type="dxa"/>
              <w:right w:w="20" w:type="dxa"/>
            </w:tcMar>
            <w:vAlign w:val="bottom"/>
            <w:hideMark/>
          </w:tcPr>
          <w:p w14:paraId="51A59386" w14:textId="77777777" w:rsidR="00000000" w:rsidRDefault="000A3118">
            <w:pPr>
              <w:rPr>
                <w:rFonts w:eastAsia="Times New Roman"/>
              </w:rPr>
            </w:pPr>
            <w:r>
              <w:rPr>
                <w:rFonts w:eastAsia="Times New Roman"/>
                <w:color w:val="000000"/>
                <w:sz w:val="16"/>
                <w:szCs w:val="16"/>
              </w:rPr>
              <w:t>Marine Segment</w:t>
            </w:r>
          </w:p>
        </w:tc>
        <w:tc>
          <w:tcPr>
            <w:tcW w:w="0" w:type="auto"/>
            <w:gridSpan w:val="3"/>
            <w:shd w:val="clear" w:color="auto" w:fill="CCEEFF"/>
            <w:tcMar>
              <w:top w:w="0" w:type="dxa"/>
              <w:left w:w="20" w:type="dxa"/>
              <w:bottom w:w="0" w:type="dxa"/>
              <w:right w:w="20" w:type="dxa"/>
            </w:tcMar>
            <w:vAlign w:val="center"/>
            <w:hideMark/>
          </w:tcPr>
          <w:p w14:paraId="58196A46"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0EDD2A" w14:textId="77777777" w:rsidR="00000000" w:rsidRDefault="000A3118">
            <w:pPr>
              <w:jc w:val="right"/>
              <w:rPr>
                <w:rFonts w:eastAsia="Times New Roman"/>
              </w:rPr>
            </w:pPr>
            <w:r>
              <w:rPr>
                <w:rFonts w:eastAsia="Times New Roman"/>
                <w:color w:val="000000"/>
                <w:sz w:val="16"/>
                <w:szCs w:val="16"/>
              </w:rPr>
              <w:t>55.4 </w:t>
            </w:r>
          </w:p>
        </w:tc>
        <w:tc>
          <w:tcPr>
            <w:tcW w:w="0" w:type="auto"/>
            <w:shd w:val="clear" w:color="auto" w:fill="CCEEFF"/>
            <w:tcMar>
              <w:top w:w="30" w:type="dxa"/>
              <w:left w:w="0" w:type="dxa"/>
              <w:bottom w:w="30" w:type="dxa"/>
              <w:right w:w="20" w:type="dxa"/>
            </w:tcMar>
            <w:vAlign w:val="bottom"/>
            <w:hideMark/>
          </w:tcPr>
          <w:p w14:paraId="6F477703"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D975E"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94AC91" w14:textId="77777777" w:rsidR="00000000" w:rsidRDefault="000A3118">
            <w:pPr>
              <w:jc w:val="right"/>
              <w:rPr>
                <w:rFonts w:eastAsia="Times New Roman"/>
              </w:rPr>
            </w:pPr>
            <w:r>
              <w:rPr>
                <w:rFonts w:eastAsia="Times New Roman"/>
                <w:color w:val="000000"/>
                <w:sz w:val="16"/>
                <w:szCs w:val="16"/>
              </w:rPr>
              <w:t>44.2 </w:t>
            </w:r>
          </w:p>
        </w:tc>
        <w:tc>
          <w:tcPr>
            <w:tcW w:w="0" w:type="auto"/>
            <w:shd w:val="clear" w:color="auto" w:fill="CCEEFF"/>
            <w:tcMar>
              <w:top w:w="30" w:type="dxa"/>
              <w:left w:w="0" w:type="dxa"/>
              <w:bottom w:w="30" w:type="dxa"/>
              <w:right w:w="20" w:type="dxa"/>
            </w:tcMar>
            <w:vAlign w:val="bottom"/>
            <w:hideMark/>
          </w:tcPr>
          <w:p w14:paraId="43AD1217"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BC6E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2AA838" w14:textId="77777777" w:rsidR="00000000" w:rsidRDefault="000A3118">
            <w:pPr>
              <w:jc w:val="right"/>
              <w:rPr>
                <w:rFonts w:eastAsia="Times New Roman"/>
              </w:rPr>
            </w:pPr>
            <w:r>
              <w:rPr>
                <w:rFonts w:eastAsia="Times New Roman"/>
                <w:color w:val="000000"/>
                <w:sz w:val="16"/>
                <w:szCs w:val="16"/>
              </w:rPr>
              <w:t>11.2 </w:t>
            </w:r>
          </w:p>
        </w:tc>
        <w:tc>
          <w:tcPr>
            <w:tcW w:w="0" w:type="auto"/>
            <w:shd w:val="clear" w:color="auto" w:fill="CCEEFF"/>
            <w:tcMar>
              <w:top w:w="30" w:type="dxa"/>
              <w:left w:w="0" w:type="dxa"/>
              <w:bottom w:w="30" w:type="dxa"/>
              <w:right w:w="20" w:type="dxa"/>
            </w:tcMar>
            <w:vAlign w:val="bottom"/>
            <w:hideMark/>
          </w:tcPr>
          <w:p w14:paraId="6F84426F" w14:textId="77777777" w:rsidR="00000000" w:rsidRDefault="000A3118">
            <w:pPr>
              <w:jc w:val="right"/>
              <w:rPr>
                <w:rFonts w:eastAsia="Times New Roman"/>
              </w:rPr>
            </w:pPr>
          </w:p>
        </w:tc>
      </w:tr>
      <w:tr w:rsidR="00000000" w14:paraId="79B51D2A" w14:textId="77777777">
        <w:trPr>
          <w:divId w:val="392973896"/>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AD0AC3E" w14:textId="77777777" w:rsidR="00000000" w:rsidRDefault="000A3118">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6CA861" w14:textId="77777777" w:rsidR="00000000" w:rsidRDefault="000A3118">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84739E" w14:textId="77777777" w:rsidR="00000000" w:rsidRDefault="000A3118">
            <w:pPr>
              <w:jc w:val="right"/>
              <w:rPr>
                <w:rFonts w:eastAsia="Times New Roman"/>
              </w:rPr>
            </w:pPr>
            <w:r>
              <w:rPr>
                <w:rFonts w:eastAsia="Times New Roman"/>
                <w:color w:val="000000"/>
                <w:sz w:val="16"/>
                <w:szCs w:val="16"/>
              </w:rPr>
              <w:t>176.8 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546132"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218B1C"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E2AA1B" w14:textId="77777777" w:rsidR="00000000" w:rsidRDefault="000A3118">
            <w:pPr>
              <w:jc w:val="right"/>
              <w:rPr>
                <w:rFonts w:eastAsia="Times New Roman"/>
              </w:rPr>
            </w:pPr>
            <w:r>
              <w:rPr>
                <w:rFonts w:eastAsia="Times New Roman"/>
                <w:color w:val="000000"/>
                <w:sz w:val="16"/>
                <w:szCs w:val="16"/>
              </w:rPr>
              <w:t>305.9 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A4AE18" w14:textId="77777777" w:rsidR="00000000" w:rsidRDefault="000A311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8B791DB"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634ECF" w14:textId="77777777" w:rsidR="00000000" w:rsidRDefault="000A3118">
            <w:pPr>
              <w:jc w:val="right"/>
              <w:rPr>
                <w:rFonts w:eastAsia="Times New Roman"/>
              </w:rPr>
            </w:pPr>
            <w:r>
              <w:rPr>
                <w:rFonts w:eastAsia="Times New Roman"/>
                <w:color w:val="000000"/>
                <w:sz w:val="16"/>
                <w:szCs w:val="16"/>
              </w:rPr>
              <w:t>(129.1)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D32EBF" w14:textId="77777777" w:rsidR="00000000" w:rsidRDefault="000A3118">
            <w:pPr>
              <w:jc w:val="right"/>
              <w:rPr>
                <w:rFonts w:eastAsia="Times New Roman"/>
              </w:rPr>
            </w:pPr>
          </w:p>
        </w:tc>
      </w:tr>
      <w:tr w:rsidR="00000000" w14:paraId="5FD253BF" w14:textId="77777777">
        <w:trPr>
          <w:divId w:val="392973896"/>
        </w:trPr>
        <w:tc>
          <w:tcPr>
            <w:tcW w:w="0" w:type="auto"/>
            <w:gridSpan w:val="3"/>
            <w:shd w:val="clear" w:color="auto" w:fill="CCEEFF"/>
            <w:tcMar>
              <w:top w:w="30" w:type="dxa"/>
              <w:left w:w="20" w:type="dxa"/>
              <w:bottom w:w="30" w:type="dxa"/>
              <w:right w:w="20" w:type="dxa"/>
            </w:tcMar>
            <w:vAlign w:val="bottom"/>
            <w:hideMark/>
          </w:tcPr>
          <w:p w14:paraId="342CD4E9" w14:textId="77777777" w:rsidR="00000000" w:rsidRDefault="000A3118">
            <w:pPr>
              <w:rPr>
                <w:rFonts w:eastAsia="Times New Roman"/>
              </w:rPr>
            </w:pPr>
            <w:r>
              <w:rPr>
                <w:rFonts w:eastAsia="Times New Roman"/>
                <w:color w:val="000000"/>
                <w:sz w:val="16"/>
                <w:szCs w:val="16"/>
              </w:rPr>
              <w:t>Corporate overhead - unallocated</w:t>
            </w:r>
          </w:p>
        </w:tc>
        <w:tc>
          <w:tcPr>
            <w:tcW w:w="0" w:type="auto"/>
            <w:gridSpan w:val="3"/>
            <w:shd w:val="clear" w:color="auto" w:fill="CCEEFF"/>
            <w:tcMar>
              <w:top w:w="0" w:type="dxa"/>
              <w:left w:w="20" w:type="dxa"/>
              <w:bottom w:w="0" w:type="dxa"/>
              <w:right w:w="20" w:type="dxa"/>
            </w:tcMar>
            <w:vAlign w:val="center"/>
            <w:hideMark/>
          </w:tcPr>
          <w:p w14:paraId="36F0C3D7"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95D6BD" w14:textId="77777777" w:rsidR="00000000" w:rsidRDefault="000A3118">
            <w:pPr>
              <w:jc w:val="right"/>
              <w:rPr>
                <w:rFonts w:eastAsia="Times New Roman"/>
              </w:rPr>
            </w:pPr>
            <w:r>
              <w:rPr>
                <w:rFonts w:eastAsia="Times New Roman"/>
                <w:color w:val="000000"/>
                <w:sz w:val="16"/>
                <w:szCs w:val="16"/>
              </w:rPr>
              <w:t>(55.3)</w:t>
            </w:r>
          </w:p>
        </w:tc>
        <w:tc>
          <w:tcPr>
            <w:tcW w:w="0" w:type="auto"/>
            <w:shd w:val="clear" w:color="auto" w:fill="CCEEFF"/>
            <w:tcMar>
              <w:top w:w="30" w:type="dxa"/>
              <w:left w:w="0" w:type="dxa"/>
              <w:bottom w:w="30" w:type="dxa"/>
              <w:right w:w="20" w:type="dxa"/>
            </w:tcMar>
            <w:vAlign w:val="bottom"/>
            <w:hideMark/>
          </w:tcPr>
          <w:p w14:paraId="085BDD04"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A9973"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1DB70E" w14:textId="77777777" w:rsidR="00000000" w:rsidRDefault="000A3118">
            <w:pPr>
              <w:jc w:val="right"/>
              <w:rPr>
                <w:rFonts w:eastAsia="Times New Roman"/>
              </w:rPr>
            </w:pPr>
            <w:r>
              <w:rPr>
                <w:rFonts w:eastAsia="Times New Roman"/>
                <w:color w:val="000000"/>
                <w:sz w:val="16"/>
                <w:szCs w:val="16"/>
              </w:rPr>
              <w:t>(66.7)</w:t>
            </w:r>
          </w:p>
        </w:tc>
        <w:tc>
          <w:tcPr>
            <w:tcW w:w="0" w:type="auto"/>
            <w:shd w:val="clear" w:color="auto" w:fill="CCEEFF"/>
            <w:tcMar>
              <w:top w:w="30" w:type="dxa"/>
              <w:left w:w="0" w:type="dxa"/>
              <w:bottom w:w="30" w:type="dxa"/>
              <w:right w:w="20" w:type="dxa"/>
            </w:tcMar>
            <w:vAlign w:val="bottom"/>
            <w:hideMark/>
          </w:tcPr>
          <w:p w14:paraId="45046B9A"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A0D2C7"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C30259" w14:textId="77777777" w:rsidR="00000000" w:rsidRDefault="000A3118">
            <w:pPr>
              <w:jc w:val="right"/>
              <w:rPr>
                <w:rFonts w:eastAsia="Times New Roman"/>
              </w:rPr>
            </w:pPr>
            <w:r>
              <w:rPr>
                <w:rFonts w:eastAsia="Times New Roman"/>
                <w:color w:val="000000"/>
                <w:sz w:val="16"/>
                <w:szCs w:val="16"/>
              </w:rPr>
              <w:t>11.3 </w:t>
            </w:r>
          </w:p>
        </w:tc>
        <w:tc>
          <w:tcPr>
            <w:tcW w:w="0" w:type="auto"/>
            <w:shd w:val="clear" w:color="auto" w:fill="CCEEFF"/>
            <w:tcMar>
              <w:top w:w="30" w:type="dxa"/>
              <w:left w:w="0" w:type="dxa"/>
              <w:bottom w:w="30" w:type="dxa"/>
              <w:right w:w="20" w:type="dxa"/>
            </w:tcMar>
            <w:vAlign w:val="bottom"/>
            <w:hideMark/>
          </w:tcPr>
          <w:p w14:paraId="753DD2F1" w14:textId="77777777" w:rsidR="00000000" w:rsidRDefault="000A3118">
            <w:pPr>
              <w:jc w:val="right"/>
              <w:rPr>
                <w:rFonts w:eastAsia="Times New Roman"/>
              </w:rPr>
            </w:pPr>
          </w:p>
        </w:tc>
      </w:tr>
      <w:tr w:rsidR="00000000" w14:paraId="52BC47FF" w14:textId="77777777">
        <w:trPr>
          <w:divId w:val="392973896"/>
        </w:trPr>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22E3AB51" w14:textId="77777777" w:rsidR="00000000" w:rsidRDefault="000A3118">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3300F9B" w14:textId="77777777" w:rsidR="00000000" w:rsidRDefault="000A311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D3643B"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B90ABF" w14:textId="77777777" w:rsidR="00000000" w:rsidRDefault="000A3118">
            <w:pPr>
              <w:jc w:val="right"/>
              <w:rPr>
                <w:rFonts w:eastAsia="Times New Roman"/>
              </w:rPr>
            </w:pPr>
            <w:r>
              <w:rPr>
                <w:rFonts w:eastAsia="Times New Roman"/>
                <w:color w:val="000000"/>
                <w:sz w:val="16"/>
                <w:szCs w:val="16"/>
              </w:rPr>
              <w:t>121.5 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DDF6AA"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504C90DA"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5DE4C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1E30C8" w14:textId="77777777" w:rsidR="00000000" w:rsidRDefault="000A3118">
            <w:pPr>
              <w:jc w:val="right"/>
              <w:rPr>
                <w:rFonts w:eastAsia="Times New Roman"/>
              </w:rPr>
            </w:pPr>
            <w:r>
              <w:rPr>
                <w:rFonts w:eastAsia="Times New Roman"/>
                <w:color w:val="000000"/>
                <w:sz w:val="16"/>
                <w:szCs w:val="16"/>
              </w:rPr>
              <w:t>239.2 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4252FB"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14:paraId="1176375C"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368588"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ADACB0" w14:textId="77777777" w:rsidR="00000000" w:rsidRDefault="000A3118">
            <w:pPr>
              <w:jc w:val="right"/>
              <w:rPr>
                <w:rFonts w:eastAsia="Times New Roman"/>
              </w:rPr>
            </w:pPr>
            <w:r>
              <w:rPr>
                <w:rFonts w:eastAsia="Times New Roman"/>
                <w:color w:val="000000"/>
                <w:sz w:val="16"/>
                <w:szCs w:val="16"/>
              </w:rPr>
              <w:t>(117.7)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C6C68F" w14:textId="77777777" w:rsidR="00000000" w:rsidRDefault="000A3118">
            <w:pPr>
              <w:jc w:val="right"/>
              <w:rPr>
                <w:rFonts w:eastAsia="Times New Roman"/>
              </w:rPr>
            </w:pPr>
          </w:p>
        </w:tc>
      </w:tr>
    </w:tbl>
    <w:p w14:paraId="1C22D8A2" w14:textId="77777777" w:rsidR="00000000" w:rsidRDefault="000A3118">
      <w:pPr>
        <w:ind w:firstLine="270"/>
        <w:jc w:val="both"/>
        <w:rPr>
          <w:rFonts w:eastAsia="Times New Roman"/>
        </w:rPr>
      </w:pPr>
      <w:r>
        <w:rPr>
          <w:rFonts w:eastAsia="Times New Roman"/>
          <w:color w:val="000000"/>
          <w:sz w:val="20"/>
          <w:szCs w:val="20"/>
        </w:rPr>
        <w:t> </w:t>
      </w:r>
    </w:p>
    <w:p w14:paraId="7FDD6DE7" w14:textId="77777777" w:rsidR="00000000" w:rsidRDefault="000A3118">
      <w:pPr>
        <w:ind w:firstLine="270"/>
        <w:jc w:val="both"/>
        <w:rPr>
          <w:rFonts w:eastAsia="Times New Roman"/>
        </w:rPr>
      </w:pPr>
      <w:r>
        <w:rPr>
          <w:rFonts w:eastAsia="Times New Roman"/>
          <w:color w:val="000000"/>
          <w:sz w:val="20"/>
          <w:szCs w:val="20"/>
        </w:rPr>
        <w:t>Our income from operations for the first nine months of 2020 was $121.5 million, a decrease of $117.7 million, or 49%, as compared to the</w:t>
      </w:r>
      <w:r>
        <w:rPr>
          <w:rFonts w:eastAsia="Times New Roman"/>
          <w:color w:val="000000"/>
          <w:sz w:val="20"/>
          <w:szCs w:val="20"/>
        </w:rPr>
        <w:t xml:space="preserve"> first nine months of 2019.  The decrease was primarily attributable to our aviation segment. </w:t>
      </w:r>
    </w:p>
    <w:p w14:paraId="6CCE39D1" w14:textId="77777777" w:rsidR="00000000" w:rsidRDefault="000A3118">
      <w:pPr>
        <w:ind w:firstLine="270"/>
        <w:jc w:val="both"/>
        <w:rPr>
          <w:rFonts w:eastAsia="Times New Roman"/>
        </w:rPr>
      </w:pPr>
    </w:p>
    <w:p w14:paraId="3E8CED5A" w14:textId="77777777" w:rsidR="00000000" w:rsidRDefault="000A3118">
      <w:pPr>
        <w:ind w:firstLine="270"/>
        <w:jc w:val="both"/>
        <w:rPr>
          <w:rFonts w:eastAsia="Times New Roman"/>
        </w:rPr>
      </w:pPr>
      <w:r>
        <w:rPr>
          <w:rFonts w:eastAsia="Times New Roman"/>
          <w:color w:val="000000"/>
          <w:sz w:val="20"/>
          <w:szCs w:val="20"/>
        </w:rPr>
        <w:t>Our aviation segment income from operations for the first nine months of 2020 was $67.3 million, a decrease of $148.2 million, as compared to the first nine months of 2019. Aviation operating income for the first nine months of 2020 was principally impacte</w:t>
      </w:r>
      <w:r>
        <w:rPr>
          <w:rFonts w:eastAsia="Times New Roman"/>
          <w:color w:val="000000"/>
          <w:sz w:val="20"/>
          <w:szCs w:val="20"/>
        </w:rPr>
        <w:t xml:space="preserve">d by lower volumes and the correspondingly reduced profit contribution as a consequence of the significant decline in air travel due to the COVID-19 pandemic, as well as a reduction in government-related activity in Afghanistan. Aviation segment operating </w:t>
      </w:r>
      <w:r>
        <w:rPr>
          <w:rFonts w:eastAsia="Times New Roman"/>
          <w:color w:val="000000"/>
          <w:sz w:val="20"/>
          <w:szCs w:val="20"/>
        </w:rPr>
        <w:t>income also decreased during the first nine months of 2020 as compared to 2019 due to increased expenses resulting from a materially higher bad debt expense because of the impact of the pandemic on the aviation industry, as well as the global office footpr</w:t>
      </w:r>
      <w:r>
        <w:rPr>
          <w:rFonts w:eastAsia="Times New Roman"/>
          <w:color w:val="000000"/>
          <w:sz w:val="20"/>
          <w:szCs w:val="20"/>
        </w:rPr>
        <w:t>int rationalization impairment charge.</w:t>
      </w:r>
    </w:p>
    <w:p w14:paraId="3F7A7B39" w14:textId="77777777" w:rsidR="00000000" w:rsidRDefault="000A3118">
      <w:pPr>
        <w:ind w:firstLine="360"/>
        <w:jc w:val="both"/>
        <w:rPr>
          <w:rFonts w:eastAsia="Times New Roman"/>
        </w:rPr>
      </w:pPr>
    </w:p>
    <w:p w14:paraId="58D61844" w14:textId="77777777" w:rsidR="00000000" w:rsidRDefault="000A3118">
      <w:pPr>
        <w:divId w:val="1208253632"/>
        <w:rPr>
          <w:rFonts w:eastAsia="Times New Roman"/>
        </w:rPr>
      </w:pPr>
    </w:p>
    <w:p w14:paraId="286DCB63" w14:textId="77777777" w:rsidR="00000000" w:rsidRDefault="000A3118">
      <w:pPr>
        <w:rPr>
          <w:rFonts w:eastAsia="Times New Roman"/>
        </w:rPr>
      </w:pPr>
      <w:r>
        <w:rPr>
          <w:rFonts w:eastAsia="Times New Roman"/>
        </w:rPr>
        <w:pict w14:anchorId="02A295D5">
          <v:rect id="_x0000_i1062" style="width:0;height:1.5pt" o:hralign="center" o:hrstd="t" o:hr="t" fillcolor="#a0a0a0" stroked="f"/>
        </w:pict>
      </w:r>
    </w:p>
    <w:p w14:paraId="172050E9" w14:textId="77777777" w:rsidR="00000000" w:rsidRDefault="000A3118">
      <w:pPr>
        <w:divId w:val="1774547624"/>
        <w:rPr>
          <w:rFonts w:eastAsia="Times New Roman"/>
        </w:rPr>
      </w:pPr>
    </w:p>
    <w:p w14:paraId="4DCCBA1C" w14:textId="77777777" w:rsidR="00000000" w:rsidRDefault="000A3118">
      <w:pPr>
        <w:ind w:firstLine="270"/>
        <w:jc w:val="both"/>
        <w:rPr>
          <w:rFonts w:eastAsia="Times New Roman"/>
        </w:rPr>
      </w:pPr>
      <w:r>
        <w:rPr>
          <w:rFonts w:eastAsia="Times New Roman"/>
          <w:color w:val="000000"/>
          <w:sz w:val="20"/>
          <w:szCs w:val="20"/>
        </w:rPr>
        <w:t>Our land segment income from operations for the first nine months of 2020 was $54.1 million, an increase of $7.9 million, as compared to the first nine months of 2019. Within</w:t>
      </w:r>
      <w:r>
        <w:rPr>
          <w:rFonts w:eastAsia="Times New Roman"/>
          <w:color w:val="000000"/>
          <w:sz w:val="20"/>
          <w:szCs w:val="20"/>
        </w:rPr>
        <w:t xml:space="preserve"> our land segment, we experienced higher profitability primarily attributable to improved performance in the U.K. together with growth in our World Kinect Energy Services, our global energy management brand, offset by lower volumes as a result of the pande</w:t>
      </w:r>
      <w:r>
        <w:rPr>
          <w:rFonts w:eastAsia="Times New Roman"/>
          <w:color w:val="000000"/>
          <w:sz w:val="20"/>
          <w:szCs w:val="20"/>
        </w:rPr>
        <w:t>mic, particularly in our retail, commercial and industrial activities in North America, as well as a decrease in our government-related activities in Afghanistan. Land segment operating income also benefited from a reduction in compensation costs and gener</w:t>
      </w:r>
      <w:r>
        <w:rPr>
          <w:rFonts w:eastAsia="Times New Roman"/>
          <w:color w:val="000000"/>
          <w:sz w:val="20"/>
          <w:szCs w:val="20"/>
        </w:rPr>
        <w:t xml:space="preserve">al and administrative expenses, partly offset by the global office footprint rationalization impairment charge. </w:t>
      </w:r>
    </w:p>
    <w:p w14:paraId="420C983E" w14:textId="77777777" w:rsidR="00000000" w:rsidRDefault="000A3118">
      <w:pPr>
        <w:ind w:firstLine="270"/>
        <w:jc w:val="both"/>
        <w:rPr>
          <w:rFonts w:eastAsia="Times New Roman"/>
        </w:rPr>
      </w:pPr>
    </w:p>
    <w:p w14:paraId="783954B7" w14:textId="77777777" w:rsidR="00000000" w:rsidRDefault="000A3118">
      <w:pPr>
        <w:ind w:firstLine="270"/>
        <w:jc w:val="both"/>
        <w:rPr>
          <w:rFonts w:eastAsia="Times New Roman"/>
        </w:rPr>
      </w:pPr>
      <w:r>
        <w:rPr>
          <w:rFonts w:eastAsia="Times New Roman"/>
          <w:color w:val="000000"/>
          <w:sz w:val="20"/>
          <w:szCs w:val="20"/>
        </w:rPr>
        <w:t>Our marine segment income from operations for the first nine months of 2020 was $55.4 million, an increase of $11.2 million, compared to 2019</w:t>
      </w:r>
      <w:r>
        <w:rPr>
          <w:rFonts w:eastAsia="Times New Roman"/>
          <w:color w:val="000000"/>
          <w:sz w:val="20"/>
          <w:szCs w:val="20"/>
        </w:rPr>
        <w:t xml:space="preserve">. The increase in marine segment operating income was partly related to higher profitability in our core resale business, principally driven by higher fuel prices during the first two months of 2020 resulting from the shift to very low sulfur fuel oil, as </w:t>
      </w:r>
      <w:r>
        <w:rPr>
          <w:rFonts w:eastAsia="Times New Roman"/>
          <w:color w:val="000000"/>
          <w:sz w:val="20"/>
          <w:szCs w:val="20"/>
        </w:rPr>
        <w:t>mandated by the IMO 2020 regulations that took effect on January 1, 2020. Lower compensation expense also contributed to the increase in income from operations during the first nine months of 2020 as compared to 2019. The increase in profitability was part</w:t>
      </w:r>
      <w:r>
        <w:rPr>
          <w:rFonts w:eastAsia="Times New Roman"/>
          <w:color w:val="000000"/>
          <w:sz w:val="20"/>
          <w:szCs w:val="20"/>
        </w:rPr>
        <w:t>ially offset by the global office footprint rationalization impairment charge, as well as a higher provision for bad debt as compared to 2019.</w:t>
      </w:r>
    </w:p>
    <w:p w14:paraId="4A73FAA6" w14:textId="77777777" w:rsidR="00000000" w:rsidRDefault="000A3118">
      <w:pPr>
        <w:ind w:firstLine="360"/>
        <w:jc w:val="both"/>
        <w:rPr>
          <w:rFonts w:eastAsia="Times New Roman"/>
        </w:rPr>
      </w:pPr>
    </w:p>
    <w:p w14:paraId="5E638A0B" w14:textId="77777777" w:rsidR="00000000" w:rsidRDefault="000A3118">
      <w:pPr>
        <w:ind w:firstLine="270"/>
        <w:jc w:val="both"/>
        <w:rPr>
          <w:rFonts w:eastAsia="Times New Roman"/>
        </w:rPr>
      </w:pPr>
      <w:r>
        <w:rPr>
          <w:rFonts w:eastAsia="Times New Roman"/>
          <w:color w:val="000000"/>
          <w:sz w:val="20"/>
          <w:szCs w:val="20"/>
        </w:rPr>
        <w:t>Corporate overhead costs not charged to the business segments for the first nine months of 2020 were $55.3 mill</w:t>
      </w:r>
      <w:r>
        <w:rPr>
          <w:rFonts w:eastAsia="Times New Roman"/>
          <w:color w:val="000000"/>
          <w:sz w:val="20"/>
          <w:szCs w:val="20"/>
        </w:rPr>
        <w:t>ion, a decrease of $11.3 million, or 17%, as compared to the first nine months of 2019, primarily attributable to a reduction in compensation costs.</w:t>
      </w:r>
    </w:p>
    <w:p w14:paraId="2BB3BCBC" w14:textId="77777777" w:rsidR="00000000" w:rsidRDefault="000A3118">
      <w:pPr>
        <w:ind w:firstLine="270"/>
        <w:jc w:val="both"/>
        <w:rPr>
          <w:rFonts w:eastAsia="Times New Roman"/>
        </w:rPr>
      </w:pPr>
      <w:r>
        <w:rPr>
          <w:rFonts w:eastAsia="Times New Roman"/>
          <w:color w:val="000000"/>
          <w:sz w:val="20"/>
          <w:szCs w:val="20"/>
        </w:rPr>
        <w:t> </w:t>
      </w:r>
    </w:p>
    <w:p w14:paraId="295C51FD" w14:textId="77777777" w:rsidR="00000000" w:rsidRDefault="000A3118">
      <w:pPr>
        <w:ind w:firstLine="270"/>
        <w:jc w:val="both"/>
        <w:rPr>
          <w:rFonts w:eastAsia="Times New Roman"/>
        </w:rPr>
      </w:pPr>
      <w:r>
        <w:rPr>
          <w:rFonts w:eastAsia="Times New Roman"/>
          <w:i/>
          <w:iCs/>
          <w:color w:val="000000"/>
          <w:sz w:val="20"/>
          <w:szCs w:val="20"/>
        </w:rPr>
        <w:t>Non-Operating Income (Expenses), net.</w:t>
      </w:r>
      <w:r>
        <w:rPr>
          <w:rFonts w:eastAsia="Times New Roman"/>
          <w:color w:val="000000"/>
          <w:sz w:val="20"/>
          <w:szCs w:val="20"/>
        </w:rPr>
        <w:t> For the first nine months of 2020, we had non-operating income of $</w:t>
      </w:r>
      <w:r>
        <w:rPr>
          <w:rFonts w:eastAsia="Times New Roman"/>
          <w:color w:val="000000"/>
          <w:sz w:val="20"/>
          <w:szCs w:val="20"/>
        </w:rPr>
        <w:t xml:space="preserve">41.0 million, compared to a non-operating expense of $59.4 million the first nine months of 2019. The positive variance was principally driven by a gain on the sale of our Multi Service payment solutions business of $80.0 million as well as a reduction in </w:t>
      </w:r>
      <w:r>
        <w:rPr>
          <w:rFonts w:eastAsia="Times New Roman"/>
          <w:color w:val="000000"/>
          <w:sz w:val="20"/>
          <w:szCs w:val="20"/>
        </w:rPr>
        <w:t>interest expense, and lower fees associated with our receivable purchase programs</w:t>
      </w:r>
    </w:p>
    <w:p w14:paraId="55C21AA5" w14:textId="77777777" w:rsidR="00000000" w:rsidRDefault="000A3118">
      <w:pPr>
        <w:ind w:firstLine="270"/>
        <w:jc w:val="both"/>
        <w:rPr>
          <w:rFonts w:eastAsia="Times New Roman"/>
        </w:rPr>
      </w:pPr>
    </w:p>
    <w:p w14:paraId="12850D93" w14:textId="77777777" w:rsidR="00000000" w:rsidRDefault="000A3118">
      <w:pPr>
        <w:ind w:firstLine="270"/>
        <w:jc w:val="both"/>
        <w:rPr>
          <w:rFonts w:eastAsia="Times New Roman"/>
        </w:rPr>
      </w:pPr>
      <w:r>
        <w:rPr>
          <w:rFonts w:eastAsia="Times New Roman"/>
          <w:i/>
          <w:iCs/>
          <w:color w:val="000000"/>
          <w:sz w:val="20"/>
          <w:szCs w:val="20"/>
        </w:rPr>
        <w:t>Income Taxes</w:t>
      </w:r>
      <w:r>
        <w:rPr>
          <w:rFonts w:eastAsia="Times New Roman"/>
          <w:color w:val="000000"/>
          <w:sz w:val="20"/>
          <w:szCs w:val="20"/>
        </w:rPr>
        <w:t>.  For the first nine months of 2020, our income tax provision was $49.0 million and our effective income tax rate was 30%, as compared to an income tax provisi</w:t>
      </w:r>
      <w:r>
        <w:rPr>
          <w:rFonts w:eastAsia="Times New Roman"/>
          <w:color w:val="000000"/>
          <w:sz w:val="20"/>
          <w:szCs w:val="20"/>
        </w:rPr>
        <w:t>on of $55.5 million and an effective income tax rate of 31% for the first nine months of 2019. The lower tax provision was principally a result of our reduced worldwide income and its jurisdictional mix offset by the net impact of the sale of the Multi Ser</w:t>
      </w:r>
      <w:r>
        <w:rPr>
          <w:rFonts w:eastAsia="Times New Roman"/>
          <w:color w:val="000000"/>
          <w:sz w:val="20"/>
          <w:szCs w:val="20"/>
        </w:rPr>
        <w:t>vice payment solutions business and an increase in other discrete tax items. See Note 8. Income Taxes within this 10-Q Report for additional information.</w:t>
      </w:r>
    </w:p>
    <w:p w14:paraId="15668DE2" w14:textId="77777777" w:rsidR="00000000" w:rsidRDefault="000A3118">
      <w:pPr>
        <w:ind w:firstLine="270"/>
        <w:jc w:val="both"/>
        <w:rPr>
          <w:rFonts w:eastAsia="Times New Roman"/>
        </w:rPr>
      </w:pPr>
    </w:p>
    <w:p w14:paraId="1A5DC389" w14:textId="77777777" w:rsidR="00000000" w:rsidRDefault="000A3118">
      <w:pPr>
        <w:ind w:firstLine="270"/>
        <w:jc w:val="both"/>
        <w:rPr>
          <w:rFonts w:eastAsia="Times New Roman"/>
        </w:rPr>
      </w:pPr>
      <w:r>
        <w:rPr>
          <w:rFonts w:eastAsia="Times New Roman"/>
          <w:i/>
          <w:iCs/>
          <w:color w:val="000000"/>
          <w:sz w:val="20"/>
          <w:szCs w:val="20"/>
        </w:rPr>
        <w:t>Net Income Attributable to Noncontrolling Interest</w:t>
      </w:r>
      <w:r>
        <w:rPr>
          <w:rFonts w:eastAsia="Times New Roman"/>
          <w:color w:val="000000"/>
          <w:sz w:val="20"/>
          <w:szCs w:val="20"/>
        </w:rPr>
        <w:t>.  For the first nine months of 2020, net income a</w:t>
      </w:r>
      <w:r>
        <w:rPr>
          <w:rFonts w:eastAsia="Times New Roman"/>
          <w:color w:val="000000"/>
          <w:sz w:val="20"/>
          <w:szCs w:val="20"/>
        </w:rPr>
        <w:t>ttributable to noncontrolling interest was $0.2 million, compared to net income of $1.9 million for the first nine months of 2019.</w:t>
      </w:r>
    </w:p>
    <w:p w14:paraId="1A232D99" w14:textId="77777777" w:rsidR="00000000" w:rsidRDefault="000A3118">
      <w:pPr>
        <w:ind w:firstLine="270"/>
        <w:jc w:val="both"/>
        <w:rPr>
          <w:rFonts w:eastAsia="Times New Roman"/>
        </w:rPr>
      </w:pPr>
    </w:p>
    <w:p w14:paraId="5298FD5B" w14:textId="77777777" w:rsidR="00000000" w:rsidRDefault="000A3118">
      <w:pPr>
        <w:ind w:firstLine="270"/>
        <w:jc w:val="both"/>
        <w:rPr>
          <w:rFonts w:eastAsia="Times New Roman"/>
        </w:rPr>
      </w:pPr>
      <w:r>
        <w:rPr>
          <w:rFonts w:eastAsia="Times New Roman"/>
          <w:i/>
          <w:iCs/>
          <w:color w:val="000000"/>
          <w:sz w:val="20"/>
          <w:szCs w:val="20"/>
        </w:rPr>
        <w:t>Net Income Attributable to World Fuel and Diluted Earnings per Common Share</w:t>
      </w:r>
      <w:r>
        <w:rPr>
          <w:rFonts w:eastAsia="Times New Roman"/>
          <w:color w:val="000000"/>
          <w:sz w:val="20"/>
          <w:szCs w:val="20"/>
        </w:rPr>
        <w:t>.  For the first nine months of 2020, we had a n</w:t>
      </w:r>
      <w:r>
        <w:rPr>
          <w:rFonts w:eastAsia="Times New Roman"/>
          <w:color w:val="000000"/>
          <w:sz w:val="20"/>
          <w:szCs w:val="20"/>
        </w:rPr>
        <w:t xml:space="preserve">et income of $113.1 million and diluted earnings per common share of $1.76 as compared to net income of $122.4 million and diluted earnings per common share of $1.84 for the first nine months of 2019. </w:t>
      </w:r>
    </w:p>
    <w:p w14:paraId="523C5D6E" w14:textId="77777777" w:rsidR="00000000" w:rsidRDefault="000A3118">
      <w:pPr>
        <w:divId w:val="156699361"/>
        <w:rPr>
          <w:rFonts w:eastAsia="Times New Roman"/>
        </w:rPr>
      </w:pPr>
    </w:p>
    <w:p w14:paraId="70D928D6" w14:textId="77777777" w:rsidR="00000000" w:rsidRDefault="000A3118">
      <w:pPr>
        <w:divId w:val="1910845198"/>
        <w:rPr>
          <w:rFonts w:eastAsia="Times New Roman"/>
        </w:rPr>
      </w:pPr>
    </w:p>
    <w:p w14:paraId="56009ED0" w14:textId="77777777" w:rsidR="00000000" w:rsidRDefault="000A3118">
      <w:pPr>
        <w:rPr>
          <w:rFonts w:eastAsia="Times New Roman"/>
        </w:rPr>
      </w:pPr>
      <w:r>
        <w:rPr>
          <w:rFonts w:eastAsia="Times New Roman"/>
        </w:rPr>
        <w:pict w14:anchorId="325ACA59">
          <v:rect id="_x0000_i1063" style="width:0;height:1.5pt" o:hralign="center" o:hrstd="t" o:hr="t" fillcolor="#a0a0a0" stroked="f"/>
        </w:pict>
      </w:r>
    </w:p>
    <w:p w14:paraId="70D9822D" w14:textId="77777777" w:rsidR="00000000" w:rsidRDefault="000A3118">
      <w:pPr>
        <w:divId w:val="1751850312"/>
        <w:rPr>
          <w:rFonts w:eastAsia="Times New Roman"/>
        </w:rPr>
      </w:pPr>
    </w:p>
    <w:p w14:paraId="6363F8C6" w14:textId="77777777" w:rsidR="00000000" w:rsidRDefault="000A3118">
      <w:pPr>
        <w:ind w:firstLine="360"/>
        <w:divId w:val="846360892"/>
        <w:rPr>
          <w:rFonts w:eastAsia="Times New Roman"/>
        </w:rPr>
      </w:pPr>
      <w:r>
        <w:rPr>
          <w:rFonts w:eastAsia="Times New Roman"/>
          <w:b/>
          <w:bCs/>
          <w:color w:val="000000"/>
          <w:sz w:val="20"/>
          <w:szCs w:val="20"/>
        </w:rPr>
        <w:t>Liquidity an</w:t>
      </w:r>
      <w:r>
        <w:rPr>
          <w:rFonts w:eastAsia="Times New Roman"/>
          <w:b/>
          <w:bCs/>
          <w:color w:val="000000"/>
          <w:sz w:val="20"/>
          <w:szCs w:val="20"/>
        </w:rPr>
        <w:t>d Capital Resources</w:t>
      </w:r>
    </w:p>
    <w:p w14:paraId="0D4BAAA9" w14:textId="77777777" w:rsidR="00000000" w:rsidRDefault="000A3118">
      <w:pPr>
        <w:ind w:firstLine="360"/>
        <w:divId w:val="1011180934"/>
        <w:rPr>
          <w:rFonts w:eastAsia="Times New Roman"/>
        </w:rPr>
      </w:pPr>
    </w:p>
    <w:p w14:paraId="2ADEC9FF" w14:textId="77777777" w:rsidR="00000000" w:rsidRDefault="000A3118">
      <w:pPr>
        <w:ind w:firstLine="360"/>
        <w:jc w:val="both"/>
        <w:divId w:val="1945795489"/>
        <w:rPr>
          <w:rFonts w:eastAsia="Times New Roman"/>
        </w:rPr>
      </w:pPr>
      <w:r>
        <w:rPr>
          <w:rFonts w:eastAsia="Times New Roman"/>
          <w:color w:val="000000"/>
          <w:sz w:val="20"/>
          <w:szCs w:val="20"/>
        </w:rPr>
        <w:t>Our liquidity, consisting of cash, cash equivalents and availability under the Credit Facility fluctuates based on a number of factors, including the timing of receipts from our customers, payments to our suppliers, changes in fuel pr</w:t>
      </w:r>
      <w:r>
        <w:rPr>
          <w:rFonts w:eastAsia="Times New Roman"/>
          <w:color w:val="000000"/>
          <w:sz w:val="20"/>
          <w:szCs w:val="20"/>
        </w:rPr>
        <w:t>ices, as well as our financial performance, which drives availability under our Credit Facility. Our availability under our Credit Facility, for example, is limited by, among other things, our consolidated total leverage ratio, which is defined in the Cred</w:t>
      </w:r>
      <w:r>
        <w:rPr>
          <w:rFonts w:eastAsia="Times New Roman"/>
          <w:color w:val="000000"/>
          <w:sz w:val="20"/>
          <w:szCs w:val="20"/>
        </w:rPr>
        <w:t>it Facility and is based in part on our adjusted consolidated earnings before interest, taxes, depreciation and amortization (“Adjusted EBITDA”) for the four immediately preceding fiscal quarters. Accordingly, significant fluctuations in our Adjusted EBITD</w:t>
      </w:r>
      <w:r>
        <w:rPr>
          <w:rFonts w:eastAsia="Times New Roman"/>
          <w:color w:val="000000"/>
          <w:sz w:val="20"/>
          <w:szCs w:val="20"/>
        </w:rPr>
        <w:t>A for a particular quarter can impact our availability to the extent it significantly alters our Adjusted EBITDA for the applicable preceding four quarters. See Item 1A. Risk Factors in Part II of this 10-Q Report for additional information.</w:t>
      </w:r>
    </w:p>
    <w:p w14:paraId="3FF802BE" w14:textId="77777777" w:rsidR="00000000" w:rsidRDefault="000A3118">
      <w:pPr>
        <w:ind w:firstLine="360"/>
        <w:jc w:val="both"/>
        <w:rPr>
          <w:rFonts w:eastAsia="Times New Roman"/>
        </w:rPr>
      </w:pPr>
      <w:r>
        <w:rPr>
          <w:rFonts w:eastAsia="Times New Roman"/>
          <w:color w:val="000000"/>
          <w:sz w:val="20"/>
          <w:szCs w:val="20"/>
        </w:rPr>
        <w:t xml:space="preserve">Cash and liquidity are significant priorities for us and our primary use of cash and liquidity is to fund working capital and strategic investments. Increases in fuel prices can negatively affect liquidity by increasing the amount of cash required to fund </w:t>
      </w:r>
      <w:r>
        <w:rPr>
          <w:rFonts w:eastAsia="Times New Roman"/>
          <w:color w:val="000000"/>
          <w:sz w:val="20"/>
          <w:szCs w:val="20"/>
        </w:rPr>
        <w:t>fuel purchases. In addition, while we are usually extended unsecured trade credit from our suppliers for our fuel purchases, higher fuel prices may reduce the amount of fuel which we can purchase on an unsecured basis, and in certain cases, we may be requi</w:t>
      </w:r>
      <w:r>
        <w:rPr>
          <w:rFonts w:eastAsia="Times New Roman"/>
          <w:color w:val="000000"/>
          <w:sz w:val="20"/>
          <w:szCs w:val="20"/>
        </w:rPr>
        <w:t>red to prepay fuel purchases, which would negatively impact our liquidity. Fuel price increases may also negatively impact our customers, in that they may not be able to purchase as much fuel from us because of their credit limits with us and the resulting</w:t>
      </w:r>
      <w:r>
        <w:rPr>
          <w:rFonts w:eastAsia="Times New Roman"/>
          <w:color w:val="000000"/>
          <w:sz w:val="20"/>
          <w:szCs w:val="20"/>
        </w:rPr>
        <w:t xml:space="preserve"> adverse impact on their business could cause them to be unable to make payments owed to us for fuel purchased on credit. They may also choose to reduce the amount of fuel they consume in their operations to reduce costs. In any such event, the volume of o</w:t>
      </w:r>
      <w:r>
        <w:rPr>
          <w:rFonts w:eastAsia="Times New Roman"/>
          <w:color w:val="000000"/>
          <w:sz w:val="20"/>
          <w:szCs w:val="20"/>
        </w:rPr>
        <w:t>rders from our customers may thereafter decrease and we may not be able to replace lost volumes with new or existing customers.</w:t>
      </w:r>
    </w:p>
    <w:p w14:paraId="288E1B53" w14:textId="77777777" w:rsidR="00000000" w:rsidRDefault="000A3118">
      <w:pPr>
        <w:jc w:val="both"/>
        <w:rPr>
          <w:rFonts w:eastAsia="Times New Roman"/>
        </w:rPr>
      </w:pPr>
    </w:p>
    <w:p w14:paraId="6EBB12FF" w14:textId="77777777" w:rsidR="00000000" w:rsidRDefault="000A3118">
      <w:pPr>
        <w:ind w:firstLine="360"/>
        <w:jc w:val="both"/>
        <w:rPr>
          <w:rFonts w:eastAsia="Times New Roman"/>
        </w:rPr>
      </w:pPr>
      <w:r>
        <w:rPr>
          <w:rFonts w:eastAsia="Times New Roman"/>
          <w:color w:val="000000"/>
          <w:sz w:val="20"/>
          <w:szCs w:val="20"/>
        </w:rPr>
        <w:t>As described in greater detail above, the COVID-19 pandemic is expected to continue to have an adverse impact on our customers</w:t>
      </w:r>
      <w:r>
        <w:rPr>
          <w:rFonts w:eastAsia="Times New Roman"/>
          <w:color w:val="000000"/>
          <w:sz w:val="20"/>
          <w:szCs w:val="20"/>
        </w:rPr>
        <w:t>, and therefore our own operating results for the balance of 2020 and into 2021, which could have a negative impact on our liquidity in the future. However, based on the information currently available, we believe that our cash and cash equivalents as of S</w:t>
      </w:r>
      <w:r>
        <w:rPr>
          <w:rFonts w:eastAsia="Times New Roman"/>
          <w:color w:val="000000"/>
          <w:sz w:val="20"/>
          <w:szCs w:val="20"/>
        </w:rPr>
        <w:t>eptember 30, 2020 and available funds from our Credit Facility, together with cash flows generated by operations, are sufficient to fund our working capital and capital expenditure requirements for at least the next twelve months. We may choose to raise ad</w:t>
      </w:r>
      <w:r>
        <w:rPr>
          <w:rFonts w:eastAsia="Times New Roman"/>
          <w:color w:val="000000"/>
          <w:sz w:val="20"/>
          <w:szCs w:val="20"/>
        </w:rPr>
        <w:t xml:space="preserve">ditional funds to further enhance our liquidity profile, which may be used for working capital, capital expenditures or other strategic investments. Our opinions concerning liquidity are based on currently available information and if circumstances change </w:t>
      </w:r>
      <w:r>
        <w:rPr>
          <w:rFonts w:eastAsia="Times New Roman"/>
          <w:color w:val="000000"/>
          <w:sz w:val="20"/>
          <w:szCs w:val="20"/>
        </w:rPr>
        <w:t>significantly, whether as a result of the COVID-19 pandemic or otherwise, the future availability of trade credit or other sources of financing may be reduced, and our liquidity would be adversely affected. Factors that may affect the availability of trade</w:t>
      </w:r>
      <w:r>
        <w:rPr>
          <w:rFonts w:eastAsia="Times New Roman"/>
          <w:color w:val="000000"/>
          <w:sz w:val="20"/>
          <w:szCs w:val="20"/>
        </w:rPr>
        <w:t xml:space="preserve"> credit or other forms of financing include our financial performance (as measured by various factors, including cash provided by operating activities), the state of worldwide credit markets, and our levels of outstanding debt. Depending on the severity an</w:t>
      </w:r>
      <w:r>
        <w:rPr>
          <w:rFonts w:eastAsia="Times New Roman"/>
          <w:color w:val="000000"/>
          <w:sz w:val="20"/>
          <w:szCs w:val="20"/>
        </w:rPr>
        <w:t>d direct impact of these factors on us, financing may be limited or unavailable on terms favorable to us.</w:t>
      </w:r>
    </w:p>
    <w:p w14:paraId="19D4A44B" w14:textId="77777777" w:rsidR="00000000" w:rsidRDefault="000A3118">
      <w:pPr>
        <w:ind w:firstLine="360"/>
        <w:jc w:val="both"/>
        <w:rPr>
          <w:rFonts w:eastAsia="Times New Roman"/>
        </w:rPr>
      </w:pPr>
    </w:p>
    <w:p w14:paraId="0DAF9B34" w14:textId="77777777" w:rsidR="00000000" w:rsidRDefault="000A3118">
      <w:pPr>
        <w:ind w:firstLine="360"/>
        <w:divId w:val="87310543"/>
        <w:rPr>
          <w:rFonts w:eastAsia="Times New Roman"/>
        </w:rPr>
      </w:pPr>
      <w:r>
        <w:rPr>
          <w:rFonts w:eastAsia="Times New Roman"/>
          <w:b/>
          <w:bCs/>
          <w:color w:val="000000"/>
          <w:sz w:val="20"/>
          <w:szCs w:val="20"/>
        </w:rPr>
        <w:t>Cash Flows</w:t>
      </w:r>
    </w:p>
    <w:p w14:paraId="24E1D815" w14:textId="77777777" w:rsidR="00000000" w:rsidRDefault="000A3118">
      <w:pPr>
        <w:ind w:firstLine="360"/>
        <w:divId w:val="1470124592"/>
        <w:rPr>
          <w:rFonts w:eastAsia="Times New Roman"/>
        </w:rPr>
      </w:pPr>
    </w:p>
    <w:p w14:paraId="072B6E55" w14:textId="77777777" w:rsidR="00000000" w:rsidRDefault="000A3118">
      <w:pPr>
        <w:ind w:firstLine="360"/>
        <w:jc w:val="both"/>
        <w:divId w:val="670259708"/>
        <w:rPr>
          <w:rFonts w:eastAsia="Times New Roman"/>
        </w:rPr>
      </w:pPr>
      <w:r>
        <w:rPr>
          <w:rFonts w:eastAsia="Times New Roman"/>
          <w:color w:val="000000"/>
          <w:sz w:val="20"/>
          <w:szCs w:val="20"/>
        </w:rPr>
        <w:t>The following table reflects the major categories of cash flows for the nine months ended September 30, 2020 and 2019 (in millions). Fo</w:t>
      </w:r>
      <w:r>
        <w:rPr>
          <w:rFonts w:eastAsia="Times New Roman"/>
          <w:color w:val="000000"/>
          <w:sz w:val="20"/>
          <w:szCs w:val="20"/>
        </w:rPr>
        <w:t>r additional details, please see the Consolidated Statements of Cash Flows in this Quarterly Report on Form 10-Q.</w:t>
      </w:r>
    </w:p>
    <w:tbl>
      <w:tblPr>
        <w:tblW w:w="4992" w:type="pct"/>
        <w:tblCellMar>
          <w:top w:w="15" w:type="dxa"/>
          <w:left w:w="15" w:type="dxa"/>
          <w:bottom w:w="15" w:type="dxa"/>
          <w:right w:w="15" w:type="dxa"/>
        </w:tblCellMar>
        <w:tblLook w:val="04A0" w:firstRow="1" w:lastRow="0" w:firstColumn="1" w:lastColumn="0" w:noHBand="0" w:noVBand="1"/>
      </w:tblPr>
      <w:tblGrid>
        <w:gridCol w:w="45"/>
        <w:gridCol w:w="5445"/>
        <w:gridCol w:w="36"/>
        <w:gridCol w:w="36"/>
        <w:gridCol w:w="36"/>
        <w:gridCol w:w="36"/>
        <w:gridCol w:w="100"/>
        <w:gridCol w:w="1139"/>
        <w:gridCol w:w="36"/>
        <w:gridCol w:w="36"/>
        <w:gridCol w:w="36"/>
        <w:gridCol w:w="36"/>
        <w:gridCol w:w="100"/>
        <w:gridCol w:w="1140"/>
        <w:gridCol w:w="36"/>
      </w:tblGrid>
      <w:tr w:rsidR="00000000" w14:paraId="5CEBEE95" w14:textId="77777777">
        <w:trPr>
          <w:divId w:val="424150575"/>
        </w:trPr>
        <w:tc>
          <w:tcPr>
            <w:tcW w:w="50" w:type="pct"/>
            <w:vAlign w:val="center"/>
            <w:hideMark/>
          </w:tcPr>
          <w:p w14:paraId="2834580C" w14:textId="77777777" w:rsidR="00000000" w:rsidRDefault="000A3118">
            <w:pPr>
              <w:ind w:firstLine="360"/>
              <w:jc w:val="both"/>
              <w:rPr>
                <w:rFonts w:eastAsia="Times New Roman"/>
              </w:rPr>
            </w:pPr>
          </w:p>
        </w:tc>
        <w:tc>
          <w:tcPr>
            <w:tcW w:w="3305" w:type="pct"/>
            <w:vAlign w:val="center"/>
            <w:hideMark/>
          </w:tcPr>
          <w:p w14:paraId="7B227B6E" w14:textId="77777777" w:rsidR="00000000" w:rsidRDefault="000A3118">
            <w:pPr>
              <w:rPr>
                <w:rFonts w:eastAsia="Times New Roman"/>
                <w:sz w:val="20"/>
                <w:szCs w:val="20"/>
              </w:rPr>
            </w:pPr>
          </w:p>
        </w:tc>
        <w:tc>
          <w:tcPr>
            <w:tcW w:w="5" w:type="pct"/>
            <w:vAlign w:val="center"/>
            <w:hideMark/>
          </w:tcPr>
          <w:p w14:paraId="74E61834" w14:textId="77777777" w:rsidR="00000000" w:rsidRDefault="000A3118">
            <w:pPr>
              <w:rPr>
                <w:rFonts w:eastAsia="Times New Roman"/>
                <w:sz w:val="20"/>
                <w:szCs w:val="20"/>
              </w:rPr>
            </w:pPr>
          </w:p>
        </w:tc>
        <w:tc>
          <w:tcPr>
            <w:tcW w:w="5" w:type="pct"/>
            <w:vAlign w:val="center"/>
            <w:hideMark/>
          </w:tcPr>
          <w:p w14:paraId="3A3B7CCD" w14:textId="77777777" w:rsidR="00000000" w:rsidRDefault="000A3118">
            <w:pPr>
              <w:rPr>
                <w:rFonts w:eastAsia="Times New Roman"/>
                <w:sz w:val="20"/>
                <w:szCs w:val="20"/>
              </w:rPr>
            </w:pPr>
          </w:p>
        </w:tc>
        <w:tc>
          <w:tcPr>
            <w:tcW w:w="26" w:type="pct"/>
            <w:vAlign w:val="center"/>
            <w:hideMark/>
          </w:tcPr>
          <w:p w14:paraId="172F8C55" w14:textId="77777777" w:rsidR="00000000" w:rsidRDefault="000A3118">
            <w:pPr>
              <w:rPr>
                <w:rFonts w:eastAsia="Times New Roman"/>
                <w:sz w:val="20"/>
                <w:szCs w:val="20"/>
              </w:rPr>
            </w:pPr>
          </w:p>
        </w:tc>
        <w:tc>
          <w:tcPr>
            <w:tcW w:w="5" w:type="pct"/>
            <w:vAlign w:val="center"/>
            <w:hideMark/>
          </w:tcPr>
          <w:p w14:paraId="162753C7" w14:textId="77777777" w:rsidR="00000000" w:rsidRDefault="000A3118">
            <w:pPr>
              <w:rPr>
                <w:rFonts w:eastAsia="Times New Roman"/>
                <w:sz w:val="20"/>
                <w:szCs w:val="20"/>
              </w:rPr>
            </w:pPr>
          </w:p>
        </w:tc>
        <w:tc>
          <w:tcPr>
            <w:tcW w:w="50" w:type="pct"/>
            <w:vAlign w:val="center"/>
            <w:hideMark/>
          </w:tcPr>
          <w:p w14:paraId="7DC5A3EC" w14:textId="77777777" w:rsidR="00000000" w:rsidRDefault="000A3118">
            <w:pPr>
              <w:rPr>
                <w:rFonts w:eastAsia="Times New Roman"/>
                <w:sz w:val="20"/>
                <w:szCs w:val="20"/>
              </w:rPr>
            </w:pPr>
          </w:p>
        </w:tc>
        <w:tc>
          <w:tcPr>
            <w:tcW w:w="728" w:type="pct"/>
            <w:vAlign w:val="center"/>
            <w:hideMark/>
          </w:tcPr>
          <w:p w14:paraId="222EA280" w14:textId="77777777" w:rsidR="00000000" w:rsidRDefault="000A3118">
            <w:pPr>
              <w:rPr>
                <w:rFonts w:eastAsia="Times New Roman"/>
                <w:sz w:val="20"/>
                <w:szCs w:val="20"/>
              </w:rPr>
            </w:pPr>
          </w:p>
        </w:tc>
        <w:tc>
          <w:tcPr>
            <w:tcW w:w="5" w:type="pct"/>
            <w:vAlign w:val="center"/>
            <w:hideMark/>
          </w:tcPr>
          <w:p w14:paraId="721CD573" w14:textId="77777777" w:rsidR="00000000" w:rsidRDefault="000A3118">
            <w:pPr>
              <w:rPr>
                <w:rFonts w:eastAsia="Times New Roman"/>
                <w:sz w:val="20"/>
                <w:szCs w:val="20"/>
              </w:rPr>
            </w:pPr>
          </w:p>
        </w:tc>
        <w:tc>
          <w:tcPr>
            <w:tcW w:w="5" w:type="pct"/>
            <w:vAlign w:val="center"/>
            <w:hideMark/>
          </w:tcPr>
          <w:p w14:paraId="57358B85" w14:textId="77777777" w:rsidR="00000000" w:rsidRDefault="000A3118">
            <w:pPr>
              <w:rPr>
                <w:rFonts w:eastAsia="Times New Roman"/>
                <w:sz w:val="20"/>
                <w:szCs w:val="20"/>
              </w:rPr>
            </w:pPr>
          </w:p>
        </w:tc>
        <w:tc>
          <w:tcPr>
            <w:tcW w:w="26" w:type="pct"/>
            <w:vAlign w:val="center"/>
            <w:hideMark/>
          </w:tcPr>
          <w:p w14:paraId="3C365924" w14:textId="77777777" w:rsidR="00000000" w:rsidRDefault="000A3118">
            <w:pPr>
              <w:rPr>
                <w:rFonts w:eastAsia="Times New Roman"/>
                <w:sz w:val="20"/>
                <w:szCs w:val="20"/>
              </w:rPr>
            </w:pPr>
          </w:p>
        </w:tc>
        <w:tc>
          <w:tcPr>
            <w:tcW w:w="5" w:type="pct"/>
            <w:vAlign w:val="center"/>
            <w:hideMark/>
          </w:tcPr>
          <w:p w14:paraId="0C067C2B" w14:textId="77777777" w:rsidR="00000000" w:rsidRDefault="000A3118">
            <w:pPr>
              <w:rPr>
                <w:rFonts w:eastAsia="Times New Roman"/>
                <w:sz w:val="20"/>
                <w:szCs w:val="20"/>
              </w:rPr>
            </w:pPr>
          </w:p>
        </w:tc>
        <w:tc>
          <w:tcPr>
            <w:tcW w:w="50" w:type="pct"/>
            <w:vAlign w:val="center"/>
            <w:hideMark/>
          </w:tcPr>
          <w:p w14:paraId="6FD63909" w14:textId="77777777" w:rsidR="00000000" w:rsidRDefault="000A3118">
            <w:pPr>
              <w:rPr>
                <w:rFonts w:eastAsia="Times New Roman"/>
                <w:sz w:val="20"/>
                <w:szCs w:val="20"/>
              </w:rPr>
            </w:pPr>
          </w:p>
        </w:tc>
        <w:tc>
          <w:tcPr>
            <w:tcW w:w="728" w:type="pct"/>
            <w:vAlign w:val="center"/>
            <w:hideMark/>
          </w:tcPr>
          <w:p w14:paraId="0857100D" w14:textId="77777777" w:rsidR="00000000" w:rsidRDefault="000A3118">
            <w:pPr>
              <w:rPr>
                <w:rFonts w:eastAsia="Times New Roman"/>
                <w:sz w:val="20"/>
                <w:szCs w:val="20"/>
              </w:rPr>
            </w:pPr>
          </w:p>
        </w:tc>
        <w:tc>
          <w:tcPr>
            <w:tcW w:w="5" w:type="pct"/>
            <w:vAlign w:val="center"/>
            <w:hideMark/>
          </w:tcPr>
          <w:p w14:paraId="0F0F66EB" w14:textId="77777777" w:rsidR="00000000" w:rsidRDefault="000A3118">
            <w:pPr>
              <w:rPr>
                <w:rFonts w:eastAsia="Times New Roman"/>
                <w:sz w:val="20"/>
                <w:szCs w:val="20"/>
              </w:rPr>
            </w:pPr>
          </w:p>
        </w:tc>
      </w:tr>
      <w:tr w:rsidR="00000000" w14:paraId="41A6854E" w14:textId="77777777">
        <w:trPr>
          <w:divId w:val="424150575"/>
        </w:trPr>
        <w:tc>
          <w:tcPr>
            <w:tcW w:w="0" w:type="auto"/>
            <w:gridSpan w:val="3"/>
            <w:tcMar>
              <w:top w:w="0" w:type="dxa"/>
              <w:left w:w="20" w:type="dxa"/>
              <w:bottom w:w="0" w:type="dxa"/>
              <w:right w:w="20" w:type="dxa"/>
            </w:tcMar>
            <w:vAlign w:val="center"/>
            <w:hideMark/>
          </w:tcPr>
          <w:p w14:paraId="622CA038"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650B793B"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0436B410" w14:textId="77777777" w:rsidR="00000000" w:rsidRDefault="000A3118">
            <w:pPr>
              <w:jc w:val="center"/>
              <w:rPr>
                <w:rFonts w:eastAsia="Times New Roman"/>
              </w:rPr>
            </w:pPr>
            <w:r>
              <w:rPr>
                <w:rFonts w:eastAsia="Times New Roman"/>
                <w:b/>
                <w:bCs/>
                <w:color w:val="000000"/>
                <w:sz w:val="16"/>
                <w:szCs w:val="16"/>
              </w:rPr>
              <w:t>For the Nine Months Ended</w:t>
            </w:r>
          </w:p>
        </w:tc>
      </w:tr>
      <w:tr w:rsidR="00000000" w14:paraId="39236298" w14:textId="77777777">
        <w:trPr>
          <w:divId w:val="424150575"/>
        </w:trPr>
        <w:tc>
          <w:tcPr>
            <w:tcW w:w="0" w:type="auto"/>
            <w:gridSpan w:val="3"/>
            <w:tcMar>
              <w:top w:w="0" w:type="dxa"/>
              <w:left w:w="20" w:type="dxa"/>
              <w:bottom w:w="0" w:type="dxa"/>
              <w:right w:w="20" w:type="dxa"/>
            </w:tcMar>
            <w:vAlign w:val="center"/>
            <w:hideMark/>
          </w:tcPr>
          <w:p w14:paraId="2C54E3B8"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4FB0D047" w14:textId="77777777" w:rsidR="00000000" w:rsidRDefault="000A3118">
            <w:pPr>
              <w:rPr>
                <w:rFonts w:eastAsia="Times New Roman"/>
                <w:sz w:val="20"/>
                <w:szCs w:val="20"/>
              </w:rPr>
            </w:pPr>
          </w:p>
        </w:tc>
        <w:tc>
          <w:tcPr>
            <w:tcW w:w="0" w:type="auto"/>
            <w:gridSpan w:val="9"/>
            <w:tcMar>
              <w:top w:w="30" w:type="dxa"/>
              <w:left w:w="20" w:type="dxa"/>
              <w:bottom w:w="30" w:type="dxa"/>
              <w:right w:w="20" w:type="dxa"/>
            </w:tcMar>
            <w:vAlign w:val="bottom"/>
            <w:hideMark/>
          </w:tcPr>
          <w:p w14:paraId="4D3303BE" w14:textId="77777777" w:rsidR="00000000" w:rsidRDefault="000A3118">
            <w:pPr>
              <w:jc w:val="center"/>
              <w:rPr>
                <w:rFonts w:eastAsia="Times New Roman"/>
              </w:rPr>
            </w:pPr>
            <w:r>
              <w:rPr>
                <w:rFonts w:eastAsia="Times New Roman"/>
                <w:b/>
                <w:bCs/>
                <w:color w:val="000000"/>
                <w:sz w:val="16"/>
                <w:szCs w:val="16"/>
              </w:rPr>
              <w:t>September 30,</w:t>
            </w:r>
          </w:p>
        </w:tc>
      </w:tr>
      <w:tr w:rsidR="00000000" w14:paraId="7F45DF95" w14:textId="77777777">
        <w:trPr>
          <w:divId w:val="424150575"/>
        </w:trPr>
        <w:tc>
          <w:tcPr>
            <w:tcW w:w="0" w:type="auto"/>
            <w:gridSpan w:val="3"/>
            <w:tcMar>
              <w:top w:w="0" w:type="dxa"/>
              <w:left w:w="20" w:type="dxa"/>
              <w:bottom w:w="0" w:type="dxa"/>
              <w:right w:w="20" w:type="dxa"/>
            </w:tcMar>
            <w:vAlign w:val="center"/>
            <w:hideMark/>
          </w:tcPr>
          <w:p w14:paraId="1D8A4181" w14:textId="77777777" w:rsidR="00000000" w:rsidRDefault="000A3118">
            <w:pPr>
              <w:jc w:val="center"/>
              <w:rPr>
                <w:rFonts w:eastAsia="Times New Roman"/>
              </w:rPr>
            </w:pPr>
          </w:p>
        </w:tc>
        <w:tc>
          <w:tcPr>
            <w:tcW w:w="0" w:type="auto"/>
            <w:gridSpan w:val="3"/>
            <w:tcMar>
              <w:top w:w="0" w:type="dxa"/>
              <w:left w:w="20" w:type="dxa"/>
              <w:bottom w:w="0" w:type="dxa"/>
              <w:right w:w="20" w:type="dxa"/>
            </w:tcMar>
            <w:vAlign w:val="center"/>
            <w:hideMark/>
          </w:tcPr>
          <w:p w14:paraId="5BFFB4FF" w14:textId="77777777" w:rsidR="00000000" w:rsidRDefault="000A311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BCF913F" w14:textId="77777777" w:rsidR="00000000" w:rsidRDefault="000A311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65040C54"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59E8D3" w14:textId="77777777" w:rsidR="00000000" w:rsidRDefault="000A3118">
            <w:pPr>
              <w:jc w:val="center"/>
              <w:rPr>
                <w:rFonts w:eastAsia="Times New Roman"/>
              </w:rPr>
            </w:pPr>
            <w:r>
              <w:rPr>
                <w:rFonts w:eastAsia="Times New Roman"/>
                <w:b/>
                <w:bCs/>
                <w:color w:val="000000"/>
                <w:sz w:val="16"/>
                <w:szCs w:val="16"/>
              </w:rPr>
              <w:t>2019</w:t>
            </w:r>
          </w:p>
        </w:tc>
      </w:tr>
      <w:tr w:rsidR="00000000" w14:paraId="47610803" w14:textId="77777777">
        <w:trPr>
          <w:divId w:val="42415057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9F5DC7" w14:textId="77777777" w:rsidR="00000000" w:rsidRDefault="000A3118">
            <w:pPr>
              <w:rPr>
                <w:rFonts w:eastAsia="Times New Roman"/>
              </w:rPr>
            </w:pPr>
            <w:r>
              <w:rPr>
                <w:rFonts w:eastAsia="Times New Roman"/>
                <w:color w:val="000000"/>
                <w:sz w:val="16"/>
                <w:szCs w:val="16"/>
              </w:rPr>
              <w:t>Net cash provided by (used in)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DD5E82" w14:textId="77777777" w:rsidR="00000000" w:rsidRDefault="000A3118">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7F521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7CB396" w14:textId="77777777" w:rsidR="00000000" w:rsidRDefault="000A3118">
            <w:pPr>
              <w:jc w:val="right"/>
              <w:rPr>
                <w:rFonts w:eastAsia="Times New Roman"/>
              </w:rPr>
            </w:pPr>
            <w:r>
              <w:rPr>
                <w:rFonts w:eastAsia="Times New Roman"/>
                <w:color w:val="000000"/>
                <w:sz w:val="16"/>
                <w:szCs w:val="16"/>
              </w:rPr>
              <w:t>490.6 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027808"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C38C05"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DF6FBD"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CE69EB" w14:textId="77777777" w:rsidR="00000000" w:rsidRDefault="000A3118">
            <w:pPr>
              <w:jc w:val="right"/>
              <w:rPr>
                <w:rFonts w:eastAsia="Times New Roman"/>
              </w:rPr>
            </w:pPr>
            <w:r>
              <w:rPr>
                <w:rFonts w:eastAsia="Times New Roman"/>
                <w:color w:val="000000"/>
                <w:sz w:val="16"/>
                <w:szCs w:val="16"/>
              </w:rPr>
              <w:t>168.7 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C2486B" w14:textId="77777777" w:rsidR="00000000" w:rsidRDefault="000A3118">
            <w:pPr>
              <w:jc w:val="right"/>
              <w:rPr>
                <w:rFonts w:eastAsia="Times New Roman"/>
              </w:rPr>
            </w:pPr>
          </w:p>
        </w:tc>
      </w:tr>
      <w:tr w:rsidR="00000000" w14:paraId="51BDC2CF" w14:textId="77777777">
        <w:trPr>
          <w:divId w:val="424150575"/>
        </w:trPr>
        <w:tc>
          <w:tcPr>
            <w:tcW w:w="0" w:type="auto"/>
            <w:gridSpan w:val="3"/>
            <w:tcMar>
              <w:top w:w="30" w:type="dxa"/>
              <w:left w:w="20" w:type="dxa"/>
              <w:bottom w:w="30" w:type="dxa"/>
              <w:right w:w="20" w:type="dxa"/>
            </w:tcMar>
            <w:vAlign w:val="bottom"/>
            <w:hideMark/>
          </w:tcPr>
          <w:p w14:paraId="707D3E71" w14:textId="77777777" w:rsidR="00000000" w:rsidRDefault="000A3118">
            <w:pPr>
              <w:rPr>
                <w:rFonts w:eastAsia="Times New Roman"/>
              </w:rPr>
            </w:pPr>
            <w:r>
              <w:rPr>
                <w:rFonts w:eastAsia="Times New Roman"/>
                <w:color w:val="000000"/>
                <w:sz w:val="16"/>
                <w:szCs w:val="16"/>
              </w:rPr>
              <w:t>Net cash provided by (used in) investing activities</w:t>
            </w:r>
          </w:p>
        </w:tc>
        <w:tc>
          <w:tcPr>
            <w:tcW w:w="0" w:type="auto"/>
            <w:gridSpan w:val="3"/>
            <w:tcMar>
              <w:top w:w="0" w:type="dxa"/>
              <w:left w:w="20" w:type="dxa"/>
              <w:bottom w:w="0" w:type="dxa"/>
              <w:right w:w="20" w:type="dxa"/>
            </w:tcMar>
            <w:vAlign w:val="center"/>
            <w:hideMark/>
          </w:tcPr>
          <w:p w14:paraId="0FD16FB6" w14:textId="77777777" w:rsidR="00000000" w:rsidRDefault="000A3118">
            <w:pPr>
              <w:rPr>
                <w:rFonts w:eastAsia="Times New Roman"/>
              </w:rPr>
            </w:pPr>
          </w:p>
        </w:tc>
        <w:tc>
          <w:tcPr>
            <w:tcW w:w="0" w:type="auto"/>
            <w:gridSpan w:val="2"/>
            <w:tcMar>
              <w:top w:w="30" w:type="dxa"/>
              <w:left w:w="20" w:type="dxa"/>
              <w:bottom w:w="30" w:type="dxa"/>
              <w:right w:w="0" w:type="dxa"/>
            </w:tcMar>
            <w:vAlign w:val="bottom"/>
            <w:hideMark/>
          </w:tcPr>
          <w:p w14:paraId="70B759ED" w14:textId="77777777" w:rsidR="00000000" w:rsidRDefault="000A3118">
            <w:pPr>
              <w:jc w:val="right"/>
              <w:rPr>
                <w:rFonts w:eastAsia="Times New Roman"/>
              </w:rPr>
            </w:pPr>
            <w:r>
              <w:rPr>
                <w:rFonts w:eastAsia="Times New Roman"/>
                <w:color w:val="000000"/>
                <w:sz w:val="16"/>
                <w:szCs w:val="16"/>
              </w:rPr>
              <w:t>86.9 </w:t>
            </w:r>
          </w:p>
        </w:tc>
        <w:tc>
          <w:tcPr>
            <w:tcW w:w="0" w:type="auto"/>
            <w:tcMar>
              <w:top w:w="30" w:type="dxa"/>
              <w:left w:w="0" w:type="dxa"/>
              <w:bottom w:w="30" w:type="dxa"/>
              <w:right w:w="20" w:type="dxa"/>
            </w:tcMar>
            <w:vAlign w:val="bottom"/>
            <w:hideMark/>
          </w:tcPr>
          <w:p w14:paraId="4501DDDF"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73A988C1" w14:textId="77777777" w:rsidR="00000000" w:rsidRDefault="000A311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9F03EA9" w14:textId="77777777" w:rsidR="00000000" w:rsidRDefault="000A3118">
            <w:pPr>
              <w:jc w:val="right"/>
              <w:rPr>
                <w:rFonts w:eastAsia="Times New Roman"/>
              </w:rPr>
            </w:pPr>
            <w:r>
              <w:rPr>
                <w:rFonts w:eastAsia="Times New Roman"/>
                <w:color w:val="000000"/>
                <w:sz w:val="16"/>
                <w:szCs w:val="16"/>
              </w:rPr>
              <w:t>(55.1)</w:t>
            </w:r>
          </w:p>
        </w:tc>
        <w:tc>
          <w:tcPr>
            <w:tcW w:w="0" w:type="auto"/>
            <w:tcMar>
              <w:top w:w="30" w:type="dxa"/>
              <w:left w:w="0" w:type="dxa"/>
              <w:bottom w:w="30" w:type="dxa"/>
              <w:right w:w="20" w:type="dxa"/>
            </w:tcMar>
            <w:vAlign w:val="bottom"/>
            <w:hideMark/>
          </w:tcPr>
          <w:p w14:paraId="20A0BEA0" w14:textId="77777777" w:rsidR="00000000" w:rsidRDefault="000A3118">
            <w:pPr>
              <w:jc w:val="right"/>
              <w:rPr>
                <w:rFonts w:eastAsia="Times New Roman"/>
              </w:rPr>
            </w:pPr>
          </w:p>
        </w:tc>
      </w:tr>
      <w:tr w:rsidR="00000000" w14:paraId="6D50CF62" w14:textId="77777777">
        <w:trPr>
          <w:divId w:val="424150575"/>
        </w:trPr>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14:paraId="77E7725C" w14:textId="77777777" w:rsidR="00000000" w:rsidRDefault="000A3118">
            <w:pPr>
              <w:rPr>
                <w:rFonts w:eastAsia="Times New Roman"/>
              </w:rPr>
            </w:pPr>
            <w:r>
              <w:rPr>
                <w:rFonts w:eastAsia="Times New Roman"/>
                <w:color w:val="000000"/>
                <w:sz w:val="16"/>
                <w:szCs w:val="16"/>
              </w:rPr>
              <w:t>Net cash provided by (used in) financing activities</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14:paraId="051B3A99" w14:textId="77777777" w:rsidR="00000000" w:rsidRDefault="000A3118">
            <w:pPr>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00A3A6C6" w14:textId="77777777" w:rsidR="00000000" w:rsidRDefault="000A3118">
            <w:pPr>
              <w:jc w:val="right"/>
              <w:rPr>
                <w:rFonts w:eastAsia="Times New Roman"/>
              </w:rPr>
            </w:pPr>
            <w:r>
              <w:rPr>
                <w:rFonts w:eastAsia="Times New Roman"/>
                <w:color w:val="000000"/>
                <w:sz w:val="16"/>
                <w:szCs w:val="16"/>
              </w:rPr>
              <w:t>(188.8)</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2141AD55" w14:textId="77777777" w:rsidR="00000000" w:rsidRDefault="000A3118">
            <w:pPr>
              <w:jc w:val="right"/>
              <w:rPr>
                <w:rFonts w:eastAsia="Times New Roman"/>
              </w:rPr>
            </w:pP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14:paraId="6FA36095" w14:textId="77777777" w:rsidR="00000000" w:rsidRDefault="000A3118">
            <w:pPr>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69BD1D24" w14:textId="77777777" w:rsidR="00000000" w:rsidRDefault="000A3118">
            <w:pPr>
              <w:jc w:val="right"/>
              <w:rPr>
                <w:rFonts w:eastAsia="Times New Roman"/>
              </w:rPr>
            </w:pPr>
            <w:r>
              <w:rPr>
                <w:rFonts w:eastAsia="Times New Roman"/>
                <w:color w:val="000000"/>
                <w:sz w:val="16"/>
                <w:szCs w:val="16"/>
              </w:rPr>
              <w:t>(103.1)</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1713CA9E" w14:textId="77777777" w:rsidR="00000000" w:rsidRDefault="000A3118">
            <w:pPr>
              <w:jc w:val="right"/>
              <w:rPr>
                <w:rFonts w:eastAsia="Times New Roman"/>
              </w:rPr>
            </w:pPr>
          </w:p>
        </w:tc>
      </w:tr>
    </w:tbl>
    <w:p w14:paraId="5030E773" w14:textId="77777777" w:rsidR="00000000" w:rsidRDefault="000A3118">
      <w:pPr>
        <w:ind w:firstLine="360"/>
        <w:jc w:val="both"/>
        <w:rPr>
          <w:rFonts w:eastAsia="Times New Roman"/>
        </w:rPr>
      </w:pPr>
    </w:p>
    <w:p w14:paraId="7F2C0290" w14:textId="77777777" w:rsidR="00000000" w:rsidRDefault="000A3118">
      <w:pPr>
        <w:ind w:firstLine="360"/>
        <w:jc w:val="both"/>
        <w:rPr>
          <w:rFonts w:eastAsia="Times New Roman"/>
        </w:rPr>
      </w:pPr>
      <w:r>
        <w:rPr>
          <w:rFonts w:eastAsia="Times New Roman"/>
          <w:i/>
          <w:iCs/>
          <w:color w:val="000000"/>
          <w:sz w:val="20"/>
          <w:szCs w:val="20"/>
        </w:rPr>
        <w:t>Operating Activities.</w:t>
      </w:r>
      <w:r>
        <w:rPr>
          <w:rFonts w:eastAsia="Times New Roman"/>
          <w:color w:val="000000"/>
          <w:sz w:val="20"/>
          <w:szCs w:val="20"/>
        </w:rPr>
        <w:t> </w:t>
      </w:r>
      <w:r>
        <w:rPr>
          <w:rFonts w:eastAsia="Times New Roman"/>
          <w:color w:val="000000"/>
          <w:sz w:val="20"/>
          <w:szCs w:val="20"/>
        </w:rPr>
        <w:t>For the first nine months of 2020, net cash provided by operating activities was $490.6 million as compared to $168.7 million provided during the first nine months of 2019.  The $321.9 million change in operating cash flows was principally due to favorable</w:t>
      </w:r>
      <w:r>
        <w:rPr>
          <w:rFonts w:eastAsia="Times New Roman"/>
          <w:color w:val="000000"/>
          <w:sz w:val="20"/>
          <w:szCs w:val="20"/>
        </w:rPr>
        <w:t xml:space="preserve"> year-over-year changes in working capital, excluding cash, of $292.4 million and an increase of $86.3 million attributable to certain other long term assets and liabilities, offset by a $45.9 million adjustments for noncash items principally associated wi</w:t>
      </w:r>
      <w:r>
        <w:rPr>
          <w:rFonts w:eastAsia="Times New Roman"/>
          <w:color w:val="000000"/>
          <w:sz w:val="20"/>
          <w:szCs w:val="20"/>
        </w:rPr>
        <w:t>th higher provision for bad debt, offset by the gain on sale of a business and changes in deferred taxes. The changes in working capital, excluding cash, reflect a $1.6 billion net decrease in accounts receivable, inventories, and short-term derivatives, o</w:t>
      </w:r>
      <w:r>
        <w:rPr>
          <w:rFonts w:eastAsia="Times New Roman"/>
          <w:color w:val="000000"/>
          <w:sz w:val="20"/>
          <w:szCs w:val="20"/>
        </w:rPr>
        <w:t>ffset by a $1.3 billion net decrease in accounts payable, customer deposits and accrued expenses and other current liabilities.</w:t>
      </w:r>
    </w:p>
    <w:p w14:paraId="566B3BB5" w14:textId="77777777" w:rsidR="00000000" w:rsidRDefault="000A3118">
      <w:pPr>
        <w:ind w:firstLine="360"/>
        <w:jc w:val="both"/>
        <w:rPr>
          <w:rFonts w:eastAsia="Times New Roman"/>
        </w:rPr>
      </w:pPr>
    </w:p>
    <w:p w14:paraId="6ADE7015" w14:textId="77777777" w:rsidR="00000000" w:rsidRDefault="000A3118">
      <w:pPr>
        <w:jc w:val="center"/>
        <w:divId w:val="1194658017"/>
        <w:rPr>
          <w:rFonts w:eastAsia="Times New Roman"/>
        </w:rPr>
      </w:pPr>
      <w:r>
        <w:rPr>
          <w:rFonts w:eastAsia="Times New Roman"/>
          <w:color w:val="000000"/>
          <w:sz w:val="20"/>
          <w:szCs w:val="20"/>
        </w:rPr>
        <w:t>36</w:t>
      </w:r>
    </w:p>
    <w:p w14:paraId="727ED3F5" w14:textId="77777777" w:rsidR="00000000" w:rsidRDefault="000A3118">
      <w:pPr>
        <w:rPr>
          <w:rFonts w:eastAsia="Times New Roman"/>
        </w:rPr>
      </w:pPr>
      <w:r>
        <w:rPr>
          <w:rFonts w:eastAsia="Times New Roman"/>
        </w:rPr>
        <w:pict w14:anchorId="60117420">
          <v:rect id="_x0000_i1064" style="width:0;height:1.5pt" o:hralign="center" o:hrstd="t" o:hr="t" fillcolor="#a0a0a0" stroked="f"/>
        </w:pict>
      </w:r>
    </w:p>
    <w:p w14:paraId="06964170" w14:textId="77777777" w:rsidR="00000000" w:rsidRDefault="000A3118">
      <w:pPr>
        <w:divId w:val="1960182102"/>
        <w:rPr>
          <w:rFonts w:eastAsia="Times New Roman"/>
        </w:rPr>
      </w:pPr>
    </w:p>
    <w:p w14:paraId="4D591AA9" w14:textId="77777777" w:rsidR="00000000" w:rsidRDefault="000A3118">
      <w:pPr>
        <w:ind w:firstLine="360"/>
        <w:jc w:val="both"/>
        <w:rPr>
          <w:rFonts w:eastAsia="Times New Roman"/>
        </w:rPr>
      </w:pPr>
      <w:r>
        <w:rPr>
          <w:rFonts w:eastAsia="Times New Roman"/>
          <w:i/>
          <w:iCs/>
          <w:color w:val="000000"/>
          <w:sz w:val="20"/>
          <w:szCs w:val="20"/>
        </w:rPr>
        <w:t>Investing Activities.</w:t>
      </w:r>
      <w:r>
        <w:rPr>
          <w:rFonts w:eastAsia="Times New Roman"/>
          <w:color w:val="000000"/>
          <w:sz w:val="20"/>
          <w:szCs w:val="20"/>
        </w:rPr>
        <w:t> For the first nine months of 2020, net cash provided by investing activities was $86.9 million as compared to net cash used of $55.1 million in the first nine months of 2019. The $141.9 million in</w:t>
      </w:r>
      <w:r>
        <w:rPr>
          <w:rFonts w:eastAsia="Times New Roman"/>
          <w:color w:val="000000"/>
          <w:sz w:val="20"/>
          <w:szCs w:val="20"/>
        </w:rPr>
        <w:t>crease in cash flows was primarily due to net cash proceeds of $268.4 million received from the sale of our Multi Service payment solutions business. The net cash proceeds from the sale of business was partially offset by $128.6 million in cash paid to acq</w:t>
      </w:r>
      <w:r>
        <w:rPr>
          <w:rFonts w:eastAsia="Times New Roman"/>
          <w:color w:val="000000"/>
          <w:sz w:val="20"/>
          <w:szCs w:val="20"/>
        </w:rPr>
        <w:t>uire our UVair fuel business.</w:t>
      </w:r>
    </w:p>
    <w:p w14:paraId="6E60AF57" w14:textId="77777777" w:rsidR="00000000" w:rsidRDefault="000A3118">
      <w:pPr>
        <w:ind w:firstLine="360"/>
        <w:jc w:val="both"/>
        <w:rPr>
          <w:rFonts w:eastAsia="Times New Roman"/>
        </w:rPr>
      </w:pPr>
    </w:p>
    <w:p w14:paraId="0E3396AB" w14:textId="77777777" w:rsidR="00000000" w:rsidRDefault="000A3118">
      <w:pPr>
        <w:ind w:firstLine="360"/>
        <w:divId w:val="877855371"/>
        <w:rPr>
          <w:rFonts w:eastAsia="Times New Roman"/>
        </w:rPr>
      </w:pPr>
      <w:r>
        <w:rPr>
          <w:rFonts w:eastAsia="Times New Roman"/>
          <w:i/>
          <w:iCs/>
          <w:color w:val="000000"/>
          <w:sz w:val="20"/>
          <w:szCs w:val="20"/>
        </w:rPr>
        <w:t>Financing Activities.</w:t>
      </w:r>
      <w:r>
        <w:rPr>
          <w:rFonts w:eastAsia="Times New Roman"/>
          <w:color w:val="000000"/>
          <w:sz w:val="20"/>
          <w:szCs w:val="20"/>
        </w:rPr>
        <w:t> For the first nine months of 2020, net cash used in financing activities was $188.8 million compared to net cash used of $103.1 million for the first nine months of 2019. The $85.7 million change was pr</w:t>
      </w:r>
      <w:r>
        <w:rPr>
          <w:rFonts w:eastAsia="Times New Roman"/>
          <w:color w:val="000000"/>
          <w:sz w:val="20"/>
          <w:szCs w:val="20"/>
        </w:rPr>
        <w:t>incipally due to $91.8 million in net repayments of debt under our credit facility, offset by a $9.8 million decrease in common stock repurchases.</w:t>
      </w:r>
    </w:p>
    <w:p w14:paraId="6C27CD8C" w14:textId="77777777" w:rsidR="00000000" w:rsidRDefault="000A3118">
      <w:pPr>
        <w:ind w:firstLine="360"/>
        <w:jc w:val="both"/>
        <w:rPr>
          <w:rFonts w:eastAsia="Times New Roman"/>
        </w:rPr>
      </w:pPr>
    </w:p>
    <w:p w14:paraId="4E05733D" w14:textId="77777777" w:rsidR="00000000" w:rsidRDefault="000A3118">
      <w:pPr>
        <w:ind w:firstLine="360"/>
        <w:jc w:val="both"/>
        <w:rPr>
          <w:rFonts w:eastAsia="Times New Roman"/>
        </w:rPr>
      </w:pPr>
      <w:r>
        <w:rPr>
          <w:rFonts w:eastAsia="Times New Roman"/>
          <w:b/>
          <w:bCs/>
          <w:color w:val="000000"/>
          <w:sz w:val="20"/>
          <w:szCs w:val="20"/>
        </w:rPr>
        <w:t>Other Liquidity Measures</w:t>
      </w:r>
    </w:p>
    <w:p w14:paraId="4222BCE8" w14:textId="77777777" w:rsidR="00000000" w:rsidRDefault="000A3118">
      <w:pPr>
        <w:ind w:firstLine="360"/>
        <w:jc w:val="both"/>
        <w:rPr>
          <w:rFonts w:eastAsia="Times New Roman"/>
        </w:rPr>
      </w:pPr>
    </w:p>
    <w:p w14:paraId="49B5F0A4" w14:textId="77777777" w:rsidR="00000000" w:rsidRDefault="000A3118">
      <w:pPr>
        <w:ind w:firstLine="360"/>
        <w:jc w:val="both"/>
        <w:divId w:val="539174206"/>
        <w:rPr>
          <w:rFonts w:eastAsia="Times New Roman"/>
        </w:rPr>
      </w:pPr>
      <w:r>
        <w:rPr>
          <w:rFonts w:eastAsia="Times New Roman"/>
          <w:i/>
          <w:iCs/>
          <w:color w:val="000000"/>
          <w:sz w:val="20"/>
          <w:szCs w:val="20"/>
        </w:rPr>
        <w:t>Cash and Cash Equivalents. </w:t>
      </w:r>
      <w:r>
        <w:rPr>
          <w:rFonts w:eastAsia="Times New Roman"/>
          <w:color w:val="000000"/>
          <w:sz w:val="20"/>
          <w:szCs w:val="20"/>
        </w:rPr>
        <w:t>As of September 30, 2020 and December 31, 2019, we ha</w:t>
      </w:r>
      <w:r>
        <w:rPr>
          <w:rFonts w:eastAsia="Times New Roman"/>
          <w:color w:val="000000"/>
          <w:sz w:val="20"/>
          <w:szCs w:val="20"/>
        </w:rPr>
        <w:t xml:space="preserve">d cash and cash equivalents of $572.7 million and $186.1 million, respectively. </w:t>
      </w:r>
    </w:p>
    <w:p w14:paraId="63DD8DAE" w14:textId="77777777" w:rsidR="00000000" w:rsidRDefault="000A3118">
      <w:pPr>
        <w:ind w:firstLine="360"/>
        <w:jc w:val="both"/>
        <w:divId w:val="1262299582"/>
        <w:rPr>
          <w:rFonts w:eastAsia="Times New Roman"/>
        </w:rPr>
      </w:pPr>
      <w:r>
        <w:rPr>
          <w:rFonts w:eastAsia="Times New Roman"/>
          <w:i/>
          <w:iCs/>
          <w:color w:val="000000"/>
          <w:sz w:val="20"/>
          <w:szCs w:val="20"/>
        </w:rPr>
        <w:t>Credit Facility and Term Loans.</w:t>
      </w:r>
      <w:r>
        <w:rPr>
          <w:rFonts w:eastAsia="Times New Roman"/>
          <w:color w:val="000000"/>
          <w:sz w:val="20"/>
          <w:szCs w:val="20"/>
        </w:rPr>
        <w:t xml:space="preserve"> We had $506.4 million and $515.6 million in Term Loans outstanding as of September 30, 2020 and December 31, 2019, respectively. Our Credit Agr</w:t>
      </w:r>
      <w:r>
        <w:rPr>
          <w:rFonts w:eastAsia="Times New Roman"/>
          <w:color w:val="000000"/>
          <w:sz w:val="20"/>
          <w:szCs w:val="20"/>
        </w:rPr>
        <w:t>eement, as amended through September 30, 2020, consists of a revolving loan under which up to $1.3 billion aggregate principal amount could be borrowed, repaid and redrawn, based upon specific financial ratios and subject to the satisfaction of other custo</w:t>
      </w:r>
      <w:r>
        <w:rPr>
          <w:rFonts w:eastAsia="Times New Roman"/>
          <w:color w:val="000000"/>
          <w:sz w:val="20"/>
          <w:szCs w:val="20"/>
        </w:rPr>
        <w:t>mary conditions to borrowing. Our Credit Facility includes a sublimit of $400.0 million for the issuance of letters of credit and bankers' acceptances. Under the Credit Facility, we have the right to request increases in available borrowings up to an addit</w:t>
      </w:r>
      <w:r>
        <w:rPr>
          <w:rFonts w:eastAsia="Times New Roman"/>
          <w:color w:val="000000"/>
          <w:sz w:val="20"/>
          <w:szCs w:val="20"/>
        </w:rPr>
        <w:t>ional $400.0 million, subject to the satisfaction of certain conditions and we have the right to request increases in available borrowings up to an additional $200.0 million, subject to the satisfaction of certain conditions. The Credit Facility matures Ju</w:t>
      </w:r>
      <w:r>
        <w:rPr>
          <w:rFonts w:eastAsia="Times New Roman"/>
          <w:color w:val="000000"/>
          <w:sz w:val="20"/>
          <w:szCs w:val="20"/>
        </w:rPr>
        <w:t>ly 2024.</w:t>
      </w:r>
    </w:p>
    <w:p w14:paraId="45913EB4" w14:textId="77777777" w:rsidR="00000000" w:rsidRDefault="000A3118">
      <w:pPr>
        <w:ind w:firstLine="360"/>
        <w:jc w:val="both"/>
        <w:divId w:val="2026589972"/>
        <w:rPr>
          <w:rFonts w:eastAsia="Times New Roman"/>
        </w:rPr>
      </w:pPr>
      <w:r>
        <w:rPr>
          <w:rFonts w:eastAsia="Times New Roman"/>
          <w:color w:val="000000"/>
          <w:sz w:val="20"/>
          <w:szCs w:val="20"/>
        </w:rPr>
        <w:t xml:space="preserve">We had no outstanding borrowings under our Credit Facility as of September 30, 2020. At December 31, 2019, we had outstanding borrowings of </w:t>
      </w:r>
      <w:r>
        <w:rPr>
          <w:rFonts w:eastAsia="Times New Roman"/>
          <w:color w:val="000000"/>
          <w:sz w:val="20"/>
          <w:szCs w:val="20"/>
          <w:shd w:val="clear" w:color="auto" w:fill="FFFFFF"/>
        </w:rPr>
        <w:t>$55.0 million</w:t>
      </w:r>
      <w:r>
        <w:rPr>
          <w:rFonts w:eastAsia="Times New Roman"/>
          <w:color w:val="000000"/>
          <w:sz w:val="20"/>
          <w:szCs w:val="20"/>
        </w:rPr>
        <w:t xml:space="preserve">. Our issued letters of credit under the Credit Facility totaled $3.4 million and </w:t>
      </w:r>
      <w:r>
        <w:rPr>
          <w:rFonts w:eastAsia="Times New Roman"/>
          <w:color w:val="000000"/>
          <w:sz w:val="20"/>
          <w:szCs w:val="20"/>
          <w:shd w:val="clear" w:color="auto" w:fill="FFFFFF"/>
        </w:rPr>
        <w:t>$4.3 million</w:t>
      </w:r>
      <w:r>
        <w:rPr>
          <w:rFonts w:eastAsia="Times New Roman"/>
          <w:color w:val="000000"/>
          <w:sz w:val="20"/>
          <w:szCs w:val="20"/>
        </w:rPr>
        <w:t xml:space="preserve"> as of September 30, 2020 and December 31, 2019, respectively. As of September 30, 2020 and December 31, 2019, the unused portion of our Credit Facility was </w:t>
      </w:r>
      <w:r>
        <w:rPr>
          <w:rFonts w:eastAsia="Times New Roman"/>
          <w:color w:val="000000"/>
          <w:sz w:val="20"/>
          <w:szCs w:val="20"/>
          <w:shd w:val="clear" w:color="auto" w:fill="FFFFFF"/>
        </w:rPr>
        <w:t>$1.3 billion</w:t>
      </w:r>
      <w:r>
        <w:rPr>
          <w:rFonts w:eastAsia="Times New Roman"/>
          <w:color w:val="000000"/>
          <w:sz w:val="20"/>
          <w:szCs w:val="20"/>
        </w:rPr>
        <w:t xml:space="preserve"> and </w:t>
      </w:r>
      <w:r>
        <w:rPr>
          <w:rFonts w:eastAsia="Times New Roman"/>
          <w:color w:val="000000"/>
          <w:sz w:val="20"/>
          <w:szCs w:val="20"/>
          <w:shd w:val="clear" w:color="auto" w:fill="FFFFFF"/>
        </w:rPr>
        <w:t>$1.2 billion, respectively</w:t>
      </w:r>
      <w:r>
        <w:rPr>
          <w:rFonts w:eastAsia="Times New Roman"/>
          <w:color w:val="000000"/>
          <w:sz w:val="20"/>
          <w:szCs w:val="20"/>
        </w:rPr>
        <w:t>. The unused portion of our Credit Facility is limited by, among other things, our financial leverage ratio, which limits the total amount of indebtedness we may incur, and may, therefore, fluctuate from period to period.</w:t>
      </w:r>
    </w:p>
    <w:p w14:paraId="701F47D8" w14:textId="77777777" w:rsidR="00000000" w:rsidRDefault="000A3118">
      <w:pPr>
        <w:jc w:val="both"/>
        <w:rPr>
          <w:rFonts w:eastAsia="Times New Roman"/>
        </w:rPr>
      </w:pPr>
      <w:r>
        <w:rPr>
          <w:rFonts w:eastAsia="Times New Roman"/>
          <w:color w:val="000000"/>
          <w:sz w:val="20"/>
          <w:szCs w:val="20"/>
        </w:rPr>
        <w:t>    Our Credit Facility and Term L</w:t>
      </w:r>
      <w:r>
        <w:rPr>
          <w:rFonts w:eastAsia="Times New Roman"/>
          <w:color w:val="000000"/>
          <w:sz w:val="20"/>
          <w:szCs w:val="20"/>
        </w:rPr>
        <w:t xml:space="preserve">oans contain certain financial and other covenants with which we are required to comply. Our failure to comply with the covenants contained in our Credit Facility and our Term Loans could result in an event of default. An event of default, if not cured or </w:t>
      </w:r>
      <w:r>
        <w:rPr>
          <w:rFonts w:eastAsia="Times New Roman"/>
          <w:color w:val="000000"/>
          <w:sz w:val="20"/>
          <w:szCs w:val="20"/>
        </w:rPr>
        <w:t>waived, would permit acceleration of any outstanding indebtedness under the Credit Facility and our Term Loans, trigger cross-defaults under certain other agreements to which we are a party and impair our ability to obtain working capital advances and issu</w:t>
      </w:r>
      <w:r>
        <w:rPr>
          <w:rFonts w:eastAsia="Times New Roman"/>
          <w:color w:val="000000"/>
          <w:sz w:val="20"/>
          <w:szCs w:val="20"/>
        </w:rPr>
        <w:t>e letters of credit, which would have a material, adverse effect on our business, financial condition, results of operations and cash flows. As of September 30, 2020, we were in compliance with all financial covenants contained in our Credit Facility and o</w:t>
      </w:r>
      <w:r>
        <w:rPr>
          <w:rFonts w:eastAsia="Times New Roman"/>
          <w:color w:val="000000"/>
          <w:sz w:val="20"/>
          <w:szCs w:val="20"/>
        </w:rPr>
        <w:t>ur Term Loans.</w:t>
      </w:r>
    </w:p>
    <w:p w14:paraId="7B141C1B" w14:textId="77777777" w:rsidR="00000000" w:rsidRDefault="000A3118">
      <w:pPr>
        <w:jc w:val="both"/>
        <w:rPr>
          <w:rFonts w:eastAsia="Times New Roman"/>
        </w:rPr>
      </w:pPr>
    </w:p>
    <w:p w14:paraId="4D8734B7" w14:textId="77777777" w:rsidR="00000000" w:rsidRDefault="000A3118">
      <w:pPr>
        <w:ind w:firstLine="360"/>
        <w:jc w:val="both"/>
        <w:rPr>
          <w:rFonts w:eastAsia="Times New Roman"/>
        </w:rPr>
      </w:pPr>
      <w:r>
        <w:rPr>
          <w:rFonts w:eastAsia="Times New Roman"/>
          <w:i/>
          <w:iCs/>
          <w:color w:val="000000"/>
          <w:sz w:val="20"/>
          <w:szCs w:val="20"/>
        </w:rPr>
        <w:t>Other Agreements</w:t>
      </w:r>
      <w:r>
        <w:rPr>
          <w:rFonts w:eastAsia="Times New Roman"/>
          <w:color w:val="000000"/>
          <w:sz w:val="20"/>
          <w:szCs w:val="20"/>
        </w:rPr>
        <w:t>. Additionally, we have other uncommitted credit lines primarily for the issuance of letters of credit, bank guarantees and bankers’ acceptances. These credit lines are renewable on an annual basis and are subject to fees a</w:t>
      </w:r>
      <w:r>
        <w:rPr>
          <w:rFonts w:eastAsia="Times New Roman"/>
          <w:color w:val="000000"/>
          <w:sz w:val="20"/>
          <w:szCs w:val="20"/>
        </w:rPr>
        <w:t>t market rates. As of September 30, 2020 and December 31, 2019, our outstanding letters of credit and bank guarantees under these credit lines totaled $312.2 million and $375.2 million, respectively.</w:t>
      </w:r>
    </w:p>
    <w:p w14:paraId="56FE2287" w14:textId="77777777" w:rsidR="00000000" w:rsidRDefault="000A3118">
      <w:pPr>
        <w:ind w:firstLine="360"/>
        <w:jc w:val="both"/>
        <w:rPr>
          <w:rFonts w:eastAsia="Times New Roman"/>
        </w:rPr>
      </w:pPr>
    </w:p>
    <w:p w14:paraId="6E7F6AE9" w14:textId="77777777" w:rsidR="00000000" w:rsidRDefault="000A3118">
      <w:pPr>
        <w:ind w:firstLine="360"/>
        <w:jc w:val="both"/>
        <w:rPr>
          <w:rFonts w:eastAsia="Times New Roman"/>
        </w:rPr>
      </w:pPr>
      <w:r>
        <w:rPr>
          <w:rFonts w:eastAsia="Times New Roman"/>
          <w:color w:val="000000"/>
          <w:sz w:val="20"/>
          <w:szCs w:val="20"/>
        </w:rPr>
        <w:t>We also have accounts receivable financing programs un</w:t>
      </w:r>
      <w:r>
        <w:rPr>
          <w:rFonts w:eastAsia="Times New Roman"/>
          <w:color w:val="000000"/>
          <w:sz w:val="20"/>
          <w:szCs w:val="20"/>
        </w:rPr>
        <w:t>der receivables purchase agreements (“RPAs”) with Wells Fargo Bank, N.A. and Citibank, N.A. that allow for the sale of our accounts receivable in an amount up to 100% of our outstanding qualifying accounts receivable balances and receive cash consideration</w:t>
      </w:r>
      <w:r>
        <w:rPr>
          <w:rFonts w:eastAsia="Times New Roman"/>
          <w:color w:val="000000"/>
          <w:sz w:val="20"/>
          <w:szCs w:val="20"/>
        </w:rPr>
        <w:t xml:space="preserve"> equal to the total balance, less a discount margin equal to LIBOR plus 1% to 3.25%, which varies based on the outstanding accounts receivable at any given time and assumes maximum utilization of the RPA facilities. During the three months ended September </w:t>
      </w:r>
      <w:r>
        <w:rPr>
          <w:rFonts w:eastAsia="Times New Roman"/>
          <w:color w:val="000000"/>
          <w:sz w:val="20"/>
          <w:szCs w:val="20"/>
        </w:rPr>
        <w:t>30, 2020 we amended our RPA with Citibank N.A. to among other things, extend the renewal option term of the RPA through 2024. The RPA agreements provide the banks with the ability to add or remove customers from these programs based on, among other things,</w:t>
      </w:r>
      <w:r>
        <w:rPr>
          <w:rFonts w:eastAsia="Times New Roman"/>
          <w:color w:val="000000"/>
          <w:sz w:val="20"/>
          <w:szCs w:val="20"/>
        </w:rPr>
        <w:t xml:space="preserve"> the level of risk exposure the bank is willing to accept with respect to any customer. The fees the banks charge us to purchase the receivables from these customers can also be impacted for these reasons. Under the RPAs, accounts receivable sold, which re</w:t>
      </w:r>
      <w:r>
        <w:rPr>
          <w:rFonts w:eastAsia="Times New Roman"/>
          <w:color w:val="000000"/>
          <w:sz w:val="20"/>
          <w:szCs w:val="20"/>
        </w:rPr>
        <w:t>mained outstanding at September 30, 2020 and December 31, 2019 were $166.7 million and $405.9 million, respectively. The reduction in accounts receivable sold and outstanding at September 30, 2020 was driven primarily</w:t>
      </w:r>
      <w:r>
        <w:rPr>
          <w:rFonts w:eastAsia="Times New Roman"/>
          <w:color w:val="000000"/>
          <w:sz w:val="22"/>
          <w:szCs w:val="22"/>
        </w:rPr>
        <w:t xml:space="preserve"> </w:t>
      </w:r>
      <w:r>
        <w:rPr>
          <w:rFonts w:eastAsia="Times New Roman"/>
          <w:color w:val="000000"/>
          <w:sz w:val="20"/>
          <w:szCs w:val="20"/>
        </w:rPr>
        <w:t>by lower fuel prices and the decline i</w:t>
      </w:r>
      <w:r>
        <w:rPr>
          <w:rFonts w:eastAsia="Times New Roman"/>
          <w:color w:val="000000"/>
          <w:sz w:val="20"/>
          <w:szCs w:val="20"/>
        </w:rPr>
        <w:t>n activity in our commercial aviation and marine businesses due to the impact of the pandemic on airlines and cruise lines.</w:t>
      </w:r>
    </w:p>
    <w:p w14:paraId="29354CA1" w14:textId="77777777" w:rsidR="00000000" w:rsidRDefault="000A3118">
      <w:pPr>
        <w:ind w:firstLine="360"/>
        <w:jc w:val="both"/>
        <w:rPr>
          <w:rFonts w:eastAsia="Times New Roman"/>
        </w:rPr>
      </w:pPr>
    </w:p>
    <w:p w14:paraId="7CC98A2F" w14:textId="77777777" w:rsidR="00000000" w:rsidRDefault="000A3118">
      <w:pPr>
        <w:ind w:firstLine="360"/>
        <w:jc w:val="both"/>
        <w:rPr>
          <w:rFonts w:eastAsia="Times New Roman"/>
        </w:rPr>
      </w:pPr>
      <w:r>
        <w:rPr>
          <w:rFonts w:eastAsia="Times New Roman"/>
          <w:i/>
          <w:iCs/>
          <w:color w:val="000000"/>
          <w:sz w:val="20"/>
          <w:szCs w:val="20"/>
        </w:rPr>
        <w:t>Short-Term Debt</w:t>
      </w:r>
      <w:r>
        <w:rPr>
          <w:rFonts w:eastAsia="Times New Roman"/>
          <w:color w:val="000000"/>
          <w:sz w:val="20"/>
          <w:szCs w:val="20"/>
        </w:rPr>
        <w:t>. As of September 30, 2020, our short-term debt of $19.6 million primarily represents the current maturities (withi</w:t>
      </w:r>
      <w:r>
        <w:rPr>
          <w:rFonts w:eastAsia="Times New Roman"/>
          <w:color w:val="000000"/>
          <w:sz w:val="20"/>
          <w:szCs w:val="20"/>
        </w:rPr>
        <w:t>n the next twelve months) of Term Loan borrowings and finance lease obligations.</w:t>
      </w:r>
    </w:p>
    <w:p w14:paraId="5AC73B23" w14:textId="77777777" w:rsidR="00000000" w:rsidRDefault="000A3118">
      <w:pPr>
        <w:jc w:val="center"/>
        <w:divId w:val="1272860335"/>
        <w:rPr>
          <w:rFonts w:eastAsia="Times New Roman"/>
        </w:rPr>
      </w:pPr>
      <w:r>
        <w:rPr>
          <w:rFonts w:eastAsia="Times New Roman"/>
          <w:color w:val="000000"/>
          <w:sz w:val="20"/>
          <w:szCs w:val="20"/>
        </w:rPr>
        <w:t>37</w:t>
      </w:r>
    </w:p>
    <w:p w14:paraId="2834968B" w14:textId="77777777" w:rsidR="00000000" w:rsidRDefault="000A3118">
      <w:pPr>
        <w:rPr>
          <w:rFonts w:eastAsia="Times New Roman"/>
        </w:rPr>
      </w:pPr>
      <w:r>
        <w:rPr>
          <w:rFonts w:eastAsia="Times New Roman"/>
        </w:rPr>
        <w:pict w14:anchorId="18A0DE86">
          <v:rect id="_x0000_i1065" style="width:0;height:1.5pt" o:hralign="center" o:hrstd="t" o:hr="t" fillcolor="#a0a0a0" stroked="f"/>
        </w:pict>
      </w:r>
    </w:p>
    <w:p w14:paraId="04800A66" w14:textId="77777777" w:rsidR="00000000" w:rsidRDefault="000A3118">
      <w:pPr>
        <w:divId w:val="478694867"/>
        <w:rPr>
          <w:rFonts w:eastAsia="Times New Roman"/>
        </w:rPr>
      </w:pPr>
    </w:p>
    <w:p w14:paraId="3F1B8B80" w14:textId="77777777" w:rsidR="00000000" w:rsidRDefault="000A3118">
      <w:pPr>
        <w:ind w:firstLine="360"/>
        <w:jc w:val="both"/>
        <w:rPr>
          <w:rFonts w:eastAsia="Times New Roman"/>
        </w:rPr>
      </w:pPr>
    </w:p>
    <w:p w14:paraId="1EC379EE" w14:textId="77777777" w:rsidR="00000000" w:rsidRDefault="000A3118">
      <w:pPr>
        <w:ind w:firstLine="360"/>
        <w:jc w:val="both"/>
        <w:rPr>
          <w:rFonts w:eastAsia="Times New Roman"/>
        </w:rPr>
      </w:pPr>
      <w:r>
        <w:rPr>
          <w:rFonts w:eastAsia="Times New Roman"/>
          <w:b/>
          <w:bCs/>
          <w:color w:val="000000"/>
          <w:sz w:val="20"/>
          <w:szCs w:val="20"/>
        </w:rPr>
        <w:t>Contractual Obligations and Off-Balance Sheet Arrangements</w:t>
      </w:r>
    </w:p>
    <w:p w14:paraId="4C295D6D" w14:textId="77777777" w:rsidR="00000000" w:rsidRDefault="000A3118">
      <w:pPr>
        <w:ind w:firstLine="360"/>
        <w:jc w:val="both"/>
        <w:rPr>
          <w:rFonts w:eastAsia="Times New Roman"/>
        </w:rPr>
      </w:pPr>
    </w:p>
    <w:p w14:paraId="69F200C0" w14:textId="77777777" w:rsidR="00000000" w:rsidRDefault="000A3118">
      <w:pPr>
        <w:ind w:firstLine="360"/>
        <w:jc w:val="both"/>
        <w:rPr>
          <w:rFonts w:eastAsia="Times New Roman"/>
        </w:rPr>
      </w:pPr>
      <w:r>
        <w:rPr>
          <w:rFonts w:eastAsia="Times New Roman"/>
          <w:color w:val="000000"/>
          <w:sz w:val="20"/>
          <w:szCs w:val="20"/>
        </w:rPr>
        <w:t>Except for changes in the contractual obligations and off-balance sheet</w:t>
      </w:r>
      <w:r>
        <w:rPr>
          <w:rFonts w:eastAsia="Times New Roman"/>
          <w:color w:val="000000"/>
          <w:sz w:val="20"/>
          <w:szCs w:val="20"/>
        </w:rPr>
        <w:t xml:space="preserve"> arrangements described below, there were no other material changes from December 31, 2019 to September 30, 2020.  For a discussion of these matters, refer to Item 7. Contractual Obligations and Off-Balance Sheet Arrangements of our 2019 10-K Report.</w:t>
      </w:r>
    </w:p>
    <w:p w14:paraId="0413C402" w14:textId="77777777" w:rsidR="00000000" w:rsidRDefault="000A3118">
      <w:pPr>
        <w:ind w:firstLine="360"/>
        <w:jc w:val="both"/>
        <w:rPr>
          <w:rFonts w:eastAsia="Times New Roman"/>
        </w:rPr>
      </w:pPr>
    </w:p>
    <w:p w14:paraId="055336AE" w14:textId="77777777" w:rsidR="00000000" w:rsidRDefault="000A3118">
      <w:pPr>
        <w:ind w:firstLine="360"/>
        <w:jc w:val="both"/>
        <w:rPr>
          <w:rFonts w:eastAsia="Times New Roman"/>
        </w:rPr>
      </w:pPr>
      <w:r>
        <w:rPr>
          <w:rFonts w:eastAsia="Times New Roman"/>
          <w:b/>
          <w:bCs/>
          <w:color w:val="000000"/>
          <w:sz w:val="20"/>
          <w:szCs w:val="20"/>
        </w:rPr>
        <w:t>Contractual Obligations</w:t>
      </w:r>
    </w:p>
    <w:p w14:paraId="64655C4B" w14:textId="77777777" w:rsidR="00000000" w:rsidRDefault="000A3118">
      <w:pPr>
        <w:ind w:firstLine="360"/>
        <w:jc w:val="both"/>
        <w:rPr>
          <w:rFonts w:eastAsia="Times New Roman"/>
        </w:rPr>
      </w:pPr>
    </w:p>
    <w:p w14:paraId="1F929419" w14:textId="77777777" w:rsidR="00000000" w:rsidRDefault="000A3118">
      <w:pPr>
        <w:ind w:firstLine="360"/>
        <w:jc w:val="both"/>
        <w:rPr>
          <w:rFonts w:eastAsia="Times New Roman"/>
        </w:rPr>
      </w:pPr>
      <w:r>
        <w:rPr>
          <w:rFonts w:eastAsia="Times New Roman"/>
          <w:i/>
          <w:iCs/>
          <w:color w:val="000000"/>
          <w:sz w:val="20"/>
          <w:szCs w:val="20"/>
        </w:rPr>
        <w:t>Derivative Obligations.</w:t>
      </w:r>
      <w:r>
        <w:rPr>
          <w:rFonts w:eastAsia="Times New Roman"/>
          <w:color w:val="000000"/>
          <w:sz w:val="20"/>
          <w:szCs w:val="20"/>
        </w:rPr>
        <w:t xml:space="preserve"> As of September 30, 2020, our net derivative obligations were $81.0 million, principally due within one year.</w:t>
      </w:r>
    </w:p>
    <w:p w14:paraId="5548374E" w14:textId="77777777" w:rsidR="00000000" w:rsidRDefault="000A3118">
      <w:pPr>
        <w:ind w:firstLine="360"/>
        <w:jc w:val="both"/>
        <w:rPr>
          <w:rFonts w:eastAsia="Times New Roman"/>
        </w:rPr>
      </w:pPr>
    </w:p>
    <w:p w14:paraId="4E7E9C54" w14:textId="77777777" w:rsidR="00000000" w:rsidRDefault="000A3118">
      <w:pPr>
        <w:ind w:firstLine="360"/>
        <w:jc w:val="both"/>
        <w:rPr>
          <w:rFonts w:eastAsia="Times New Roman"/>
        </w:rPr>
      </w:pPr>
      <w:r>
        <w:rPr>
          <w:rFonts w:eastAsia="Times New Roman"/>
          <w:i/>
          <w:iCs/>
          <w:color w:val="000000"/>
          <w:sz w:val="20"/>
          <w:szCs w:val="20"/>
        </w:rPr>
        <w:t>Purchase Commitment Obligations.</w:t>
      </w:r>
      <w:r>
        <w:rPr>
          <w:rFonts w:eastAsia="Times New Roman"/>
          <w:color w:val="000000"/>
          <w:sz w:val="20"/>
          <w:szCs w:val="20"/>
        </w:rPr>
        <w:t xml:space="preserve"> As of September 30, 2020, fixed purchase commitments under ou</w:t>
      </w:r>
      <w:r>
        <w:rPr>
          <w:rFonts w:eastAsia="Times New Roman"/>
          <w:color w:val="000000"/>
          <w:sz w:val="20"/>
          <w:szCs w:val="20"/>
        </w:rPr>
        <w:t>r derivative programs amounted to $73.7 million, principally due within one year.</w:t>
      </w:r>
    </w:p>
    <w:p w14:paraId="6A40190E" w14:textId="77777777" w:rsidR="00000000" w:rsidRDefault="000A3118">
      <w:pPr>
        <w:ind w:firstLine="360"/>
        <w:jc w:val="both"/>
        <w:rPr>
          <w:rFonts w:eastAsia="Times New Roman"/>
        </w:rPr>
      </w:pPr>
    </w:p>
    <w:p w14:paraId="380E266C" w14:textId="77777777" w:rsidR="00000000" w:rsidRDefault="000A3118">
      <w:pPr>
        <w:ind w:firstLine="360"/>
        <w:jc w:val="both"/>
        <w:rPr>
          <w:rFonts w:eastAsia="Times New Roman"/>
        </w:rPr>
      </w:pPr>
      <w:r>
        <w:rPr>
          <w:rFonts w:eastAsia="Times New Roman"/>
          <w:b/>
          <w:bCs/>
          <w:color w:val="000000"/>
          <w:sz w:val="20"/>
          <w:szCs w:val="20"/>
        </w:rPr>
        <w:t>Off-Balance Sheet Arrangements</w:t>
      </w:r>
    </w:p>
    <w:p w14:paraId="11E4CC23" w14:textId="77777777" w:rsidR="00000000" w:rsidRDefault="000A3118">
      <w:pPr>
        <w:ind w:firstLine="360"/>
        <w:jc w:val="both"/>
        <w:rPr>
          <w:rFonts w:eastAsia="Times New Roman"/>
        </w:rPr>
      </w:pPr>
    </w:p>
    <w:p w14:paraId="11781875" w14:textId="77777777" w:rsidR="00000000" w:rsidRDefault="000A3118">
      <w:pPr>
        <w:ind w:firstLine="360"/>
        <w:jc w:val="both"/>
        <w:rPr>
          <w:rFonts w:eastAsia="Times New Roman"/>
        </w:rPr>
      </w:pPr>
      <w:r>
        <w:rPr>
          <w:rFonts w:eastAsia="Times New Roman"/>
          <w:i/>
          <w:iCs/>
          <w:color w:val="000000"/>
          <w:sz w:val="20"/>
          <w:szCs w:val="20"/>
        </w:rPr>
        <w:t>Letters of Credit and Bank Guarantees.</w:t>
      </w:r>
      <w:r>
        <w:rPr>
          <w:rFonts w:eastAsia="Times New Roman"/>
          <w:color w:val="000000"/>
          <w:sz w:val="20"/>
          <w:szCs w:val="20"/>
        </w:rPr>
        <w:t xml:space="preserve"> In the normal course of business, we are required to provide letters of credit to certain suppliers.</w:t>
      </w:r>
      <w:r>
        <w:rPr>
          <w:rFonts w:eastAsia="Times New Roman"/>
          <w:color w:val="000000"/>
          <w:sz w:val="20"/>
          <w:szCs w:val="20"/>
        </w:rPr>
        <w:t xml:space="preserve"> A majority of these letters of credit expire within one year from their issuance and are renewed as needed. As of September 30, 2020, we had issued letters of credit and bank guarantees totaling $315.6 million under our Credit Facility and other uncommitt</w:t>
      </w:r>
      <w:r>
        <w:rPr>
          <w:rFonts w:eastAsia="Times New Roman"/>
          <w:color w:val="000000"/>
          <w:sz w:val="20"/>
          <w:szCs w:val="20"/>
        </w:rPr>
        <w:t>ed credit lines. For additional information on our Credit Facility and other credit lines, see the discussion in Liquidity and Capital Resources above.</w:t>
      </w:r>
    </w:p>
    <w:p w14:paraId="474F0DC1" w14:textId="77777777" w:rsidR="00000000" w:rsidRDefault="000A3118">
      <w:pPr>
        <w:ind w:firstLine="360"/>
        <w:jc w:val="both"/>
        <w:rPr>
          <w:rFonts w:eastAsia="Times New Roman"/>
        </w:rPr>
      </w:pPr>
      <w:r>
        <w:rPr>
          <w:rFonts w:eastAsia="Times New Roman"/>
          <w:color w:val="000000"/>
          <w:sz w:val="20"/>
          <w:szCs w:val="20"/>
        </w:rPr>
        <w:t> </w:t>
      </w:r>
    </w:p>
    <w:p w14:paraId="3ECF895E" w14:textId="77777777" w:rsidR="00000000" w:rsidRDefault="000A3118">
      <w:pPr>
        <w:ind w:firstLine="360"/>
        <w:divId w:val="1282881306"/>
        <w:rPr>
          <w:rFonts w:eastAsia="Times New Roman"/>
        </w:rPr>
      </w:pPr>
      <w:r>
        <w:rPr>
          <w:rFonts w:eastAsia="Times New Roman"/>
          <w:b/>
          <w:bCs/>
          <w:color w:val="000000"/>
          <w:sz w:val="20"/>
          <w:szCs w:val="20"/>
        </w:rPr>
        <w:t xml:space="preserve">Critical Accounting Estimates </w:t>
      </w:r>
    </w:p>
    <w:p w14:paraId="3AD5B656" w14:textId="77777777" w:rsidR="00000000" w:rsidRDefault="000A3118">
      <w:pPr>
        <w:divId w:val="1854954836"/>
        <w:rPr>
          <w:rFonts w:eastAsia="Times New Roman"/>
        </w:rPr>
      </w:pPr>
    </w:p>
    <w:p w14:paraId="33C0DD41" w14:textId="77777777" w:rsidR="00000000" w:rsidRDefault="000A3118">
      <w:pPr>
        <w:ind w:firstLine="360"/>
        <w:jc w:val="both"/>
        <w:rPr>
          <w:rFonts w:eastAsia="Times New Roman"/>
        </w:rPr>
      </w:pPr>
      <w:r>
        <w:rPr>
          <w:rFonts w:eastAsia="Times New Roman"/>
          <w:color w:val="000000"/>
          <w:sz w:val="20"/>
          <w:szCs w:val="20"/>
        </w:rPr>
        <w:t>The Consolidated Financial Statements are prepared in accordance with</w:t>
      </w:r>
      <w:r>
        <w:rPr>
          <w:rFonts w:eastAsia="Times New Roman"/>
          <w:color w:val="000000"/>
          <w:sz w:val="20"/>
          <w:szCs w:val="20"/>
        </w:rPr>
        <w:t xml:space="preserve"> accounting principles generally accepted in the United States of America (“U.S. GAAP”). The significant accounting policies used are disclosed in Note 1 to the Consolidated Financial Statements in our 2019 10-K report.</w:t>
      </w:r>
    </w:p>
    <w:p w14:paraId="08F4E28E" w14:textId="77777777" w:rsidR="00000000" w:rsidRDefault="000A3118">
      <w:pPr>
        <w:jc w:val="both"/>
        <w:rPr>
          <w:rFonts w:eastAsia="Times New Roman"/>
        </w:rPr>
      </w:pPr>
    </w:p>
    <w:p w14:paraId="35A41031" w14:textId="77777777" w:rsidR="00000000" w:rsidRDefault="000A3118">
      <w:pPr>
        <w:ind w:firstLine="360"/>
        <w:jc w:val="both"/>
        <w:rPr>
          <w:rFonts w:eastAsia="Times New Roman"/>
        </w:rPr>
      </w:pPr>
      <w:r>
        <w:rPr>
          <w:rFonts w:eastAsia="Times New Roman"/>
          <w:color w:val="000000"/>
          <w:sz w:val="20"/>
          <w:szCs w:val="20"/>
        </w:rPr>
        <w:t xml:space="preserve">We make estimates and assumptions </w:t>
      </w:r>
      <w:r>
        <w:rPr>
          <w:rFonts w:eastAsia="Times New Roman"/>
          <w:color w:val="000000"/>
          <w:sz w:val="20"/>
          <w:szCs w:val="20"/>
        </w:rPr>
        <w:t>that affect the reported amounts on our financial statements and accompanying notes as of the date of the financial statements.</w:t>
      </w:r>
    </w:p>
    <w:p w14:paraId="720E00E3" w14:textId="77777777" w:rsidR="00000000" w:rsidRDefault="000A3118">
      <w:pPr>
        <w:jc w:val="both"/>
        <w:rPr>
          <w:rFonts w:eastAsia="Times New Roman"/>
        </w:rPr>
      </w:pPr>
    </w:p>
    <w:p w14:paraId="1E45038C" w14:textId="77777777" w:rsidR="00000000" w:rsidRDefault="000A3118">
      <w:pPr>
        <w:ind w:firstLine="360"/>
        <w:jc w:val="both"/>
        <w:rPr>
          <w:rFonts w:eastAsia="Times New Roman"/>
        </w:rPr>
      </w:pPr>
      <w:r>
        <w:rPr>
          <w:rFonts w:eastAsia="Times New Roman"/>
          <w:i/>
          <w:iCs/>
          <w:color w:val="000000"/>
          <w:sz w:val="20"/>
          <w:szCs w:val="20"/>
        </w:rPr>
        <w:t xml:space="preserve">Impairment Assessments of Long-Lived Assets, Intangible Assets, Goodwill and Equity Method Investments. </w:t>
      </w:r>
      <w:r>
        <w:rPr>
          <w:rFonts w:eastAsia="Times New Roman"/>
          <w:color w:val="000000"/>
          <w:sz w:val="20"/>
          <w:szCs w:val="20"/>
        </w:rPr>
        <w:t>We assessed accounting</w:t>
      </w:r>
      <w:r>
        <w:rPr>
          <w:rFonts w:eastAsia="Times New Roman"/>
          <w:color w:val="000000"/>
          <w:sz w:val="20"/>
          <w:szCs w:val="20"/>
        </w:rPr>
        <w:t xml:space="preserve"> estimates that require consideration of forecasted financial information, including, but not limited to, the recoverability of the carrying value of our goodwill, intangible assets, other long-lived assets and equity investments. Judgment is involved in p</w:t>
      </w:r>
      <w:r>
        <w:rPr>
          <w:rFonts w:eastAsia="Times New Roman"/>
          <w:color w:val="000000"/>
          <w:sz w:val="20"/>
          <w:szCs w:val="20"/>
        </w:rPr>
        <w:t xml:space="preserve">erforming these estimates since the results are based on forecasted assumptions. As of September 30, 2020, the assumptions used were defined in the context of current and future potential impacts of COVID-19 on our business and other business factors such </w:t>
      </w:r>
      <w:r>
        <w:rPr>
          <w:rFonts w:eastAsia="Times New Roman"/>
          <w:color w:val="000000"/>
          <w:sz w:val="20"/>
          <w:szCs w:val="20"/>
        </w:rPr>
        <w:t xml:space="preserve">as the reduction in our government-related activity in Afghanistan. Management also considered the decline in the company's market capitalization since the beginning of the pandemic, and evaluated the potential impact that this decline may have had on the </w:t>
      </w:r>
      <w:r>
        <w:rPr>
          <w:rFonts w:eastAsia="Times New Roman"/>
          <w:color w:val="000000"/>
          <w:sz w:val="20"/>
          <w:szCs w:val="20"/>
        </w:rPr>
        <w:t>estimated fair value of our reporting units. Based on the available information, as of September 30, 2020, we concluded that no impairments of long-lived assets, intangibles and equity method investments should be recognized and that it was not more likely</w:t>
      </w:r>
      <w:r>
        <w:rPr>
          <w:rFonts w:eastAsia="Times New Roman"/>
          <w:color w:val="000000"/>
          <w:sz w:val="20"/>
          <w:szCs w:val="20"/>
        </w:rPr>
        <w:t xml:space="preserve"> than not that the fair value of our land and aviation reporting units was less than its carrying value. However, at this time, we are unable to predict with specificity the ultimate impact of the pandemic, as it will depend on the ultimate magnitude, seve</w:t>
      </w:r>
      <w:r>
        <w:rPr>
          <w:rFonts w:eastAsia="Times New Roman"/>
          <w:color w:val="000000"/>
          <w:sz w:val="20"/>
          <w:szCs w:val="20"/>
        </w:rPr>
        <w:t>rity and duration, as well as how quickly, and to what extent, normal economic and operating conditions resume on a sustainable basis globally. Accordingly, if the impact of the pandemic and the reduction in business are more severe or longer in duration t</w:t>
      </w:r>
      <w:r>
        <w:rPr>
          <w:rFonts w:eastAsia="Times New Roman"/>
          <w:color w:val="000000"/>
          <w:sz w:val="20"/>
          <w:szCs w:val="20"/>
        </w:rPr>
        <w:t>han we have assumed, such impact could potentially result in impairments.</w:t>
      </w:r>
    </w:p>
    <w:p w14:paraId="58A5C7BB" w14:textId="77777777" w:rsidR="00000000" w:rsidRDefault="000A3118">
      <w:pPr>
        <w:ind w:firstLine="360"/>
        <w:jc w:val="both"/>
        <w:rPr>
          <w:rFonts w:eastAsia="Times New Roman"/>
        </w:rPr>
      </w:pPr>
    </w:p>
    <w:p w14:paraId="6AEC41C6" w14:textId="77777777" w:rsidR="00000000" w:rsidRDefault="000A3118">
      <w:pPr>
        <w:ind w:firstLine="360"/>
        <w:jc w:val="both"/>
        <w:divId w:val="304894900"/>
        <w:rPr>
          <w:rFonts w:eastAsia="Times New Roman"/>
        </w:rPr>
      </w:pPr>
      <w:r>
        <w:rPr>
          <w:rFonts w:eastAsia="Times New Roman"/>
          <w:b/>
          <w:bCs/>
          <w:color w:val="000000"/>
          <w:sz w:val="20"/>
          <w:szCs w:val="20"/>
        </w:rPr>
        <w:t>Recent Accounting Pronouncements</w:t>
      </w:r>
    </w:p>
    <w:p w14:paraId="04A437E7" w14:textId="77777777" w:rsidR="00000000" w:rsidRDefault="000A3118">
      <w:pPr>
        <w:ind w:firstLine="360"/>
        <w:jc w:val="both"/>
        <w:rPr>
          <w:rFonts w:eastAsia="Times New Roman"/>
        </w:rPr>
      </w:pPr>
      <w:r>
        <w:rPr>
          <w:rFonts w:eastAsia="Times New Roman"/>
          <w:color w:val="000000"/>
          <w:sz w:val="20"/>
          <w:szCs w:val="20"/>
        </w:rPr>
        <w:t>Information regarding new accounting pronouncements is included in Note 1. Basis of Presentation and Significant Accounting Policies accompanying t</w:t>
      </w:r>
      <w:r>
        <w:rPr>
          <w:rFonts w:eastAsia="Times New Roman"/>
          <w:color w:val="000000"/>
          <w:sz w:val="20"/>
          <w:szCs w:val="20"/>
        </w:rPr>
        <w:t>he Consolidated Financial Statements in this 10-Q Report.</w:t>
      </w:r>
    </w:p>
    <w:p w14:paraId="2B014CD8" w14:textId="77777777" w:rsidR="00000000" w:rsidRDefault="000A3118">
      <w:pPr>
        <w:jc w:val="center"/>
        <w:divId w:val="935018644"/>
        <w:rPr>
          <w:rFonts w:eastAsia="Times New Roman"/>
        </w:rPr>
      </w:pPr>
      <w:r>
        <w:rPr>
          <w:rFonts w:eastAsia="Times New Roman"/>
          <w:color w:val="000000"/>
          <w:sz w:val="20"/>
          <w:szCs w:val="20"/>
        </w:rPr>
        <w:t>38</w:t>
      </w:r>
    </w:p>
    <w:p w14:paraId="6BEDCF96" w14:textId="77777777" w:rsidR="00000000" w:rsidRDefault="000A3118">
      <w:pPr>
        <w:rPr>
          <w:rFonts w:eastAsia="Times New Roman"/>
        </w:rPr>
      </w:pPr>
      <w:r>
        <w:rPr>
          <w:rFonts w:eastAsia="Times New Roman"/>
        </w:rPr>
        <w:pict w14:anchorId="6E85678F">
          <v:rect id="_x0000_i1066" style="width:0;height:1.5pt" o:hralign="center" o:hrstd="t" o:hr="t" fillcolor="#a0a0a0" stroked="f"/>
        </w:pict>
      </w:r>
    </w:p>
    <w:p w14:paraId="1D419485" w14:textId="77777777" w:rsidR="00000000" w:rsidRDefault="000A3118">
      <w:pPr>
        <w:divId w:val="1210193658"/>
        <w:rPr>
          <w:rFonts w:eastAsia="Times New Roman"/>
        </w:rPr>
      </w:pPr>
    </w:p>
    <w:p w14:paraId="77EB82DC" w14:textId="77777777" w:rsidR="00000000" w:rsidRDefault="000A3118">
      <w:pPr>
        <w:ind w:firstLine="360"/>
        <w:jc w:val="both"/>
        <w:rPr>
          <w:rFonts w:eastAsia="Times New Roman"/>
        </w:rPr>
      </w:pPr>
    </w:p>
    <w:p w14:paraId="21083C3E" w14:textId="77777777" w:rsidR="00000000" w:rsidRDefault="000A3118">
      <w:pPr>
        <w:ind w:hanging="1080"/>
        <w:divId w:val="293873685"/>
        <w:rPr>
          <w:rFonts w:eastAsia="Times New Roman"/>
        </w:rPr>
      </w:pPr>
      <w:r>
        <w:rPr>
          <w:rFonts w:eastAsia="Times New Roman"/>
          <w:b/>
          <w:bCs/>
          <w:color w:val="000000"/>
          <w:sz w:val="20"/>
          <w:szCs w:val="20"/>
        </w:rPr>
        <w:t>Item 3.    Quantitative and Qualitative Disclosures About Market Risk</w:t>
      </w:r>
    </w:p>
    <w:p w14:paraId="53FBD5FD" w14:textId="77777777" w:rsidR="00000000" w:rsidRDefault="000A3118">
      <w:pPr>
        <w:ind w:firstLine="720"/>
        <w:divId w:val="1418792990"/>
        <w:rPr>
          <w:rFonts w:eastAsia="Times New Roman"/>
        </w:rPr>
      </w:pPr>
      <w:r>
        <w:rPr>
          <w:rFonts w:eastAsia="Times New Roman"/>
          <w:color w:val="000000"/>
          <w:sz w:val="20"/>
          <w:szCs w:val="20"/>
        </w:rPr>
        <w:t> </w:t>
      </w:r>
    </w:p>
    <w:p w14:paraId="7F4D1EFA" w14:textId="77777777" w:rsidR="00000000" w:rsidRDefault="000A3118">
      <w:pPr>
        <w:ind w:firstLine="360"/>
        <w:jc w:val="both"/>
        <w:rPr>
          <w:rFonts w:eastAsia="Times New Roman"/>
        </w:rPr>
      </w:pPr>
      <w:r>
        <w:rPr>
          <w:rFonts w:eastAsia="Times New Roman"/>
          <w:b/>
          <w:bCs/>
          <w:color w:val="000000"/>
          <w:sz w:val="20"/>
          <w:szCs w:val="20"/>
        </w:rPr>
        <w:t>Derivative Instruments</w:t>
      </w:r>
    </w:p>
    <w:p w14:paraId="4CAA5561" w14:textId="77777777" w:rsidR="00000000" w:rsidRDefault="000A3118">
      <w:pPr>
        <w:ind w:firstLine="1080"/>
        <w:jc w:val="both"/>
        <w:rPr>
          <w:rFonts w:eastAsia="Times New Roman"/>
        </w:rPr>
      </w:pPr>
      <w:r>
        <w:rPr>
          <w:rFonts w:eastAsia="Times New Roman"/>
          <w:color w:val="000000"/>
          <w:sz w:val="20"/>
          <w:szCs w:val="20"/>
        </w:rPr>
        <w:t> </w:t>
      </w:r>
    </w:p>
    <w:p w14:paraId="3D9A4E1E" w14:textId="77777777" w:rsidR="00000000" w:rsidRDefault="000A3118">
      <w:pPr>
        <w:ind w:firstLine="360"/>
        <w:jc w:val="both"/>
        <w:rPr>
          <w:rFonts w:eastAsia="Times New Roman"/>
        </w:rPr>
      </w:pPr>
      <w:r>
        <w:rPr>
          <w:rFonts w:eastAsia="Times New Roman"/>
          <w:color w:val="000000"/>
          <w:sz w:val="20"/>
          <w:szCs w:val="20"/>
        </w:rPr>
        <w:t>In March 2020, we entered into a $300 million, one-month LIBOR, floating-for-fixed interest rate non-amortizing swap with a maturity date in March 2025. The swap agreement effectively locks in the variable interest cash flows we will pay for a portion of o</w:t>
      </w:r>
      <w:r>
        <w:rPr>
          <w:rFonts w:eastAsia="Times New Roman"/>
          <w:color w:val="000000"/>
          <w:sz w:val="20"/>
          <w:szCs w:val="20"/>
        </w:rPr>
        <w:t>ur Eurodollar rate loans at 0.55%. The fair value of the interest rate swap contract as of September 30, 2020, was a liability of $4.7 million.</w:t>
      </w:r>
    </w:p>
    <w:p w14:paraId="63B3B39B" w14:textId="77777777" w:rsidR="00000000" w:rsidRDefault="000A3118">
      <w:pPr>
        <w:ind w:firstLine="360"/>
        <w:jc w:val="both"/>
        <w:rPr>
          <w:rFonts w:eastAsia="Times New Roman"/>
        </w:rPr>
      </w:pPr>
    </w:p>
    <w:p w14:paraId="7FFE31EC" w14:textId="77777777" w:rsidR="00000000" w:rsidRDefault="000A3118">
      <w:pPr>
        <w:ind w:firstLine="360"/>
        <w:jc w:val="both"/>
        <w:rPr>
          <w:rFonts w:eastAsia="Times New Roman"/>
        </w:rPr>
      </w:pPr>
      <w:r>
        <w:rPr>
          <w:rFonts w:eastAsia="Times New Roman"/>
          <w:color w:val="000000"/>
          <w:sz w:val="20"/>
          <w:szCs w:val="20"/>
        </w:rPr>
        <w:t>There have been no material changes to our exposures to commodity price or foreign currency risk since December 31, 2019. Please refer to our 2019 10-K Report for a complete discussion of our exposure to these risks.</w:t>
      </w:r>
    </w:p>
    <w:p w14:paraId="55CE2B29" w14:textId="77777777" w:rsidR="00000000" w:rsidRDefault="000A3118">
      <w:pPr>
        <w:ind w:firstLine="360"/>
        <w:jc w:val="both"/>
        <w:rPr>
          <w:rFonts w:eastAsia="Times New Roman"/>
        </w:rPr>
      </w:pPr>
    </w:p>
    <w:p w14:paraId="615AAA9F" w14:textId="77777777" w:rsidR="00000000" w:rsidRDefault="000A3118">
      <w:pPr>
        <w:ind w:firstLine="360"/>
        <w:jc w:val="both"/>
        <w:rPr>
          <w:rFonts w:eastAsia="Times New Roman"/>
        </w:rPr>
      </w:pPr>
      <w:r>
        <w:rPr>
          <w:rFonts w:eastAsia="Times New Roman"/>
          <w:color w:val="000000"/>
          <w:sz w:val="20"/>
          <w:szCs w:val="20"/>
        </w:rPr>
        <w:t xml:space="preserve">For information about our derivative </w:t>
      </w:r>
      <w:r>
        <w:rPr>
          <w:rFonts w:eastAsia="Times New Roman"/>
          <w:color w:val="000000"/>
          <w:sz w:val="20"/>
          <w:szCs w:val="20"/>
        </w:rPr>
        <w:t>instruments at their respective fair value positions as of September 30, 2020, see Note 4. Derivative Instruments accompanying the Consolidated Financial Statements within this 10-Q report.</w:t>
      </w:r>
    </w:p>
    <w:p w14:paraId="6E5070B9" w14:textId="77777777" w:rsidR="00000000" w:rsidRDefault="000A3118">
      <w:pPr>
        <w:ind w:firstLine="360"/>
        <w:jc w:val="both"/>
        <w:rPr>
          <w:rFonts w:eastAsia="Times New Roman"/>
        </w:rPr>
      </w:pPr>
      <w:r>
        <w:rPr>
          <w:rFonts w:eastAsia="Times New Roman"/>
          <w:color w:val="000000"/>
          <w:sz w:val="20"/>
          <w:szCs w:val="20"/>
        </w:rPr>
        <w:t> </w:t>
      </w:r>
    </w:p>
    <w:p w14:paraId="1F0156AE" w14:textId="77777777" w:rsidR="00000000" w:rsidRDefault="000A3118">
      <w:pPr>
        <w:ind w:hanging="1080"/>
        <w:divId w:val="1431313389"/>
        <w:rPr>
          <w:rFonts w:eastAsia="Times New Roman"/>
        </w:rPr>
      </w:pPr>
      <w:r>
        <w:rPr>
          <w:rFonts w:eastAsia="Times New Roman"/>
          <w:b/>
          <w:bCs/>
          <w:color w:val="000000"/>
          <w:sz w:val="20"/>
          <w:szCs w:val="20"/>
        </w:rPr>
        <w:t>Item 4.    Controls and Procedures</w:t>
      </w:r>
    </w:p>
    <w:p w14:paraId="1167133A" w14:textId="77777777" w:rsidR="00000000" w:rsidRDefault="000A3118">
      <w:pPr>
        <w:ind w:hanging="1080"/>
        <w:divId w:val="1674138361"/>
        <w:rPr>
          <w:rFonts w:eastAsia="Times New Roman"/>
        </w:rPr>
      </w:pPr>
      <w:r>
        <w:rPr>
          <w:rFonts w:eastAsia="Times New Roman"/>
          <w:b/>
          <w:bCs/>
          <w:color w:val="000000"/>
          <w:sz w:val="20"/>
          <w:szCs w:val="20"/>
        </w:rPr>
        <w:t> </w:t>
      </w:r>
    </w:p>
    <w:p w14:paraId="3A594C85" w14:textId="77777777" w:rsidR="00000000" w:rsidRDefault="000A3118">
      <w:pPr>
        <w:ind w:firstLine="360"/>
        <w:jc w:val="both"/>
        <w:rPr>
          <w:rFonts w:eastAsia="Times New Roman"/>
        </w:rPr>
      </w:pPr>
      <w:r>
        <w:rPr>
          <w:rFonts w:eastAsia="Times New Roman"/>
          <w:b/>
          <w:bCs/>
          <w:color w:val="000000"/>
          <w:sz w:val="20"/>
          <w:szCs w:val="20"/>
        </w:rPr>
        <w:t xml:space="preserve">Management’s Evaluation of </w:t>
      </w:r>
      <w:r>
        <w:rPr>
          <w:rFonts w:eastAsia="Times New Roman"/>
          <w:b/>
          <w:bCs/>
          <w:color w:val="000000"/>
          <w:sz w:val="20"/>
          <w:szCs w:val="20"/>
        </w:rPr>
        <w:t>Disclosure Controls and Procedures</w:t>
      </w:r>
    </w:p>
    <w:p w14:paraId="0ED969DA" w14:textId="77777777" w:rsidR="00000000" w:rsidRDefault="000A3118">
      <w:pPr>
        <w:ind w:firstLine="360"/>
        <w:jc w:val="both"/>
        <w:rPr>
          <w:rFonts w:eastAsia="Times New Roman"/>
        </w:rPr>
      </w:pPr>
      <w:r>
        <w:rPr>
          <w:rFonts w:eastAsia="Times New Roman"/>
          <w:color w:val="000000"/>
          <w:sz w:val="20"/>
          <w:szCs w:val="20"/>
        </w:rPr>
        <w:t> </w:t>
      </w:r>
    </w:p>
    <w:p w14:paraId="45BE9A60" w14:textId="77777777" w:rsidR="00000000" w:rsidRDefault="000A3118">
      <w:pPr>
        <w:ind w:firstLine="360"/>
        <w:jc w:val="both"/>
        <w:rPr>
          <w:rFonts w:eastAsia="Times New Roman"/>
        </w:rPr>
      </w:pPr>
      <w:r>
        <w:rPr>
          <w:rFonts w:eastAsia="Times New Roman"/>
          <w:color w:val="000000"/>
          <w:sz w:val="20"/>
          <w:szCs w:val="20"/>
        </w:rPr>
        <w:t>We maintain disclosure controls and procedures that are designed to ensure that information required to be disclosed in the reports that we file or submit under the Exchange Act is recorded, processed, summarized and re</w:t>
      </w:r>
      <w:r>
        <w:rPr>
          <w:rFonts w:eastAsia="Times New Roman"/>
          <w:color w:val="000000"/>
          <w:sz w:val="20"/>
          <w:szCs w:val="20"/>
        </w:rPr>
        <w:t>ported within the time periods specified in the SEC’s rules and forms, and that such information is accumulated and communicated to our management, including our Chief Executive Officer (“CEO”) and our Chief Financial Officer (“CFO”), as appropriate, to al</w:t>
      </w:r>
      <w:r>
        <w:rPr>
          <w:rFonts w:eastAsia="Times New Roman"/>
          <w:color w:val="000000"/>
          <w:sz w:val="20"/>
          <w:szCs w:val="20"/>
        </w:rPr>
        <w:t>low timely decisions regarding required financial disclosure.</w:t>
      </w:r>
    </w:p>
    <w:p w14:paraId="3C3527F9" w14:textId="77777777" w:rsidR="00000000" w:rsidRDefault="000A3118">
      <w:pPr>
        <w:ind w:firstLine="360"/>
        <w:jc w:val="both"/>
        <w:rPr>
          <w:rFonts w:eastAsia="Times New Roman"/>
        </w:rPr>
      </w:pPr>
    </w:p>
    <w:p w14:paraId="5E4B3FCA" w14:textId="77777777" w:rsidR="00000000" w:rsidRDefault="000A3118">
      <w:pPr>
        <w:ind w:firstLine="360"/>
        <w:jc w:val="both"/>
        <w:rPr>
          <w:rFonts w:eastAsia="Times New Roman"/>
        </w:rPr>
      </w:pPr>
      <w:r>
        <w:rPr>
          <w:rFonts w:eastAsia="Times New Roman"/>
          <w:color w:val="000000"/>
          <w:sz w:val="20"/>
          <w:szCs w:val="20"/>
        </w:rPr>
        <w:t>As of the end of the period covered by this 10-Q Report, we evaluated, under the supervision and with the participation of our CEO and CFO, the effectiveness of the design and operation of our</w:t>
      </w:r>
      <w:r>
        <w:rPr>
          <w:rFonts w:eastAsia="Times New Roman"/>
          <w:color w:val="000000"/>
          <w:sz w:val="20"/>
          <w:szCs w:val="20"/>
        </w:rPr>
        <w:t xml:space="preserve"> disclosure controls and procedures pursuant to Exchange Act Rule 13a-15(e). Based upon this evaluation, the CEO and CFO concluded that our disclosure controls and procedures were effective at a reasonable assurance level as of September 30, 2020.</w:t>
      </w:r>
    </w:p>
    <w:p w14:paraId="07DB1B67" w14:textId="77777777" w:rsidR="00000000" w:rsidRDefault="000A3118">
      <w:pPr>
        <w:ind w:firstLine="360"/>
        <w:jc w:val="both"/>
        <w:rPr>
          <w:rFonts w:eastAsia="Times New Roman"/>
        </w:rPr>
      </w:pPr>
      <w:r>
        <w:rPr>
          <w:rFonts w:eastAsia="Times New Roman"/>
          <w:color w:val="000000"/>
          <w:sz w:val="20"/>
          <w:szCs w:val="20"/>
        </w:rPr>
        <w:t> </w:t>
      </w:r>
    </w:p>
    <w:p w14:paraId="7BB6EAEC" w14:textId="77777777" w:rsidR="00000000" w:rsidRDefault="000A3118">
      <w:pPr>
        <w:ind w:firstLine="360"/>
        <w:jc w:val="both"/>
        <w:rPr>
          <w:rFonts w:eastAsia="Times New Roman"/>
        </w:rPr>
      </w:pPr>
      <w:r>
        <w:rPr>
          <w:rFonts w:eastAsia="Times New Roman"/>
          <w:b/>
          <w:bCs/>
          <w:color w:val="000000"/>
          <w:sz w:val="20"/>
          <w:szCs w:val="20"/>
        </w:rPr>
        <w:t>Change</w:t>
      </w:r>
      <w:r>
        <w:rPr>
          <w:rFonts w:eastAsia="Times New Roman"/>
          <w:b/>
          <w:bCs/>
          <w:color w:val="000000"/>
          <w:sz w:val="20"/>
          <w:szCs w:val="20"/>
        </w:rPr>
        <w:t>s in Internal Control over Financial Reporting</w:t>
      </w:r>
    </w:p>
    <w:p w14:paraId="335F5BE4" w14:textId="77777777" w:rsidR="00000000" w:rsidRDefault="000A3118">
      <w:pPr>
        <w:ind w:firstLine="360"/>
        <w:jc w:val="both"/>
        <w:rPr>
          <w:rFonts w:eastAsia="Times New Roman"/>
        </w:rPr>
      </w:pPr>
      <w:r>
        <w:rPr>
          <w:rFonts w:eastAsia="Times New Roman"/>
          <w:color w:val="000000"/>
          <w:sz w:val="20"/>
          <w:szCs w:val="20"/>
        </w:rPr>
        <w:t> </w:t>
      </w:r>
    </w:p>
    <w:p w14:paraId="6C5512EA" w14:textId="77777777" w:rsidR="00000000" w:rsidRDefault="000A3118">
      <w:pPr>
        <w:ind w:firstLine="360"/>
        <w:jc w:val="both"/>
        <w:rPr>
          <w:rFonts w:eastAsia="Times New Roman"/>
        </w:rPr>
      </w:pPr>
      <w:r>
        <w:rPr>
          <w:rFonts w:eastAsia="Times New Roman"/>
          <w:color w:val="000000"/>
          <w:sz w:val="20"/>
          <w:szCs w:val="20"/>
        </w:rPr>
        <w:t xml:space="preserve">There were no changes in our internal control over financial reporting that materially affected, or are reasonably likely to materially affect, our internal control over financial reporting during the three </w:t>
      </w:r>
      <w:r>
        <w:rPr>
          <w:rFonts w:eastAsia="Times New Roman"/>
          <w:color w:val="000000"/>
          <w:sz w:val="20"/>
          <w:szCs w:val="20"/>
        </w:rPr>
        <w:t>months ended September 30, 2020.</w:t>
      </w:r>
    </w:p>
    <w:p w14:paraId="16C39A17" w14:textId="77777777" w:rsidR="00000000" w:rsidRDefault="000A3118">
      <w:pPr>
        <w:ind w:firstLine="360"/>
        <w:jc w:val="both"/>
        <w:rPr>
          <w:rFonts w:eastAsia="Times New Roman"/>
        </w:rPr>
      </w:pPr>
      <w:r>
        <w:rPr>
          <w:rFonts w:eastAsia="Times New Roman"/>
          <w:color w:val="000000"/>
          <w:sz w:val="20"/>
          <w:szCs w:val="20"/>
        </w:rPr>
        <w:t> </w:t>
      </w:r>
    </w:p>
    <w:p w14:paraId="68FB1A3A" w14:textId="77777777" w:rsidR="00000000" w:rsidRDefault="000A3118">
      <w:pPr>
        <w:ind w:firstLine="360"/>
        <w:jc w:val="both"/>
        <w:rPr>
          <w:rFonts w:eastAsia="Times New Roman"/>
        </w:rPr>
      </w:pPr>
      <w:r>
        <w:rPr>
          <w:rFonts w:eastAsia="Times New Roman"/>
          <w:color w:val="000000"/>
          <w:sz w:val="20"/>
          <w:szCs w:val="20"/>
        </w:rPr>
        <w:t>It should be noted that any system of controls, however well designed and operated, can provide only reasonable, and not absolute, assurance that the objectives of the system will be met. In addition, the design of any co</w:t>
      </w:r>
      <w:r>
        <w:rPr>
          <w:rFonts w:eastAsia="Times New Roman"/>
          <w:color w:val="000000"/>
          <w:sz w:val="20"/>
          <w:szCs w:val="20"/>
        </w:rPr>
        <w:t>ntrol system is based in part upon certain assumptions about the likelihood of future events. Because of these and other inherent limitations of control systems, there is only the reasonable assurance that our controls will succeed in achieving their goals</w:t>
      </w:r>
      <w:r>
        <w:rPr>
          <w:rFonts w:eastAsia="Times New Roman"/>
          <w:color w:val="000000"/>
          <w:sz w:val="20"/>
          <w:szCs w:val="20"/>
        </w:rPr>
        <w:t xml:space="preserve"> under all potential future conditions.</w:t>
      </w:r>
    </w:p>
    <w:p w14:paraId="042A13EB" w14:textId="77777777" w:rsidR="00000000" w:rsidRDefault="000A3118">
      <w:pPr>
        <w:ind w:firstLine="360"/>
        <w:divId w:val="996228086"/>
        <w:rPr>
          <w:rFonts w:eastAsia="Times New Roman"/>
        </w:rPr>
      </w:pPr>
    </w:p>
    <w:p w14:paraId="5D4AC09D" w14:textId="77777777" w:rsidR="00000000" w:rsidRDefault="000A3118">
      <w:pPr>
        <w:jc w:val="center"/>
        <w:divId w:val="1968003043"/>
        <w:rPr>
          <w:rFonts w:eastAsia="Times New Roman"/>
        </w:rPr>
      </w:pPr>
      <w:r>
        <w:rPr>
          <w:rFonts w:eastAsia="Times New Roman"/>
          <w:color w:val="000000"/>
          <w:sz w:val="20"/>
          <w:szCs w:val="20"/>
        </w:rPr>
        <w:t>39</w:t>
      </w:r>
    </w:p>
    <w:p w14:paraId="17CC2140" w14:textId="77777777" w:rsidR="00000000" w:rsidRDefault="000A3118">
      <w:pPr>
        <w:rPr>
          <w:rFonts w:eastAsia="Times New Roman"/>
        </w:rPr>
      </w:pPr>
      <w:r>
        <w:rPr>
          <w:rFonts w:eastAsia="Times New Roman"/>
        </w:rPr>
        <w:pict w14:anchorId="0EE2D196">
          <v:rect id="_x0000_i1067" style="width:0;height:1.5pt" o:hralign="center" o:hrstd="t" o:hr="t" fillcolor="#a0a0a0" stroked="f"/>
        </w:pict>
      </w:r>
    </w:p>
    <w:p w14:paraId="0D246267" w14:textId="77777777" w:rsidR="00000000" w:rsidRDefault="000A3118">
      <w:pPr>
        <w:divId w:val="1757509941"/>
        <w:rPr>
          <w:rFonts w:eastAsia="Times New Roman"/>
        </w:rPr>
      </w:pPr>
    </w:p>
    <w:p w14:paraId="47DFCE34" w14:textId="77777777" w:rsidR="00000000" w:rsidRDefault="000A3118">
      <w:pPr>
        <w:ind w:firstLine="360"/>
        <w:divId w:val="849414182"/>
        <w:rPr>
          <w:rFonts w:eastAsia="Times New Roman"/>
        </w:rPr>
      </w:pPr>
    </w:p>
    <w:p w14:paraId="6FF670FD" w14:textId="77777777" w:rsidR="00000000" w:rsidRDefault="000A3118">
      <w:pPr>
        <w:divId w:val="438716490"/>
        <w:rPr>
          <w:rFonts w:eastAsia="Times New Roman"/>
        </w:rPr>
      </w:pPr>
      <w:r>
        <w:rPr>
          <w:rFonts w:eastAsia="Times New Roman"/>
          <w:b/>
          <w:bCs/>
          <w:color w:val="000000"/>
          <w:sz w:val="20"/>
          <w:szCs w:val="20"/>
        </w:rPr>
        <w:t>Part II — Other Information</w:t>
      </w:r>
    </w:p>
    <w:p w14:paraId="5C597A6B" w14:textId="77777777" w:rsidR="00000000" w:rsidRDefault="000A3118">
      <w:pPr>
        <w:jc w:val="center"/>
        <w:rPr>
          <w:rFonts w:eastAsia="Times New Roman"/>
        </w:rPr>
      </w:pPr>
    </w:p>
    <w:p w14:paraId="6FBA32E9" w14:textId="77777777" w:rsidR="00000000" w:rsidRDefault="000A3118">
      <w:pPr>
        <w:ind w:hanging="1080"/>
        <w:divId w:val="1633249265"/>
        <w:rPr>
          <w:rFonts w:eastAsia="Times New Roman"/>
        </w:rPr>
      </w:pPr>
      <w:r>
        <w:rPr>
          <w:rFonts w:eastAsia="Times New Roman"/>
          <w:b/>
          <w:bCs/>
          <w:color w:val="000000"/>
          <w:sz w:val="20"/>
          <w:szCs w:val="20"/>
        </w:rPr>
        <w:t>Item 1.     Legal Proceedings</w:t>
      </w:r>
    </w:p>
    <w:p w14:paraId="553FFEE4" w14:textId="77777777" w:rsidR="00000000" w:rsidRDefault="000A3118">
      <w:pPr>
        <w:ind w:firstLine="720"/>
        <w:jc w:val="both"/>
        <w:rPr>
          <w:rFonts w:eastAsia="Times New Roman"/>
        </w:rPr>
      </w:pPr>
      <w:r>
        <w:rPr>
          <w:rFonts w:eastAsia="Times New Roman"/>
          <w:color w:val="000000"/>
          <w:sz w:val="20"/>
          <w:szCs w:val="20"/>
        </w:rPr>
        <w:t> </w:t>
      </w:r>
    </w:p>
    <w:p w14:paraId="1322608D" w14:textId="77777777" w:rsidR="00000000" w:rsidRDefault="000A3118">
      <w:pPr>
        <w:jc w:val="both"/>
        <w:divId w:val="731853485"/>
        <w:rPr>
          <w:rFonts w:eastAsia="Times New Roman"/>
        </w:rPr>
      </w:pPr>
      <w:r>
        <w:rPr>
          <w:rFonts w:eastAsia="Times New Roman"/>
          <w:color w:val="000000"/>
          <w:sz w:val="20"/>
          <w:szCs w:val="20"/>
        </w:rPr>
        <w:t>    From time to time, we are under review by the IRS and various other domestic and foreign tax authorities with regards to income tax and indirect tax m</w:t>
      </w:r>
      <w:r>
        <w:rPr>
          <w:rFonts w:eastAsia="Times New Roman"/>
          <w:color w:val="000000"/>
          <w:sz w:val="20"/>
          <w:szCs w:val="20"/>
        </w:rPr>
        <w:t xml:space="preserve">atters and are involved in various inquiries, audits, challenges and litigation in a number of countries, including, in particular, Brazil, Denmark, South Korea and the U.S. where the amounts under controversy may be material. See Note 8. Income Taxes and </w:t>
      </w:r>
      <w:r>
        <w:rPr>
          <w:rFonts w:eastAsia="Times New Roman"/>
          <w:color w:val="000000"/>
          <w:sz w:val="20"/>
          <w:szCs w:val="20"/>
        </w:rPr>
        <w:t xml:space="preserve">Note 12. Commitments and Contingencies within this 10-Q Report as well as refer to Note 9. Commitments and Contingencies and Note 11. Income Taxes within Part IV. Item 15. Notes to the Consolidated Financial Statements included in our 2019 10-K Report for </w:t>
      </w:r>
      <w:r>
        <w:rPr>
          <w:rFonts w:eastAsia="Times New Roman"/>
          <w:color w:val="000000"/>
          <w:sz w:val="20"/>
          <w:szCs w:val="20"/>
        </w:rPr>
        <w:t>additional details regarding certain tax matters.</w:t>
      </w:r>
    </w:p>
    <w:p w14:paraId="28DEAE08" w14:textId="77777777" w:rsidR="00000000" w:rsidRDefault="000A3118">
      <w:pPr>
        <w:jc w:val="both"/>
        <w:divId w:val="1069421746"/>
        <w:rPr>
          <w:rFonts w:eastAsia="Times New Roman"/>
        </w:rPr>
      </w:pPr>
      <w:r>
        <w:rPr>
          <w:rFonts w:eastAsia="Times New Roman"/>
          <w:color w:val="000000"/>
          <w:sz w:val="20"/>
          <w:szCs w:val="20"/>
        </w:rPr>
        <w:t>    We are also a party to various claims, complaints and proceedings arising in the ordinary course of our business including, but not limited to, environmental claims, commercial and governmental contract</w:t>
      </w:r>
      <w:r>
        <w:rPr>
          <w:rFonts w:eastAsia="Times New Roman"/>
          <w:color w:val="000000"/>
          <w:sz w:val="20"/>
          <w:szCs w:val="20"/>
        </w:rPr>
        <w:t xml:space="preserve"> claims, such as property damage, demurrage, personal injury, billing and fuel quality claims, as well as bankruptcy preference claims and administrative claims. We are not currently a party to any such claim, complaint or proceeding that we expect to have</w:t>
      </w:r>
      <w:r>
        <w:rPr>
          <w:rFonts w:eastAsia="Times New Roman"/>
          <w:color w:val="000000"/>
          <w:sz w:val="20"/>
          <w:szCs w:val="20"/>
        </w:rPr>
        <w:t xml:space="preserve"> a material adverse effect on our business or financial condition. However, any adverse resolution of one or more such claims, complaints or proceedings during a particular reporting period could have a material adverse effect on our Consolidated Financial</w:t>
      </w:r>
      <w:r>
        <w:rPr>
          <w:rFonts w:eastAsia="Times New Roman"/>
          <w:color w:val="000000"/>
          <w:sz w:val="20"/>
          <w:szCs w:val="20"/>
        </w:rPr>
        <w:t xml:space="preserve"> Statements or disclosures for that period.</w:t>
      </w:r>
    </w:p>
    <w:p w14:paraId="01C73437" w14:textId="77777777" w:rsidR="00000000" w:rsidRDefault="000A3118">
      <w:pPr>
        <w:ind w:hanging="1080"/>
        <w:divId w:val="182280753"/>
        <w:rPr>
          <w:rFonts w:eastAsia="Times New Roman"/>
        </w:rPr>
      </w:pPr>
      <w:r>
        <w:rPr>
          <w:rFonts w:eastAsia="Times New Roman"/>
          <w:b/>
          <w:bCs/>
          <w:color w:val="000000"/>
          <w:sz w:val="20"/>
          <w:szCs w:val="20"/>
        </w:rPr>
        <w:t>Item 1A.     Risk Factors</w:t>
      </w:r>
    </w:p>
    <w:p w14:paraId="522AC426" w14:textId="77777777" w:rsidR="00000000" w:rsidRDefault="000A3118">
      <w:pPr>
        <w:ind w:firstLine="720"/>
        <w:jc w:val="both"/>
        <w:rPr>
          <w:rFonts w:eastAsia="Times New Roman"/>
        </w:rPr>
      </w:pPr>
      <w:r>
        <w:rPr>
          <w:rFonts w:eastAsia="Times New Roman"/>
          <w:b/>
          <w:bCs/>
          <w:color w:val="000000"/>
          <w:sz w:val="20"/>
          <w:szCs w:val="20"/>
        </w:rPr>
        <w:t> </w:t>
      </w:r>
    </w:p>
    <w:p w14:paraId="4DB3B90D" w14:textId="77777777" w:rsidR="00000000" w:rsidRDefault="000A3118">
      <w:pPr>
        <w:ind w:firstLine="360"/>
        <w:jc w:val="both"/>
        <w:rPr>
          <w:rFonts w:eastAsia="Times New Roman"/>
        </w:rPr>
      </w:pPr>
      <w:r>
        <w:rPr>
          <w:rFonts w:eastAsia="Times New Roman"/>
          <w:color w:val="000000"/>
          <w:sz w:val="20"/>
          <w:szCs w:val="20"/>
        </w:rPr>
        <w:t>We are supplementing the risk factors described under Part I, Item 1A, Risk Factors of our 2019 10-K Report (the “2019 10-K Risk Factors”) with the additional information and risk fact</w:t>
      </w:r>
      <w:r>
        <w:rPr>
          <w:rFonts w:eastAsia="Times New Roman"/>
          <w:color w:val="000000"/>
          <w:sz w:val="20"/>
          <w:szCs w:val="20"/>
        </w:rPr>
        <w:t>or set forth below, which supplements, and to the extent inconsistent, supersedes the 2019 10-K Risk Factors. The following should be read in conjunction with the 2019 10-K Risk Factors and the information contained in this 10-Q Report, as well as our othe</w:t>
      </w:r>
      <w:r>
        <w:rPr>
          <w:rFonts w:eastAsia="Times New Roman"/>
          <w:color w:val="000000"/>
          <w:sz w:val="20"/>
          <w:szCs w:val="20"/>
        </w:rPr>
        <w:t>r reports filed with the SEC. The developments relating to the COVID-19 pandemic described below have heightened, and in certain cases, may exacerbate the risks disclosed in the 2019 10-K Risk Factors, and such risk factors are further qualified by the inf</w:t>
      </w:r>
      <w:r>
        <w:rPr>
          <w:rFonts w:eastAsia="Times New Roman"/>
          <w:color w:val="000000"/>
          <w:sz w:val="20"/>
          <w:szCs w:val="20"/>
        </w:rPr>
        <w:t>ormation relating to the pandemic that is described in this 10-Q Report. Except as updated herein, there have been no material changes with respect to the 2019 10-K Risk Factors and they are incorporated by reference herein.</w:t>
      </w:r>
    </w:p>
    <w:p w14:paraId="02CF1100" w14:textId="77777777" w:rsidR="00000000" w:rsidRDefault="000A3118">
      <w:pPr>
        <w:jc w:val="both"/>
        <w:rPr>
          <w:rFonts w:eastAsia="Times New Roman"/>
        </w:rPr>
      </w:pPr>
    </w:p>
    <w:p w14:paraId="5CCBE857" w14:textId="77777777" w:rsidR="00000000" w:rsidRDefault="000A3118">
      <w:pPr>
        <w:jc w:val="both"/>
        <w:rPr>
          <w:rFonts w:eastAsia="Times New Roman"/>
        </w:rPr>
      </w:pPr>
      <w:r>
        <w:rPr>
          <w:rFonts w:eastAsia="Times New Roman"/>
          <w:b/>
          <w:bCs/>
          <w:color w:val="000000"/>
          <w:sz w:val="20"/>
          <w:szCs w:val="20"/>
        </w:rPr>
        <w:t xml:space="preserve">Adverse conditions or events </w:t>
      </w:r>
      <w:r>
        <w:rPr>
          <w:rFonts w:eastAsia="Times New Roman"/>
          <w:b/>
          <w:bCs/>
          <w:color w:val="000000"/>
          <w:sz w:val="20"/>
          <w:szCs w:val="20"/>
        </w:rPr>
        <w:t>affecting the aviation, marine and land transportation industries may have a material adverse effect on our business.</w:t>
      </w:r>
    </w:p>
    <w:p w14:paraId="159D4C6B" w14:textId="77777777" w:rsidR="00000000" w:rsidRDefault="000A3118">
      <w:pPr>
        <w:ind w:firstLine="720"/>
        <w:jc w:val="both"/>
        <w:rPr>
          <w:rFonts w:eastAsia="Times New Roman"/>
        </w:rPr>
      </w:pPr>
    </w:p>
    <w:p w14:paraId="4E89642F" w14:textId="77777777" w:rsidR="00000000" w:rsidRDefault="000A3118">
      <w:pPr>
        <w:ind w:firstLine="360"/>
        <w:jc w:val="both"/>
        <w:rPr>
          <w:rFonts w:eastAsia="Times New Roman"/>
        </w:rPr>
      </w:pPr>
      <w:r>
        <w:rPr>
          <w:rFonts w:eastAsia="Times New Roman"/>
          <w:color w:val="000000"/>
          <w:sz w:val="20"/>
          <w:szCs w:val="20"/>
        </w:rPr>
        <w:t>Our business is focused on the marketing of fuel and other related products and services primarily to the aviation, marine and land tran</w:t>
      </w:r>
      <w:r>
        <w:rPr>
          <w:rFonts w:eastAsia="Times New Roman"/>
          <w:color w:val="000000"/>
          <w:sz w:val="20"/>
          <w:szCs w:val="20"/>
        </w:rPr>
        <w:t>sportation industries, which are generally affected by economic cycles. Therefore, weak economic conditions can have a negative impact on the business of our customers which may, in turn, have an adverse effect on our business. For example, the current cor</w:t>
      </w:r>
      <w:r>
        <w:rPr>
          <w:rFonts w:eastAsia="Times New Roman"/>
          <w:color w:val="000000"/>
          <w:sz w:val="20"/>
          <w:szCs w:val="20"/>
        </w:rPr>
        <w:t>onavirus (COVID-19) pandemic has had a significant impact on the global economy generally, as well as the aviation, land and marine transportation industries, where companies operating in these sectors have been experiencing sharp declines in demand arisin</w:t>
      </w:r>
      <w:r>
        <w:rPr>
          <w:rFonts w:eastAsia="Times New Roman"/>
          <w:color w:val="000000"/>
          <w:sz w:val="20"/>
          <w:szCs w:val="20"/>
        </w:rPr>
        <w:t>g from the various measures enacted by governments around the world to contain the spread of the virus. Commercial passenger airlines and cruise lines have been particularly impacted by the travel restrictions and stay-at-home orders, and various other cus</w:t>
      </w:r>
      <w:r>
        <w:rPr>
          <w:rFonts w:eastAsia="Times New Roman"/>
          <w:color w:val="000000"/>
          <w:sz w:val="20"/>
          <w:szCs w:val="20"/>
        </w:rPr>
        <w:t>tomers in each of our segments have also been adversely affected by such restrictions, as well as the extended shutdown of various businesses in affected regions. As a result, we have experienced a decline in sales volume and profitability across our aviat</w:t>
      </w:r>
      <w:r>
        <w:rPr>
          <w:rFonts w:eastAsia="Times New Roman"/>
          <w:color w:val="000000"/>
          <w:sz w:val="20"/>
          <w:szCs w:val="20"/>
        </w:rPr>
        <w:t>ion, land and marine segments. Furthermore, if the pandemic continues for an extended period of time, the financial condition of our customers may further deteriorate such that there is a greater risk of customer bankruptcies and credit losses, either of w</w:t>
      </w:r>
      <w:r>
        <w:rPr>
          <w:rFonts w:eastAsia="Times New Roman"/>
          <w:color w:val="000000"/>
          <w:sz w:val="20"/>
          <w:szCs w:val="20"/>
        </w:rPr>
        <w:t>hich could lead to significant increases in our bad debt expense. For example, during the second quarter of 2020, our provision for bad debt was materially higher, principally in the aviation segment due to the effects of the pandemic on the aviation indus</w:t>
      </w:r>
      <w:r>
        <w:rPr>
          <w:rFonts w:eastAsia="Times New Roman"/>
          <w:color w:val="000000"/>
          <w:sz w:val="20"/>
          <w:szCs w:val="20"/>
        </w:rPr>
        <w:t>try in connection to the global restrictions on air travel. The ultimate magnitude and duration of these adverse impacts on our business will depend on the timing and extent to which the global economy, and our customers in the aviation, land and marine tr</w:t>
      </w:r>
      <w:r>
        <w:rPr>
          <w:rFonts w:eastAsia="Times New Roman"/>
          <w:color w:val="000000"/>
          <w:sz w:val="20"/>
          <w:szCs w:val="20"/>
        </w:rPr>
        <w:t>ansportation industries in particular, recover from the current crisis.</w:t>
      </w:r>
    </w:p>
    <w:p w14:paraId="07D54B93" w14:textId="77777777" w:rsidR="00000000" w:rsidRDefault="000A3118">
      <w:pPr>
        <w:ind w:firstLine="720"/>
        <w:jc w:val="both"/>
        <w:rPr>
          <w:rFonts w:eastAsia="Times New Roman"/>
        </w:rPr>
      </w:pPr>
    </w:p>
    <w:p w14:paraId="1CC0FA7B" w14:textId="77777777" w:rsidR="00000000" w:rsidRDefault="000A3118">
      <w:pPr>
        <w:ind w:firstLine="360"/>
        <w:jc w:val="both"/>
        <w:rPr>
          <w:rFonts w:eastAsia="Times New Roman"/>
        </w:rPr>
      </w:pPr>
      <w:r>
        <w:rPr>
          <w:rFonts w:eastAsia="Times New Roman"/>
          <w:color w:val="000000"/>
          <w:sz w:val="20"/>
          <w:szCs w:val="20"/>
        </w:rPr>
        <w:t>Additionally, our business and that of our customers can be adversely impacted by political instability, terrorist activity, piracy, military action, transportation, terminal or pipe</w:t>
      </w:r>
      <w:r>
        <w:rPr>
          <w:rFonts w:eastAsia="Times New Roman"/>
          <w:color w:val="000000"/>
          <w:sz w:val="20"/>
          <w:szCs w:val="20"/>
        </w:rPr>
        <w:t>line capacity constraints, natural disasters and other weather-related events that disrupt shipping, flight operations, land transportation or the availability of fuel, which may negatively impact sales of our products and services. Any additional politica</w:t>
      </w:r>
      <w:r>
        <w:rPr>
          <w:rFonts w:eastAsia="Times New Roman"/>
          <w:color w:val="000000"/>
          <w:sz w:val="20"/>
          <w:szCs w:val="20"/>
        </w:rPr>
        <w:t>l or governmental developments or other</w:t>
      </w:r>
      <w:r>
        <w:rPr>
          <w:rFonts w:ascii="Arial" w:eastAsia="Times New Roman" w:hAnsi="Arial" w:cs="Arial"/>
          <w:color w:val="212529"/>
          <w:sz w:val="20"/>
          <w:szCs w:val="20"/>
        </w:rPr>
        <w:t xml:space="preserve"> </w:t>
      </w:r>
      <w:r>
        <w:rPr>
          <w:rFonts w:eastAsia="Times New Roman"/>
          <w:color w:val="000000"/>
          <w:sz w:val="20"/>
          <w:szCs w:val="20"/>
        </w:rPr>
        <w:t>global health concerns or crises in the countries in which we or our customers operate, could also result in further social, economic or labor instability. Accordingly, the effects of any of the foregoing risks and u</w:t>
      </w:r>
      <w:r>
        <w:rPr>
          <w:rFonts w:eastAsia="Times New Roman"/>
          <w:color w:val="000000"/>
          <w:sz w:val="20"/>
          <w:szCs w:val="20"/>
        </w:rPr>
        <w:t>ncertainties on us or our customers could have a material adverse effect on our business, results of operations and financial condition.</w:t>
      </w:r>
    </w:p>
    <w:p w14:paraId="3255FD60" w14:textId="77777777" w:rsidR="00000000" w:rsidRDefault="000A3118">
      <w:pPr>
        <w:jc w:val="both"/>
        <w:rPr>
          <w:rFonts w:eastAsia="Times New Roman"/>
        </w:rPr>
      </w:pPr>
    </w:p>
    <w:p w14:paraId="27E62AA9" w14:textId="77777777" w:rsidR="00000000" w:rsidRDefault="000A3118">
      <w:pPr>
        <w:jc w:val="center"/>
        <w:divId w:val="181097053"/>
        <w:rPr>
          <w:rFonts w:eastAsia="Times New Roman"/>
        </w:rPr>
      </w:pPr>
      <w:r>
        <w:rPr>
          <w:rFonts w:eastAsia="Times New Roman"/>
          <w:color w:val="000000"/>
          <w:sz w:val="20"/>
          <w:szCs w:val="20"/>
        </w:rPr>
        <w:t>40</w:t>
      </w:r>
    </w:p>
    <w:p w14:paraId="43FF669E" w14:textId="77777777" w:rsidR="00000000" w:rsidRDefault="000A3118">
      <w:pPr>
        <w:rPr>
          <w:rFonts w:eastAsia="Times New Roman"/>
        </w:rPr>
      </w:pPr>
      <w:r>
        <w:rPr>
          <w:rFonts w:eastAsia="Times New Roman"/>
        </w:rPr>
        <w:pict w14:anchorId="2E8F2C0E">
          <v:rect id="_x0000_i1068" style="width:0;height:1.5pt" o:hralign="center" o:hrstd="t" o:hr="t" fillcolor="#a0a0a0" stroked="f"/>
        </w:pict>
      </w:r>
    </w:p>
    <w:p w14:paraId="38109158" w14:textId="77777777" w:rsidR="00000000" w:rsidRDefault="000A3118">
      <w:pPr>
        <w:divId w:val="1196696634"/>
        <w:rPr>
          <w:rFonts w:eastAsia="Times New Roman"/>
        </w:rPr>
      </w:pPr>
    </w:p>
    <w:p w14:paraId="6EA49D8E" w14:textId="77777777" w:rsidR="00000000" w:rsidRDefault="000A3118">
      <w:pPr>
        <w:ind w:firstLine="360"/>
        <w:jc w:val="both"/>
        <w:rPr>
          <w:rFonts w:eastAsia="Times New Roman"/>
        </w:rPr>
      </w:pPr>
      <w:r>
        <w:rPr>
          <w:rFonts w:eastAsia="Times New Roman"/>
          <w:color w:val="000000"/>
          <w:sz w:val="20"/>
          <w:szCs w:val="20"/>
        </w:rPr>
        <w:t xml:space="preserve">Lastly, our business could also be adversely affected by merger activity in </w:t>
      </w:r>
      <w:r>
        <w:rPr>
          <w:rFonts w:eastAsia="Times New Roman"/>
          <w:color w:val="000000"/>
          <w:sz w:val="20"/>
          <w:szCs w:val="20"/>
        </w:rPr>
        <w:t>the aviation, marine or land transportation industries, which may reduce the number of customers that purchase our products and services, as well as the prices we are able to charge for such products and services. For example, the shipping and aviation ind</w:t>
      </w:r>
      <w:r>
        <w:rPr>
          <w:rFonts w:eastAsia="Times New Roman"/>
          <w:color w:val="000000"/>
          <w:sz w:val="20"/>
          <w:szCs w:val="20"/>
        </w:rPr>
        <w:t>ustries have gone through a period of significant consolidation, which has created a concentration of volume among a limited number of larger shipping companies and commercial airlines. Larger shipping companies and airlines often have greater leverage, ar</w:t>
      </w:r>
      <w:r>
        <w:rPr>
          <w:rFonts w:eastAsia="Times New Roman"/>
          <w:color w:val="000000"/>
          <w:sz w:val="20"/>
          <w:szCs w:val="20"/>
        </w:rPr>
        <w:t>e more sophisticated purchasers of fuel and have a greater ability to buy directly from major oil companies and suppliers. Accordingly, this can negatively impact our value proposition to these types of customers and increases the risk of disintermediation</w:t>
      </w:r>
      <w:r>
        <w:rPr>
          <w:rFonts w:eastAsia="Times New Roman"/>
          <w:color w:val="000000"/>
          <w:sz w:val="20"/>
          <w:szCs w:val="20"/>
        </w:rPr>
        <w:t>.</w:t>
      </w:r>
    </w:p>
    <w:p w14:paraId="3C3D4074" w14:textId="77777777" w:rsidR="00000000" w:rsidRDefault="000A3118">
      <w:pPr>
        <w:jc w:val="both"/>
        <w:rPr>
          <w:rFonts w:eastAsia="Times New Roman"/>
        </w:rPr>
      </w:pPr>
    </w:p>
    <w:p w14:paraId="14DE8353" w14:textId="77777777" w:rsidR="00000000" w:rsidRDefault="000A3118">
      <w:pPr>
        <w:jc w:val="both"/>
        <w:rPr>
          <w:rFonts w:eastAsia="Times New Roman"/>
        </w:rPr>
      </w:pPr>
      <w:r>
        <w:rPr>
          <w:rFonts w:eastAsia="Times New Roman"/>
          <w:b/>
          <w:bCs/>
          <w:color w:val="000000"/>
          <w:sz w:val="20"/>
          <w:szCs w:val="20"/>
        </w:rPr>
        <w:t>The COVID-19 pandemic and related global economic slowdown have recently had an adverse impact on our business and, depending on the duration of the pandemic, could have a material adverse effect on our business, results of operations, financial condition,</w:t>
      </w:r>
      <w:r>
        <w:rPr>
          <w:rFonts w:eastAsia="Times New Roman"/>
          <w:b/>
          <w:bCs/>
          <w:color w:val="000000"/>
          <w:sz w:val="20"/>
          <w:szCs w:val="20"/>
        </w:rPr>
        <w:t xml:space="preserve"> liquidity and cash flows.</w:t>
      </w:r>
    </w:p>
    <w:p w14:paraId="3760D12F" w14:textId="77777777" w:rsidR="00000000" w:rsidRDefault="000A3118">
      <w:pPr>
        <w:jc w:val="both"/>
        <w:rPr>
          <w:rFonts w:eastAsia="Times New Roman"/>
        </w:rPr>
      </w:pPr>
    </w:p>
    <w:p w14:paraId="1845BD3C" w14:textId="77777777" w:rsidR="00000000" w:rsidRDefault="000A3118">
      <w:pPr>
        <w:ind w:firstLine="360"/>
        <w:jc w:val="both"/>
        <w:rPr>
          <w:rFonts w:eastAsia="Times New Roman"/>
        </w:rPr>
      </w:pPr>
      <w:r>
        <w:rPr>
          <w:rFonts w:eastAsia="Times New Roman"/>
          <w:color w:val="000000"/>
          <w:sz w:val="20"/>
          <w:szCs w:val="20"/>
        </w:rPr>
        <w:t>The outbreak of the novel coronavirus (COVID-19), which was declared a pandemic by the World Health Organization in March 2020, has created significant volatility, uncertainty and disruption in the global economy. The rapid spr</w:t>
      </w:r>
      <w:r>
        <w:rPr>
          <w:rFonts w:eastAsia="Times New Roman"/>
          <w:color w:val="000000"/>
          <w:sz w:val="20"/>
          <w:szCs w:val="20"/>
        </w:rPr>
        <w:t>ead of COVID-19 has caused governments around the world to implement stringent measures to help control the spread of the virus, including quarantines, “stay-at-home” or “shelter-in-place” orders, social-distancing mandates, travel restrictions, and closur</w:t>
      </w:r>
      <w:r>
        <w:rPr>
          <w:rFonts w:eastAsia="Times New Roman"/>
          <w:color w:val="000000"/>
          <w:sz w:val="20"/>
          <w:szCs w:val="20"/>
        </w:rPr>
        <w:t>es or reduced operations for businesses, governmental agencies, schools and other institutions, among others. While, governments and central banks in several parts of the world have enacted fiscal and monetary stimulus policies to counteract the adverse ef</w:t>
      </w:r>
      <w:r>
        <w:rPr>
          <w:rFonts w:eastAsia="Times New Roman"/>
          <w:color w:val="000000"/>
          <w:sz w:val="20"/>
          <w:szCs w:val="20"/>
        </w:rPr>
        <w:t>fects of the pandemic, the effectiveness of such actions are still uncertain. Furthermore, the restrictions on travel, “stay-at-home” or “shelter-in-place” orders and business closures led to a precipitous decline in fuel prices during the first half of 20</w:t>
      </w:r>
      <w:r>
        <w:rPr>
          <w:rFonts w:eastAsia="Times New Roman"/>
          <w:color w:val="000000"/>
          <w:sz w:val="20"/>
          <w:szCs w:val="20"/>
        </w:rPr>
        <w:t xml:space="preserve">20 in response to concerns about demand for fuel, further exacerbated by disagreements regarding crude oil production levels between the OPEC members and other oil producing countries such as Russia, as well as related global storage considerations. </w:t>
      </w:r>
    </w:p>
    <w:p w14:paraId="46797360" w14:textId="77777777" w:rsidR="00000000" w:rsidRDefault="000A3118">
      <w:pPr>
        <w:ind w:firstLine="720"/>
        <w:jc w:val="both"/>
        <w:rPr>
          <w:rFonts w:eastAsia="Times New Roman"/>
        </w:rPr>
      </w:pPr>
    </w:p>
    <w:p w14:paraId="3C4BF5C7" w14:textId="77777777" w:rsidR="00000000" w:rsidRDefault="000A3118">
      <w:pPr>
        <w:ind w:firstLine="360"/>
        <w:jc w:val="both"/>
        <w:rPr>
          <w:rFonts w:eastAsia="Times New Roman"/>
        </w:rPr>
      </w:pPr>
      <w:r>
        <w:rPr>
          <w:rFonts w:eastAsia="Times New Roman"/>
          <w:color w:val="000000"/>
          <w:sz w:val="20"/>
          <w:szCs w:val="20"/>
        </w:rPr>
        <w:t xml:space="preserve">In </w:t>
      </w:r>
      <w:r>
        <w:rPr>
          <w:rFonts w:eastAsia="Times New Roman"/>
          <w:color w:val="000000"/>
          <w:sz w:val="20"/>
          <w:szCs w:val="20"/>
        </w:rPr>
        <w:t>response to the pandemic and measures taken by applicable governmental authorities, we took prompt action to ensure the safety of our employees and other stakeholders, as well as commenced a number of initiatives relating to cost reduction, liquidity and o</w:t>
      </w:r>
      <w:r>
        <w:rPr>
          <w:rFonts w:eastAsia="Times New Roman"/>
          <w:color w:val="000000"/>
          <w:sz w:val="20"/>
          <w:szCs w:val="20"/>
        </w:rPr>
        <w:t xml:space="preserve">perating efficiencies. While the pandemic and associated impacts on economic activity had a limited adverse effect on our results of operations and financial condition during the first quarter of 2020, we began to see a sharp decline in demand and related </w:t>
      </w:r>
      <w:r>
        <w:rPr>
          <w:rFonts w:eastAsia="Times New Roman"/>
          <w:color w:val="000000"/>
          <w:sz w:val="20"/>
          <w:szCs w:val="20"/>
        </w:rPr>
        <w:t>sales volume during the second quarter of 2020, as large sectors of the global economy were adversely impacted by the crisis. As the number of coronavirus cases have significantly increased recently in various parts of the world, the duration of the pandem</w:t>
      </w:r>
      <w:r>
        <w:rPr>
          <w:rFonts w:eastAsia="Times New Roman"/>
          <w:color w:val="000000"/>
          <w:sz w:val="20"/>
          <w:szCs w:val="20"/>
        </w:rPr>
        <w:t>ic and the ultimate impact on the global economy continues to be uncertain. Accordingly, the extent of the impact of the pandemic on our results of operations for the balance of the year will be dependent on the duration of the pandemic and the extent of t</w:t>
      </w:r>
      <w:r>
        <w:rPr>
          <w:rFonts w:eastAsia="Times New Roman"/>
          <w:color w:val="000000"/>
          <w:sz w:val="20"/>
          <w:szCs w:val="20"/>
        </w:rPr>
        <w:t>he eventual recovery.</w:t>
      </w:r>
    </w:p>
    <w:p w14:paraId="4920AD35" w14:textId="77777777" w:rsidR="00000000" w:rsidRDefault="000A3118">
      <w:pPr>
        <w:jc w:val="both"/>
        <w:rPr>
          <w:rFonts w:eastAsia="Times New Roman"/>
        </w:rPr>
      </w:pPr>
    </w:p>
    <w:p w14:paraId="05A1A2E6" w14:textId="77777777" w:rsidR="00000000" w:rsidRDefault="000A3118">
      <w:pPr>
        <w:ind w:firstLine="360"/>
        <w:jc w:val="both"/>
        <w:rPr>
          <w:rFonts w:eastAsia="Times New Roman"/>
        </w:rPr>
      </w:pPr>
      <w:r>
        <w:rPr>
          <w:rFonts w:eastAsia="Times New Roman"/>
          <w:color w:val="000000"/>
          <w:sz w:val="20"/>
          <w:szCs w:val="20"/>
        </w:rPr>
        <w:t>Although we are unable to predict the ultimate impact of the COVID-19 pandemic at this time or enumerate all potential risks to our business, given the nature and significance of the crisis, we believe that in addition to the impact</w:t>
      </w:r>
      <w:r>
        <w:rPr>
          <w:rFonts w:eastAsia="Times New Roman"/>
          <w:color w:val="000000"/>
          <w:sz w:val="20"/>
          <w:szCs w:val="20"/>
        </w:rPr>
        <w:t>s described above, other current or potential impacts of this unprecedented event include, but are not limited to:</w:t>
      </w:r>
    </w:p>
    <w:p w14:paraId="24F30076" w14:textId="77777777" w:rsidR="00000000" w:rsidRDefault="000A3118">
      <w:pPr>
        <w:jc w:val="both"/>
        <w:rPr>
          <w:rFonts w:eastAsia="Times New Roman"/>
        </w:rPr>
      </w:pPr>
    </w:p>
    <w:p w14:paraId="19657D78" w14:textId="77777777" w:rsidR="00000000" w:rsidRDefault="000A3118">
      <w:pPr>
        <w:ind w:hanging="360"/>
        <w:jc w:val="both"/>
        <w:divId w:val="775834751"/>
        <w:rPr>
          <w:rFonts w:eastAsia="Times New Roman"/>
        </w:rPr>
      </w:pPr>
      <w:r>
        <w:rPr>
          <w:rFonts w:eastAsia="Times New Roman"/>
          <w:color w:val="000000"/>
          <w:sz w:val="20"/>
          <w:szCs w:val="20"/>
        </w:rPr>
        <w:t>•disruptions in our supply chains due to transportation delays, travel restrictions, cost increases, and closures of businesses or faciliti</w:t>
      </w:r>
      <w:r>
        <w:rPr>
          <w:rFonts w:eastAsia="Times New Roman"/>
          <w:color w:val="000000"/>
          <w:sz w:val="20"/>
          <w:szCs w:val="20"/>
        </w:rPr>
        <w:t>es;</w:t>
      </w:r>
    </w:p>
    <w:p w14:paraId="658B2CD3" w14:textId="77777777" w:rsidR="00000000" w:rsidRDefault="000A3118">
      <w:pPr>
        <w:ind w:hanging="360"/>
        <w:jc w:val="both"/>
        <w:divId w:val="1304577747"/>
        <w:rPr>
          <w:rFonts w:eastAsia="Times New Roman"/>
        </w:rPr>
      </w:pPr>
      <w:r>
        <w:rPr>
          <w:rFonts w:eastAsia="Times New Roman"/>
          <w:color w:val="000000"/>
          <w:sz w:val="20"/>
          <w:szCs w:val="20"/>
        </w:rPr>
        <w:t>•extended periods of reduced demand and low fuel prices that impact our sales volume and related profitability;</w:t>
      </w:r>
    </w:p>
    <w:p w14:paraId="27437864" w14:textId="77777777" w:rsidR="00000000" w:rsidRDefault="000A3118">
      <w:pPr>
        <w:ind w:hanging="360"/>
        <w:jc w:val="both"/>
        <w:divId w:val="712582091"/>
        <w:rPr>
          <w:rFonts w:eastAsia="Times New Roman"/>
        </w:rPr>
      </w:pPr>
      <w:r>
        <w:rPr>
          <w:rFonts w:eastAsia="Times New Roman"/>
          <w:color w:val="000000"/>
          <w:sz w:val="20"/>
          <w:szCs w:val="20"/>
        </w:rPr>
        <w:t>•</w:t>
      </w:r>
      <w:r>
        <w:rPr>
          <w:rFonts w:eastAsia="Times New Roman"/>
          <w:color w:val="000000"/>
          <w:sz w:val="20"/>
          <w:szCs w:val="20"/>
        </w:rPr>
        <w:t>impacts related to delayed customer payments and payment defaults associated with customer liquidity issues and bankruptcies, as well as other liquidity challenges, such as reduced availability under our senior credit facility due to financial covenant res</w:t>
      </w:r>
      <w:r>
        <w:rPr>
          <w:rFonts w:eastAsia="Times New Roman"/>
          <w:color w:val="000000"/>
          <w:sz w:val="20"/>
          <w:szCs w:val="20"/>
        </w:rPr>
        <w:t>trictions tied to our financial performance;</w:t>
      </w:r>
    </w:p>
    <w:p w14:paraId="626E50B8" w14:textId="77777777" w:rsidR="00000000" w:rsidRDefault="000A3118">
      <w:pPr>
        <w:ind w:hanging="360"/>
        <w:jc w:val="both"/>
        <w:divId w:val="941646328"/>
        <w:rPr>
          <w:rFonts w:eastAsia="Times New Roman"/>
        </w:rPr>
      </w:pPr>
      <w:r>
        <w:rPr>
          <w:rFonts w:eastAsia="Times New Roman"/>
          <w:color w:val="000000"/>
          <w:sz w:val="20"/>
          <w:szCs w:val="20"/>
        </w:rPr>
        <w:t xml:space="preserve">•losses on hedging transactions with customers arising from the sharp decline in fuel prices and their inability to benefit from the reduced cost of fuel due to substantial reductions in their operations; </w:t>
      </w:r>
    </w:p>
    <w:p w14:paraId="3D1B8C1E" w14:textId="77777777" w:rsidR="00000000" w:rsidRDefault="000A3118">
      <w:pPr>
        <w:ind w:hanging="360"/>
        <w:jc w:val="both"/>
        <w:divId w:val="386805246"/>
        <w:rPr>
          <w:rFonts w:eastAsia="Times New Roman"/>
        </w:rPr>
      </w:pPr>
      <w:r>
        <w:rPr>
          <w:rFonts w:eastAsia="Times New Roman"/>
          <w:color w:val="000000"/>
          <w:sz w:val="20"/>
          <w:szCs w:val="20"/>
        </w:rPr>
        <w:t>•disr</w:t>
      </w:r>
      <w:r>
        <w:rPr>
          <w:rFonts w:eastAsia="Times New Roman"/>
          <w:color w:val="000000"/>
          <w:sz w:val="20"/>
          <w:szCs w:val="20"/>
        </w:rPr>
        <w:t>uptions resulting from office and facility closures, reductions in operating hours, and changes in operating procedures, including additional cleaning and disinfecting procedures;</w:t>
      </w:r>
    </w:p>
    <w:p w14:paraId="64DB3C9A" w14:textId="77777777" w:rsidR="00000000" w:rsidRDefault="000A3118">
      <w:pPr>
        <w:ind w:hanging="360"/>
        <w:jc w:val="both"/>
        <w:divId w:val="134766228"/>
        <w:rPr>
          <w:rFonts w:eastAsia="Times New Roman"/>
        </w:rPr>
      </w:pPr>
      <w:r>
        <w:rPr>
          <w:rFonts w:eastAsia="Times New Roman"/>
          <w:color w:val="000000"/>
          <w:sz w:val="20"/>
          <w:szCs w:val="20"/>
        </w:rPr>
        <w:t>•possible infections or quarantining of our employees which could impact our</w:t>
      </w:r>
      <w:r>
        <w:rPr>
          <w:rFonts w:eastAsia="Times New Roman"/>
          <w:color w:val="000000"/>
          <w:sz w:val="20"/>
          <w:szCs w:val="20"/>
        </w:rPr>
        <w:t xml:space="preserve"> ability to service our customers or operate our business;</w:t>
      </w:r>
    </w:p>
    <w:p w14:paraId="49B0DAC1" w14:textId="77777777" w:rsidR="00000000" w:rsidRDefault="000A3118">
      <w:pPr>
        <w:ind w:hanging="360"/>
        <w:jc w:val="both"/>
        <w:divId w:val="156194117"/>
        <w:rPr>
          <w:rFonts w:eastAsia="Times New Roman"/>
        </w:rPr>
      </w:pPr>
      <w:r>
        <w:rPr>
          <w:rFonts w:eastAsia="Times New Roman"/>
          <w:color w:val="000000"/>
          <w:sz w:val="20"/>
          <w:szCs w:val="20"/>
        </w:rPr>
        <w:t>•increased costs associated with rationalization of our portfolio of businesses and other restructuring activities;</w:t>
      </w:r>
    </w:p>
    <w:p w14:paraId="20C4ECCA" w14:textId="77777777" w:rsidR="00000000" w:rsidRDefault="000A3118">
      <w:pPr>
        <w:ind w:hanging="360"/>
        <w:jc w:val="both"/>
        <w:divId w:val="1500342096"/>
        <w:rPr>
          <w:rFonts w:eastAsia="Times New Roman"/>
        </w:rPr>
      </w:pPr>
      <w:r>
        <w:rPr>
          <w:rFonts w:eastAsia="Times New Roman"/>
          <w:color w:val="000000"/>
          <w:sz w:val="20"/>
          <w:szCs w:val="20"/>
        </w:rPr>
        <w:t>•asset impairments, including an impairment of the carrying value of our goodwill</w:t>
      </w:r>
      <w:r>
        <w:rPr>
          <w:rFonts w:eastAsia="Times New Roman"/>
          <w:color w:val="000000"/>
          <w:sz w:val="20"/>
          <w:szCs w:val="20"/>
        </w:rPr>
        <w:t xml:space="preserve">, along with other accounting charges if expected future demand for our products and services materially decreases; </w:t>
      </w:r>
    </w:p>
    <w:p w14:paraId="3DBCD095" w14:textId="77777777" w:rsidR="00000000" w:rsidRDefault="000A3118">
      <w:pPr>
        <w:ind w:hanging="360"/>
        <w:jc w:val="both"/>
        <w:divId w:val="46342428"/>
        <w:rPr>
          <w:rFonts w:eastAsia="Times New Roman"/>
        </w:rPr>
      </w:pPr>
      <w:r>
        <w:rPr>
          <w:rFonts w:eastAsia="Times New Roman"/>
          <w:color w:val="000000"/>
          <w:sz w:val="20"/>
          <w:szCs w:val="20"/>
        </w:rPr>
        <w:t xml:space="preserve">•volatility in the global financial markets, which could have a negative impact on our ability to access capital and additional sources of </w:t>
      </w:r>
      <w:r>
        <w:rPr>
          <w:rFonts w:eastAsia="Times New Roman"/>
          <w:color w:val="000000"/>
          <w:sz w:val="20"/>
          <w:szCs w:val="20"/>
        </w:rPr>
        <w:t>financing in the future;</w:t>
      </w:r>
    </w:p>
    <w:p w14:paraId="0F9ABDBF" w14:textId="77777777" w:rsidR="00000000" w:rsidRDefault="000A3118">
      <w:pPr>
        <w:jc w:val="center"/>
        <w:divId w:val="1382099871"/>
        <w:rPr>
          <w:rFonts w:eastAsia="Times New Roman"/>
        </w:rPr>
      </w:pPr>
      <w:r>
        <w:rPr>
          <w:rFonts w:eastAsia="Times New Roman"/>
          <w:color w:val="000000"/>
          <w:sz w:val="20"/>
          <w:szCs w:val="20"/>
        </w:rPr>
        <w:t>41</w:t>
      </w:r>
    </w:p>
    <w:p w14:paraId="3E6E0527" w14:textId="77777777" w:rsidR="00000000" w:rsidRDefault="000A3118">
      <w:pPr>
        <w:rPr>
          <w:rFonts w:eastAsia="Times New Roman"/>
        </w:rPr>
      </w:pPr>
      <w:r>
        <w:rPr>
          <w:rFonts w:eastAsia="Times New Roman"/>
        </w:rPr>
        <w:pict w14:anchorId="4599D047">
          <v:rect id="_x0000_i1069" style="width:0;height:1.5pt" o:hralign="center" o:hrstd="t" o:hr="t" fillcolor="#a0a0a0" stroked="f"/>
        </w:pict>
      </w:r>
    </w:p>
    <w:p w14:paraId="1DC88EEC" w14:textId="77777777" w:rsidR="00000000" w:rsidRDefault="000A3118">
      <w:pPr>
        <w:divId w:val="341006420"/>
        <w:rPr>
          <w:rFonts w:eastAsia="Times New Roman"/>
        </w:rPr>
      </w:pPr>
    </w:p>
    <w:p w14:paraId="321FC0D6" w14:textId="77777777" w:rsidR="00000000" w:rsidRDefault="000A3118">
      <w:pPr>
        <w:ind w:hanging="360"/>
        <w:jc w:val="both"/>
        <w:divId w:val="2018187103"/>
        <w:rPr>
          <w:rFonts w:eastAsia="Times New Roman"/>
        </w:rPr>
      </w:pPr>
      <w:r>
        <w:rPr>
          <w:rFonts w:eastAsia="Times New Roman"/>
          <w:color w:val="000000"/>
          <w:sz w:val="20"/>
          <w:szCs w:val="20"/>
        </w:rPr>
        <w:t>•notices from customers, suppliers and other third parties asserting force majeure or other bases for their non-performance;</w:t>
      </w:r>
    </w:p>
    <w:p w14:paraId="0735A810" w14:textId="77777777" w:rsidR="00000000" w:rsidRDefault="000A3118">
      <w:pPr>
        <w:ind w:hanging="360"/>
        <w:jc w:val="both"/>
        <w:divId w:val="449133309"/>
        <w:rPr>
          <w:rFonts w:eastAsia="Times New Roman"/>
        </w:rPr>
      </w:pPr>
      <w:r>
        <w:rPr>
          <w:rFonts w:eastAsia="Times New Roman"/>
          <w:color w:val="000000"/>
          <w:sz w:val="20"/>
          <w:szCs w:val="20"/>
        </w:rPr>
        <w:t>•reduction of our global workforce to adjust to market conditions</w:t>
      </w:r>
      <w:r>
        <w:rPr>
          <w:rFonts w:eastAsia="Times New Roman"/>
          <w:color w:val="000000"/>
          <w:sz w:val="20"/>
          <w:szCs w:val="20"/>
        </w:rPr>
        <w:t>, including increased costs associated with severance payments, retention issues, and an inability to hire employees when market conditions improve;</w:t>
      </w:r>
    </w:p>
    <w:p w14:paraId="307D2AE1" w14:textId="77777777" w:rsidR="00000000" w:rsidRDefault="000A3118">
      <w:pPr>
        <w:ind w:hanging="360"/>
        <w:jc w:val="both"/>
        <w:divId w:val="278413359"/>
        <w:rPr>
          <w:rFonts w:eastAsia="Times New Roman"/>
        </w:rPr>
      </w:pPr>
      <w:r>
        <w:rPr>
          <w:rFonts w:eastAsia="Times New Roman"/>
          <w:color w:val="000000"/>
          <w:sz w:val="20"/>
          <w:szCs w:val="20"/>
        </w:rPr>
        <w:t>•litigation risk and possible loss contingencies related to COVID-19 and its impact, including with respect</w:t>
      </w:r>
      <w:r>
        <w:rPr>
          <w:rFonts w:eastAsia="Times New Roman"/>
          <w:color w:val="000000"/>
          <w:sz w:val="20"/>
          <w:szCs w:val="20"/>
        </w:rPr>
        <w:t xml:space="preserve"> to commercial contracts, employee matters and insurance arrangements;</w:t>
      </w:r>
    </w:p>
    <w:p w14:paraId="4CE2D500" w14:textId="77777777" w:rsidR="00000000" w:rsidRDefault="000A3118">
      <w:pPr>
        <w:ind w:hanging="360"/>
        <w:jc w:val="both"/>
        <w:divId w:val="1783576822"/>
        <w:rPr>
          <w:rFonts w:eastAsia="Times New Roman"/>
        </w:rPr>
      </w:pPr>
      <w:r>
        <w:rPr>
          <w:rFonts w:eastAsia="Times New Roman"/>
          <w:color w:val="000000"/>
          <w:sz w:val="20"/>
          <w:szCs w:val="20"/>
        </w:rPr>
        <w:t>•heightened risk of cybersecurity issues, as digital technologies may become more vulnerable and experience a higher rate of cyber attacks in a remote connectivity environment;</w:t>
      </w:r>
    </w:p>
    <w:p w14:paraId="351243FB" w14:textId="77777777" w:rsidR="00000000" w:rsidRDefault="000A3118">
      <w:pPr>
        <w:ind w:hanging="360"/>
        <w:jc w:val="both"/>
        <w:divId w:val="1000422724"/>
        <w:rPr>
          <w:rFonts w:eastAsia="Times New Roman"/>
        </w:rPr>
      </w:pPr>
      <w:r>
        <w:rPr>
          <w:rFonts w:eastAsia="Times New Roman"/>
          <w:color w:val="000000"/>
          <w:sz w:val="20"/>
          <w:szCs w:val="20"/>
        </w:rPr>
        <w:t xml:space="preserve">•a need </w:t>
      </w:r>
      <w:r>
        <w:rPr>
          <w:rFonts w:eastAsia="Times New Roman"/>
          <w:color w:val="000000"/>
          <w:sz w:val="20"/>
          <w:szCs w:val="20"/>
        </w:rPr>
        <w:t>to preserve liquidity, which could result in actions such as a reduction or suspension of our quarterly dividend or stock repurchases; and</w:t>
      </w:r>
    </w:p>
    <w:p w14:paraId="18C6CC01" w14:textId="77777777" w:rsidR="00000000" w:rsidRDefault="000A3118">
      <w:pPr>
        <w:ind w:hanging="360"/>
        <w:jc w:val="both"/>
        <w:divId w:val="1809086303"/>
        <w:rPr>
          <w:rFonts w:eastAsia="Times New Roman"/>
        </w:rPr>
      </w:pPr>
      <w:r>
        <w:rPr>
          <w:rFonts w:eastAsia="Times New Roman"/>
          <w:color w:val="000000"/>
          <w:sz w:val="20"/>
          <w:szCs w:val="20"/>
        </w:rPr>
        <w:t>•</w:t>
      </w:r>
      <w:r>
        <w:rPr>
          <w:rFonts w:eastAsia="Times New Roman"/>
          <w:color w:val="000000"/>
          <w:sz w:val="20"/>
          <w:szCs w:val="20"/>
        </w:rPr>
        <w:t>a structural shift in the global economy and its demand for fuel and related products and services as a result of changes in the way people work, travel and interact, or in connection with a global recession.</w:t>
      </w:r>
    </w:p>
    <w:p w14:paraId="1D8CF159" w14:textId="77777777" w:rsidR="00000000" w:rsidRDefault="000A3118">
      <w:pPr>
        <w:ind w:firstLine="360"/>
        <w:jc w:val="both"/>
        <w:rPr>
          <w:rFonts w:eastAsia="Times New Roman"/>
        </w:rPr>
      </w:pPr>
      <w:r>
        <w:rPr>
          <w:rFonts w:eastAsia="Times New Roman"/>
          <w:color w:val="000000"/>
          <w:sz w:val="20"/>
          <w:szCs w:val="20"/>
        </w:rPr>
        <w:t>We are monitoring and continue to assess the on</w:t>
      </w:r>
      <w:r>
        <w:rPr>
          <w:rFonts w:eastAsia="Times New Roman"/>
          <w:color w:val="000000"/>
          <w:sz w:val="20"/>
          <w:szCs w:val="20"/>
        </w:rPr>
        <w:t>going effects of the COVID-19 pandemic on our businesses and operations. Developments related to the pandemic have been rapidly changing, and additional impacts and risks may arise that we may not currently foresee. Furthermore, the full extent to which th</w:t>
      </w:r>
      <w:r>
        <w:rPr>
          <w:rFonts w:eastAsia="Times New Roman"/>
          <w:color w:val="000000"/>
          <w:sz w:val="20"/>
          <w:szCs w:val="20"/>
        </w:rPr>
        <w:t>e pandemic may adversely impact us or our results is currently uncertain and difficult to assess or predict with meaningful precision. We are similarly unable to predict the degree to which the pandemic may ultimately impact our customers, suppliers, and o</w:t>
      </w:r>
      <w:r>
        <w:rPr>
          <w:rFonts w:eastAsia="Times New Roman"/>
          <w:color w:val="000000"/>
          <w:sz w:val="20"/>
          <w:szCs w:val="20"/>
        </w:rPr>
        <w:t xml:space="preserve">ther business partners’ financial condition, but a material effect on these parties could also adversely affect us. </w:t>
      </w:r>
    </w:p>
    <w:p w14:paraId="43139289" w14:textId="77777777" w:rsidR="00000000" w:rsidRDefault="000A3118">
      <w:pPr>
        <w:jc w:val="both"/>
        <w:rPr>
          <w:rFonts w:eastAsia="Times New Roman"/>
        </w:rPr>
      </w:pPr>
    </w:p>
    <w:p w14:paraId="60E97C3E" w14:textId="77777777" w:rsidR="00000000" w:rsidRDefault="000A3118">
      <w:pPr>
        <w:ind w:firstLine="360"/>
        <w:jc w:val="both"/>
        <w:rPr>
          <w:rFonts w:eastAsia="Times New Roman"/>
        </w:rPr>
      </w:pPr>
      <w:r>
        <w:rPr>
          <w:rFonts w:eastAsia="Times New Roman"/>
          <w:color w:val="000000"/>
          <w:sz w:val="20"/>
          <w:szCs w:val="20"/>
        </w:rPr>
        <w:t>The extent to which the pandemic will ultimately impact us will depend on numerous future developments that are highly uncertain, includi</w:t>
      </w:r>
      <w:r>
        <w:rPr>
          <w:rFonts w:eastAsia="Times New Roman"/>
          <w:color w:val="000000"/>
          <w:sz w:val="20"/>
          <w:szCs w:val="20"/>
        </w:rPr>
        <w:t>ng the severity and duration of the crisis and the extent of any further actions taken by governments in response, the ultimate impact on global economic activity and how quickly, and to what extent, normal economic and operating conditions can resume on a</w:t>
      </w:r>
      <w:r>
        <w:rPr>
          <w:rFonts w:eastAsia="Times New Roman"/>
          <w:color w:val="000000"/>
          <w:sz w:val="20"/>
          <w:szCs w:val="20"/>
        </w:rPr>
        <w:t xml:space="preserve"> sustainable basis globally, as well as the extent and duration of the effect of the crisis on consumer confidence and spending.</w:t>
      </w:r>
    </w:p>
    <w:p w14:paraId="785034A1" w14:textId="77777777" w:rsidR="00000000" w:rsidRDefault="000A3118">
      <w:pPr>
        <w:jc w:val="both"/>
        <w:rPr>
          <w:rFonts w:eastAsia="Times New Roman"/>
        </w:rPr>
      </w:pPr>
    </w:p>
    <w:p w14:paraId="38000A16" w14:textId="77777777" w:rsidR="00000000" w:rsidRDefault="000A3118">
      <w:pPr>
        <w:ind w:firstLine="360"/>
        <w:jc w:val="both"/>
        <w:rPr>
          <w:rFonts w:eastAsia="Times New Roman"/>
        </w:rPr>
      </w:pPr>
      <w:r>
        <w:rPr>
          <w:rFonts w:eastAsia="Times New Roman"/>
          <w:color w:val="000000"/>
          <w:sz w:val="20"/>
          <w:szCs w:val="20"/>
        </w:rPr>
        <w:t>Finally, the effects of COVID-19 may remain prevalent for a significant period of time and may continue to adversely affect o</w:t>
      </w:r>
      <w:r>
        <w:rPr>
          <w:rFonts w:eastAsia="Times New Roman"/>
          <w:color w:val="000000"/>
          <w:sz w:val="20"/>
          <w:szCs w:val="20"/>
        </w:rPr>
        <w:t>ur business, results of operations and financial condition even after the outbreak has subsided. The pandemic may also have the effect of exacerbating many of the other risks discussed in our 10-K Risk Factors and this 10-Q Report, which could in turn have</w:t>
      </w:r>
      <w:r>
        <w:rPr>
          <w:rFonts w:eastAsia="Times New Roman"/>
          <w:color w:val="000000"/>
          <w:sz w:val="20"/>
          <w:szCs w:val="20"/>
        </w:rPr>
        <w:t xml:space="preserve"> a material adverse effect on us. Accordingly, the occurrence of one or more the foregoing factors could increase our costs and/or reduce the demand for our products, which could therefore have a material adverse effect on our business, financial condition</w:t>
      </w:r>
      <w:r>
        <w:rPr>
          <w:rFonts w:eastAsia="Times New Roman"/>
          <w:color w:val="000000"/>
          <w:sz w:val="20"/>
          <w:szCs w:val="20"/>
        </w:rPr>
        <w:t xml:space="preserve">, results of operations, liquidity and cash flows. For additional information on the impact of the pandemic, see “Management’s Discussion and Analysis of Financial Condition and Results of Operations - Business Overview” and for a discussion of the impact </w:t>
      </w:r>
      <w:r>
        <w:rPr>
          <w:rFonts w:eastAsia="Times New Roman"/>
          <w:color w:val="000000"/>
          <w:sz w:val="20"/>
          <w:szCs w:val="20"/>
        </w:rPr>
        <w:t>of changes in fuel prices on our business, see the 2019 10-K Risk Factors.</w:t>
      </w:r>
    </w:p>
    <w:p w14:paraId="748FC2BC" w14:textId="77777777" w:rsidR="00000000" w:rsidRDefault="000A3118">
      <w:pPr>
        <w:ind w:firstLine="360"/>
        <w:jc w:val="both"/>
        <w:divId w:val="297882117"/>
        <w:rPr>
          <w:rFonts w:eastAsia="Times New Roman"/>
        </w:rPr>
      </w:pPr>
    </w:p>
    <w:p w14:paraId="4A2E90D8" w14:textId="77777777" w:rsidR="00000000" w:rsidRDefault="000A3118">
      <w:pPr>
        <w:divId w:val="651328980"/>
        <w:rPr>
          <w:rFonts w:eastAsia="Times New Roman"/>
        </w:rPr>
      </w:pPr>
    </w:p>
    <w:p w14:paraId="777793B2" w14:textId="77777777" w:rsidR="00000000" w:rsidRDefault="000A3118">
      <w:pPr>
        <w:ind w:hanging="1080"/>
        <w:divId w:val="1842618467"/>
        <w:rPr>
          <w:rFonts w:eastAsia="Times New Roman"/>
        </w:rPr>
      </w:pPr>
      <w:r>
        <w:rPr>
          <w:rFonts w:eastAsia="Times New Roman"/>
          <w:b/>
          <w:bCs/>
          <w:color w:val="000000"/>
          <w:sz w:val="20"/>
          <w:szCs w:val="20"/>
        </w:rPr>
        <w:t>Item 2.     Unregistered Sales of Equity Securities and Use of Proceeds</w:t>
      </w:r>
    </w:p>
    <w:p w14:paraId="4169FCB7" w14:textId="77777777" w:rsidR="00000000" w:rsidRDefault="000A3118">
      <w:pPr>
        <w:ind w:firstLine="720"/>
        <w:divId w:val="206259666"/>
        <w:rPr>
          <w:rFonts w:eastAsia="Times New Roman"/>
        </w:rPr>
      </w:pPr>
    </w:p>
    <w:p w14:paraId="1A10C56F" w14:textId="77777777" w:rsidR="00000000" w:rsidRDefault="000A3118">
      <w:pPr>
        <w:ind w:firstLine="360"/>
        <w:jc w:val="both"/>
        <w:rPr>
          <w:rFonts w:eastAsia="Times New Roman"/>
        </w:rPr>
      </w:pPr>
      <w:r>
        <w:rPr>
          <w:rFonts w:eastAsia="Times New Roman"/>
          <w:b/>
          <w:bCs/>
          <w:color w:val="000000"/>
          <w:sz w:val="20"/>
          <w:szCs w:val="20"/>
        </w:rPr>
        <w:t>Issuer Purchases of Equity Securities</w:t>
      </w:r>
    </w:p>
    <w:p w14:paraId="1072FBB5" w14:textId="77777777" w:rsidR="00000000" w:rsidRDefault="000A3118">
      <w:pPr>
        <w:ind w:firstLine="360"/>
        <w:jc w:val="both"/>
        <w:rPr>
          <w:rFonts w:eastAsia="Times New Roman"/>
        </w:rPr>
      </w:pPr>
    </w:p>
    <w:p w14:paraId="262F1411" w14:textId="77777777" w:rsidR="00000000" w:rsidRDefault="000A3118">
      <w:pPr>
        <w:ind w:firstLine="360"/>
        <w:jc w:val="both"/>
        <w:rPr>
          <w:rFonts w:eastAsia="Times New Roman"/>
        </w:rPr>
      </w:pPr>
      <w:r>
        <w:rPr>
          <w:rFonts w:eastAsia="Times New Roman"/>
          <w:color w:val="000000"/>
          <w:sz w:val="20"/>
          <w:szCs w:val="20"/>
        </w:rPr>
        <w:t>The following table presents information with respect to repurc</w:t>
      </w:r>
      <w:r>
        <w:rPr>
          <w:rFonts w:eastAsia="Times New Roman"/>
          <w:color w:val="000000"/>
          <w:sz w:val="20"/>
          <w:szCs w:val="20"/>
        </w:rPr>
        <w:t>hases of common stock made by us during the quarterly period ended September 30, 2020 (in thousands, except average price paid per share):</w:t>
      </w:r>
    </w:p>
    <w:tbl>
      <w:tblPr>
        <w:tblW w:w="4992" w:type="pct"/>
        <w:tblCellMar>
          <w:top w:w="15" w:type="dxa"/>
          <w:left w:w="15" w:type="dxa"/>
          <w:bottom w:w="15" w:type="dxa"/>
          <w:right w:w="15" w:type="dxa"/>
        </w:tblCellMar>
        <w:tblLook w:val="04A0" w:firstRow="1" w:lastRow="0" w:firstColumn="1" w:lastColumn="0" w:noHBand="0" w:noVBand="1"/>
      </w:tblPr>
      <w:tblGrid>
        <w:gridCol w:w="38"/>
        <w:gridCol w:w="1901"/>
        <w:gridCol w:w="36"/>
        <w:gridCol w:w="36"/>
        <w:gridCol w:w="36"/>
        <w:gridCol w:w="36"/>
        <w:gridCol w:w="57"/>
        <w:gridCol w:w="1261"/>
        <w:gridCol w:w="36"/>
        <w:gridCol w:w="36"/>
        <w:gridCol w:w="36"/>
        <w:gridCol w:w="36"/>
        <w:gridCol w:w="101"/>
        <w:gridCol w:w="1282"/>
        <w:gridCol w:w="36"/>
        <w:gridCol w:w="36"/>
        <w:gridCol w:w="36"/>
        <w:gridCol w:w="36"/>
        <w:gridCol w:w="80"/>
        <w:gridCol w:w="1349"/>
        <w:gridCol w:w="36"/>
        <w:gridCol w:w="36"/>
        <w:gridCol w:w="36"/>
        <w:gridCol w:w="36"/>
        <w:gridCol w:w="101"/>
        <w:gridCol w:w="1511"/>
        <w:gridCol w:w="36"/>
      </w:tblGrid>
      <w:tr w:rsidR="00000000" w14:paraId="7DEEF16B" w14:textId="77777777">
        <w:trPr>
          <w:divId w:val="232275951"/>
        </w:trPr>
        <w:tc>
          <w:tcPr>
            <w:tcW w:w="50" w:type="pct"/>
            <w:vAlign w:val="center"/>
            <w:hideMark/>
          </w:tcPr>
          <w:p w14:paraId="77218453" w14:textId="77777777" w:rsidR="00000000" w:rsidRDefault="000A3118">
            <w:pPr>
              <w:ind w:firstLine="360"/>
              <w:jc w:val="both"/>
              <w:rPr>
                <w:rFonts w:eastAsia="Times New Roman"/>
              </w:rPr>
            </w:pPr>
          </w:p>
        </w:tc>
        <w:tc>
          <w:tcPr>
            <w:tcW w:w="1196" w:type="pct"/>
            <w:vAlign w:val="center"/>
            <w:hideMark/>
          </w:tcPr>
          <w:p w14:paraId="5BDE4E2D" w14:textId="77777777" w:rsidR="00000000" w:rsidRDefault="000A3118">
            <w:pPr>
              <w:rPr>
                <w:rFonts w:eastAsia="Times New Roman"/>
                <w:sz w:val="20"/>
                <w:szCs w:val="20"/>
              </w:rPr>
            </w:pPr>
          </w:p>
        </w:tc>
        <w:tc>
          <w:tcPr>
            <w:tcW w:w="5" w:type="pct"/>
            <w:vAlign w:val="center"/>
            <w:hideMark/>
          </w:tcPr>
          <w:p w14:paraId="7A69EF15" w14:textId="77777777" w:rsidR="00000000" w:rsidRDefault="000A3118">
            <w:pPr>
              <w:rPr>
                <w:rFonts w:eastAsia="Times New Roman"/>
                <w:sz w:val="20"/>
                <w:szCs w:val="20"/>
              </w:rPr>
            </w:pPr>
          </w:p>
        </w:tc>
        <w:tc>
          <w:tcPr>
            <w:tcW w:w="5" w:type="pct"/>
            <w:vAlign w:val="center"/>
            <w:hideMark/>
          </w:tcPr>
          <w:p w14:paraId="4D05F78F" w14:textId="77777777" w:rsidR="00000000" w:rsidRDefault="000A3118">
            <w:pPr>
              <w:rPr>
                <w:rFonts w:eastAsia="Times New Roman"/>
                <w:sz w:val="20"/>
                <w:szCs w:val="20"/>
              </w:rPr>
            </w:pPr>
          </w:p>
        </w:tc>
        <w:tc>
          <w:tcPr>
            <w:tcW w:w="26" w:type="pct"/>
            <w:vAlign w:val="center"/>
            <w:hideMark/>
          </w:tcPr>
          <w:p w14:paraId="78F6F765" w14:textId="77777777" w:rsidR="00000000" w:rsidRDefault="000A3118">
            <w:pPr>
              <w:rPr>
                <w:rFonts w:eastAsia="Times New Roman"/>
                <w:sz w:val="20"/>
                <w:szCs w:val="20"/>
              </w:rPr>
            </w:pPr>
          </w:p>
        </w:tc>
        <w:tc>
          <w:tcPr>
            <w:tcW w:w="5" w:type="pct"/>
            <w:vAlign w:val="center"/>
            <w:hideMark/>
          </w:tcPr>
          <w:p w14:paraId="357DE4B7" w14:textId="77777777" w:rsidR="00000000" w:rsidRDefault="000A3118">
            <w:pPr>
              <w:rPr>
                <w:rFonts w:eastAsia="Times New Roman"/>
                <w:sz w:val="20"/>
                <w:szCs w:val="20"/>
              </w:rPr>
            </w:pPr>
          </w:p>
        </w:tc>
        <w:tc>
          <w:tcPr>
            <w:tcW w:w="50" w:type="pct"/>
            <w:vAlign w:val="center"/>
            <w:hideMark/>
          </w:tcPr>
          <w:p w14:paraId="39BC003F" w14:textId="77777777" w:rsidR="00000000" w:rsidRDefault="000A3118">
            <w:pPr>
              <w:rPr>
                <w:rFonts w:eastAsia="Times New Roman"/>
                <w:sz w:val="20"/>
                <w:szCs w:val="20"/>
              </w:rPr>
            </w:pPr>
          </w:p>
        </w:tc>
        <w:tc>
          <w:tcPr>
            <w:tcW w:w="845" w:type="pct"/>
            <w:vAlign w:val="center"/>
            <w:hideMark/>
          </w:tcPr>
          <w:p w14:paraId="7C623A77" w14:textId="77777777" w:rsidR="00000000" w:rsidRDefault="000A3118">
            <w:pPr>
              <w:rPr>
                <w:rFonts w:eastAsia="Times New Roman"/>
                <w:sz w:val="20"/>
                <w:szCs w:val="20"/>
              </w:rPr>
            </w:pPr>
          </w:p>
        </w:tc>
        <w:tc>
          <w:tcPr>
            <w:tcW w:w="5" w:type="pct"/>
            <w:vAlign w:val="center"/>
            <w:hideMark/>
          </w:tcPr>
          <w:p w14:paraId="5F69CF4E" w14:textId="77777777" w:rsidR="00000000" w:rsidRDefault="000A3118">
            <w:pPr>
              <w:rPr>
                <w:rFonts w:eastAsia="Times New Roman"/>
                <w:sz w:val="20"/>
                <w:szCs w:val="20"/>
              </w:rPr>
            </w:pPr>
          </w:p>
        </w:tc>
        <w:tc>
          <w:tcPr>
            <w:tcW w:w="5" w:type="pct"/>
            <w:vAlign w:val="center"/>
            <w:hideMark/>
          </w:tcPr>
          <w:p w14:paraId="7942C8B6" w14:textId="77777777" w:rsidR="00000000" w:rsidRDefault="000A3118">
            <w:pPr>
              <w:rPr>
                <w:rFonts w:eastAsia="Times New Roman"/>
                <w:sz w:val="20"/>
                <w:szCs w:val="20"/>
              </w:rPr>
            </w:pPr>
          </w:p>
        </w:tc>
        <w:tc>
          <w:tcPr>
            <w:tcW w:w="26" w:type="pct"/>
            <w:vAlign w:val="center"/>
            <w:hideMark/>
          </w:tcPr>
          <w:p w14:paraId="121AE51B" w14:textId="77777777" w:rsidR="00000000" w:rsidRDefault="000A3118">
            <w:pPr>
              <w:rPr>
                <w:rFonts w:eastAsia="Times New Roman"/>
                <w:sz w:val="20"/>
                <w:szCs w:val="20"/>
              </w:rPr>
            </w:pPr>
          </w:p>
        </w:tc>
        <w:tc>
          <w:tcPr>
            <w:tcW w:w="5" w:type="pct"/>
            <w:vAlign w:val="center"/>
            <w:hideMark/>
          </w:tcPr>
          <w:p w14:paraId="2CD4015F" w14:textId="77777777" w:rsidR="00000000" w:rsidRDefault="000A3118">
            <w:pPr>
              <w:rPr>
                <w:rFonts w:eastAsia="Times New Roman"/>
                <w:sz w:val="20"/>
                <w:szCs w:val="20"/>
              </w:rPr>
            </w:pPr>
          </w:p>
        </w:tc>
        <w:tc>
          <w:tcPr>
            <w:tcW w:w="50" w:type="pct"/>
            <w:vAlign w:val="center"/>
            <w:hideMark/>
          </w:tcPr>
          <w:p w14:paraId="5C4554B4" w14:textId="77777777" w:rsidR="00000000" w:rsidRDefault="000A3118">
            <w:pPr>
              <w:rPr>
                <w:rFonts w:eastAsia="Times New Roman"/>
                <w:sz w:val="20"/>
                <w:szCs w:val="20"/>
              </w:rPr>
            </w:pPr>
          </w:p>
        </w:tc>
        <w:tc>
          <w:tcPr>
            <w:tcW w:w="845" w:type="pct"/>
            <w:vAlign w:val="center"/>
            <w:hideMark/>
          </w:tcPr>
          <w:p w14:paraId="6ACF6A42" w14:textId="77777777" w:rsidR="00000000" w:rsidRDefault="000A3118">
            <w:pPr>
              <w:rPr>
                <w:rFonts w:eastAsia="Times New Roman"/>
                <w:sz w:val="20"/>
                <w:szCs w:val="20"/>
              </w:rPr>
            </w:pPr>
          </w:p>
        </w:tc>
        <w:tc>
          <w:tcPr>
            <w:tcW w:w="5" w:type="pct"/>
            <w:vAlign w:val="center"/>
            <w:hideMark/>
          </w:tcPr>
          <w:p w14:paraId="322C6342" w14:textId="77777777" w:rsidR="00000000" w:rsidRDefault="000A3118">
            <w:pPr>
              <w:rPr>
                <w:rFonts w:eastAsia="Times New Roman"/>
                <w:sz w:val="20"/>
                <w:szCs w:val="20"/>
              </w:rPr>
            </w:pPr>
          </w:p>
        </w:tc>
        <w:tc>
          <w:tcPr>
            <w:tcW w:w="5" w:type="pct"/>
            <w:vAlign w:val="center"/>
            <w:hideMark/>
          </w:tcPr>
          <w:p w14:paraId="6BE8A96D" w14:textId="77777777" w:rsidR="00000000" w:rsidRDefault="000A3118">
            <w:pPr>
              <w:rPr>
                <w:rFonts w:eastAsia="Times New Roman"/>
                <w:sz w:val="20"/>
                <w:szCs w:val="20"/>
              </w:rPr>
            </w:pPr>
          </w:p>
        </w:tc>
        <w:tc>
          <w:tcPr>
            <w:tcW w:w="26" w:type="pct"/>
            <w:vAlign w:val="center"/>
            <w:hideMark/>
          </w:tcPr>
          <w:p w14:paraId="57B89B41" w14:textId="77777777" w:rsidR="00000000" w:rsidRDefault="000A3118">
            <w:pPr>
              <w:rPr>
                <w:rFonts w:eastAsia="Times New Roman"/>
                <w:sz w:val="20"/>
                <w:szCs w:val="20"/>
              </w:rPr>
            </w:pPr>
          </w:p>
        </w:tc>
        <w:tc>
          <w:tcPr>
            <w:tcW w:w="5" w:type="pct"/>
            <w:vAlign w:val="center"/>
            <w:hideMark/>
          </w:tcPr>
          <w:p w14:paraId="6028F2BD" w14:textId="77777777" w:rsidR="00000000" w:rsidRDefault="000A3118">
            <w:pPr>
              <w:rPr>
                <w:rFonts w:eastAsia="Times New Roman"/>
                <w:sz w:val="20"/>
                <w:szCs w:val="20"/>
              </w:rPr>
            </w:pPr>
          </w:p>
        </w:tc>
        <w:tc>
          <w:tcPr>
            <w:tcW w:w="50" w:type="pct"/>
            <w:vAlign w:val="center"/>
            <w:hideMark/>
          </w:tcPr>
          <w:p w14:paraId="1DF52C9B" w14:textId="77777777" w:rsidR="00000000" w:rsidRDefault="000A3118">
            <w:pPr>
              <w:rPr>
                <w:rFonts w:eastAsia="Times New Roman"/>
                <w:sz w:val="20"/>
                <w:szCs w:val="20"/>
              </w:rPr>
            </w:pPr>
          </w:p>
        </w:tc>
        <w:tc>
          <w:tcPr>
            <w:tcW w:w="845" w:type="pct"/>
            <w:vAlign w:val="center"/>
            <w:hideMark/>
          </w:tcPr>
          <w:p w14:paraId="61BCF805" w14:textId="77777777" w:rsidR="00000000" w:rsidRDefault="000A3118">
            <w:pPr>
              <w:rPr>
                <w:rFonts w:eastAsia="Times New Roman"/>
                <w:sz w:val="20"/>
                <w:szCs w:val="20"/>
              </w:rPr>
            </w:pPr>
          </w:p>
        </w:tc>
        <w:tc>
          <w:tcPr>
            <w:tcW w:w="5" w:type="pct"/>
            <w:vAlign w:val="center"/>
            <w:hideMark/>
          </w:tcPr>
          <w:p w14:paraId="2983BD1F" w14:textId="77777777" w:rsidR="00000000" w:rsidRDefault="000A3118">
            <w:pPr>
              <w:rPr>
                <w:rFonts w:eastAsia="Times New Roman"/>
                <w:sz w:val="20"/>
                <w:szCs w:val="20"/>
              </w:rPr>
            </w:pPr>
          </w:p>
        </w:tc>
        <w:tc>
          <w:tcPr>
            <w:tcW w:w="5" w:type="pct"/>
            <w:vAlign w:val="center"/>
            <w:hideMark/>
          </w:tcPr>
          <w:p w14:paraId="3DFB17EB" w14:textId="77777777" w:rsidR="00000000" w:rsidRDefault="000A3118">
            <w:pPr>
              <w:rPr>
                <w:rFonts w:eastAsia="Times New Roman"/>
                <w:sz w:val="20"/>
                <w:szCs w:val="20"/>
              </w:rPr>
            </w:pPr>
          </w:p>
        </w:tc>
        <w:tc>
          <w:tcPr>
            <w:tcW w:w="26" w:type="pct"/>
            <w:vAlign w:val="center"/>
            <w:hideMark/>
          </w:tcPr>
          <w:p w14:paraId="64D15B0D" w14:textId="77777777" w:rsidR="00000000" w:rsidRDefault="000A3118">
            <w:pPr>
              <w:rPr>
                <w:rFonts w:eastAsia="Times New Roman"/>
                <w:sz w:val="20"/>
                <w:szCs w:val="20"/>
              </w:rPr>
            </w:pPr>
          </w:p>
        </w:tc>
        <w:tc>
          <w:tcPr>
            <w:tcW w:w="5" w:type="pct"/>
            <w:vAlign w:val="center"/>
            <w:hideMark/>
          </w:tcPr>
          <w:p w14:paraId="4E9EE2E7" w14:textId="77777777" w:rsidR="00000000" w:rsidRDefault="000A3118">
            <w:pPr>
              <w:rPr>
                <w:rFonts w:eastAsia="Times New Roman"/>
                <w:sz w:val="20"/>
                <w:szCs w:val="20"/>
              </w:rPr>
            </w:pPr>
          </w:p>
        </w:tc>
        <w:tc>
          <w:tcPr>
            <w:tcW w:w="50" w:type="pct"/>
            <w:vAlign w:val="center"/>
            <w:hideMark/>
          </w:tcPr>
          <w:p w14:paraId="4073A850" w14:textId="77777777" w:rsidR="00000000" w:rsidRDefault="000A3118">
            <w:pPr>
              <w:rPr>
                <w:rFonts w:eastAsia="Times New Roman"/>
                <w:sz w:val="20"/>
                <w:szCs w:val="20"/>
              </w:rPr>
            </w:pPr>
          </w:p>
        </w:tc>
        <w:tc>
          <w:tcPr>
            <w:tcW w:w="845" w:type="pct"/>
            <w:vAlign w:val="center"/>
            <w:hideMark/>
          </w:tcPr>
          <w:p w14:paraId="300CCA39" w14:textId="77777777" w:rsidR="00000000" w:rsidRDefault="000A3118">
            <w:pPr>
              <w:rPr>
                <w:rFonts w:eastAsia="Times New Roman"/>
                <w:sz w:val="20"/>
                <w:szCs w:val="20"/>
              </w:rPr>
            </w:pPr>
          </w:p>
        </w:tc>
        <w:tc>
          <w:tcPr>
            <w:tcW w:w="5" w:type="pct"/>
            <w:vAlign w:val="center"/>
            <w:hideMark/>
          </w:tcPr>
          <w:p w14:paraId="75B6B948" w14:textId="77777777" w:rsidR="00000000" w:rsidRDefault="000A3118">
            <w:pPr>
              <w:rPr>
                <w:rFonts w:eastAsia="Times New Roman"/>
                <w:sz w:val="20"/>
                <w:szCs w:val="20"/>
              </w:rPr>
            </w:pPr>
          </w:p>
        </w:tc>
      </w:tr>
      <w:tr w:rsidR="00000000" w14:paraId="31745E03" w14:textId="77777777">
        <w:trPr>
          <w:divId w:val="232275951"/>
        </w:trPr>
        <w:tc>
          <w:tcPr>
            <w:tcW w:w="0" w:type="auto"/>
            <w:gridSpan w:val="3"/>
            <w:tcMar>
              <w:top w:w="30" w:type="dxa"/>
              <w:left w:w="20" w:type="dxa"/>
              <w:bottom w:w="30" w:type="dxa"/>
              <w:right w:w="20" w:type="dxa"/>
            </w:tcMar>
            <w:vAlign w:val="bottom"/>
            <w:hideMark/>
          </w:tcPr>
          <w:p w14:paraId="52B09639" w14:textId="77777777" w:rsidR="00000000" w:rsidRDefault="000A3118">
            <w:pPr>
              <w:rPr>
                <w:rFonts w:eastAsia="Times New Roman"/>
              </w:rPr>
            </w:pPr>
            <w:r>
              <w:rPr>
                <w:rFonts w:eastAsia="Times New Roman"/>
                <w:b/>
                <w:bCs/>
                <w:color w:val="000000"/>
                <w:sz w:val="16"/>
                <w:szCs w:val="16"/>
              </w:rPr>
              <w:t>Period</w:t>
            </w:r>
          </w:p>
        </w:tc>
        <w:tc>
          <w:tcPr>
            <w:tcW w:w="0" w:type="auto"/>
            <w:gridSpan w:val="3"/>
            <w:tcMar>
              <w:top w:w="0" w:type="dxa"/>
              <w:left w:w="20" w:type="dxa"/>
              <w:bottom w:w="0" w:type="dxa"/>
              <w:right w:w="20" w:type="dxa"/>
            </w:tcMar>
            <w:vAlign w:val="center"/>
            <w:hideMark/>
          </w:tcPr>
          <w:p w14:paraId="5B7FE864" w14:textId="77777777" w:rsidR="00000000" w:rsidRDefault="000A3118">
            <w:pPr>
              <w:rPr>
                <w:rFonts w:eastAsia="Times New Roman"/>
              </w:rPr>
            </w:pPr>
          </w:p>
        </w:tc>
        <w:tc>
          <w:tcPr>
            <w:tcW w:w="0" w:type="auto"/>
            <w:gridSpan w:val="3"/>
            <w:tcMar>
              <w:top w:w="30" w:type="dxa"/>
              <w:left w:w="20" w:type="dxa"/>
              <w:bottom w:w="30" w:type="dxa"/>
              <w:right w:w="20" w:type="dxa"/>
            </w:tcMar>
            <w:vAlign w:val="bottom"/>
            <w:hideMark/>
          </w:tcPr>
          <w:p w14:paraId="55031C71" w14:textId="77777777" w:rsidR="00000000" w:rsidRDefault="000A3118">
            <w:pPr>
              <w:jc w:val="center"/>
              <w:rPr>
                <w:rFonts w:eastAsia="Times New Roman"/>
              </w:rPr>
            </w:pPr>
            <w:r>
              <w:rPr>
                <w:rFonts w:eastAsia="Times New Roman"/>
                <w:b/>
                <w:bCs/>
                <w:color w:val="000000"/>
                <w:sz w:val="16"/>
                <w:szCs w:val="16"/>
              </w:rPr>
              <w:t>Total Number</w:t>
            </w:r>
          </w:p>
          <w:p w14:paraId="73670C44" w14:textId="77777777" w:rsidR="00000000" w:rsidRDefault="000A3118">
            <w:pPr>
              <w:jc w:val="center"/>
              <w:rPr>
                <w:rFonts w:eastAsia="Times New Roman"/>
              </w:rPr>
            </w:pPr>
            <w:r>
              <w:rPr>
                <w:rFonts w:eastAsia="Times New Roman"/>
                <w:b/>
                <w:bCs/>
                <w:color w:val="000000"/>
                <w:sz w:val="16"/>
                <w:szCs w:val="16"/>
              </w:rPr>
              <w:t>of Shares</w:t>
            </w:r>
          </w:p>
          <w:p w14:paraId="534E7826" w14:textId="77777777" w:rsidR="00000000" w:rsidRDefault="000A3118">
            <w:pPr>
              <w:jc w:val="center"/>
              <w:rPr>
                <w:rFonts w:eastAsia="Times New Roman"/>
              </w:rPr>
            </w:pPr>
            <w:r>
              <w:rPr>
                <w:rFonts w:eastAsia="Times New Roman"/>
                <w:b/>
                <w:bCs/>
                <w:color w:val="000000"/>
                <w:sz w:val="16"/>
                <w:szCs w:val="16"/>
              </w:rPr>
              <w:t>Purchased</w:t>
            </w:r>
            <w:r>
              <w:rPr>
                <w:rFonts w:eastAsia="Times New Roman"/>
                <w:color w:val="000000"/>
                <w:sz w:val="16"/>
                <w:szCs w:val="16"/>
              </w:rPr>
              <w:t xml:space="preserve"> </w:t>
            </w:r>
            <w:r>
              <w:rPr>
                <w:rFonts w:eastAsia="Times New Roman"/>
                <w:b/>
                <w:bCs/>
                <w:color w:val="000000"/>
                <w:sz w:val="12"/>
                <w:szCs w:val="12"/>
              </w:rPr>
              <w:t>(1)</w:t>
            </w:r>
          </w:p>
        </w:tc>
        <w:tc>
          <w:tcPr>
            <w:tcW w:w="0" w:type="auto"/>
            <w:gridSpan w:val="3"/>
            <w:tcMar>
              <w:top w:w="0" w:type="dxa"/>
              <w:left w:w="20" w:type="dxa"/>
              <w:bottom w:w="0" w:type="dxa"/>
              <w:right w:w="20" w:type="dxa"/>
            </w:tcMar>
            <w:vAlign w:val="center"/>
            <w:hideMark/>
          </w:tcPr>
          <w:p w14:paraId="046435EE"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1375A310" w14:textId="77777777" w:rsidR="00000000" w:rsidRDefault="000A3118">
            <w:pPr>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Share</w:t>
            </w:r>
          </w:p>
        </w:tc>
        <w:tc>
          <w:tcPr>
            <w:tcW w:w="0" w:type="auto"/>
            <w:gridSpan w:val="3"/>
            <w:tcMar>
              <w:top w:w="0" w:type="dxa"/>
              <w:left w:w="20" w:type="dxa"/>
              <w:bottom w:w="0" w:type="dxa"/>
              <w:right w:w="20" w:type="dxa"/>
            </w:tcMar>
            <w:vAlign w:val="center"/>
            <w:hideMark/>
          </w:tcPr>
          <w:p w14:paraId="22FD47C0"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69B6474C" w14:textId="77777777" w:rsidR="00000000" w:rsidRDefault="000A3118">
            <w:pPr>
              <w:jc w:val="center"/>
              <w:rPr>
                <w:rFonts w:eastAsia="Times New Roman"/>
              </w:rPr>
            </w:pPr>
            <w:r>
              <w:rPr>
                <w:rFonts w:eastAsia="Times New Roman"/>
                <w:b/>
                <w:bCs/>
                <w:color w:val="000000"/>
                <w:sz w:val="16"/>
                <w:szCs w:val="16"/>
              </w:rPr>
              <w:t>Total Number</w:t>
            </w:r>
            <w:r>
              <w:rPr>
                <w:rFonts w:eastAsia="Times New Roman"/>
                <w:b/>
                <w:bCs/>
                <w:color w:val="000000"/>
                <w:sz w:val="16"/>
                <w:szCs w:val="16"/>
              </w:rPr>
              <w:br/>
              <w:t>of Shares Purchased</w:t>
            </w:r>
            <w:r>
              <w:rPr>
                <w:rFonts w:eastAsia="Times New Roman"/>
                <w:b/>
                <w:bCs/>
                <w:color w:val="000000"/>
                <w:sz w:val="16"/>
                <w:szCs w:val="16"/>
              </w:rPr>
              <w:br/>
              <w:t>as Part of Publicly</w:t>
            </w:r>
            <w:r>
              <w:rPr>
                <w:rFonts w:eastAsia="Times New Roman"/>
                <w:b/>
                <w:bCs/>
                <w:color w:val="000000"/>
                <w:sz w:val="16"/>
                <w:szCs w:val="16"/>
              </w:rPr>
              <w:br/>
              <w:t>Announced Plans</w:t>
            </w:r>
            <w:r>
              <w:rPr>
                <w:rFonts w:eastAsia="Times New Roman"/>
                <w:b/>
                <w:bCs/>
                <w:color w:val="000000"/>
                <w:sz w:val="16"/>
                <w:szCs w:val="16"/>
              </w:rPr>
              <w:br/>
              <w:t>or Programs</w:t>
            </w:r>
          </w:p>
        </w:tc>
        <w:tc>
          <w:tcPr>
            <w:tcW w:w="0" w:type="auto"/>
            <w:gridSpan w:val="3"/>
            <w:tcMar>
              <w:top w:w="0" w:type="dxa"/>
              <w:left w:w="20" w:type="dxa"/>
              <w:bottom w:w="0" w:type="dxa"/>
              <w:right w:w="20" w:type="dxa"/>
            </w:tcMar>
            <w:vAlign w:val="center"/>
            <w:hideMark/>
          </w:tcPr>
          <w:p w14:paraId="10DA1171" w14:textId="77777777" w:rsidR="00000000" w:rsidRDefault="000A3118">
            <w:pPr>
              <w:jc w:val="center"/>
              <w:rPr>
                <w:rFonts w:eastAsia="Times New Roman"/>
              </w:rPr>
            </w:pPr>
          </w:p>
        </w:tc>
        <w:tc>
          <w:tcPr>
            <w:tcW w:w="0" w:type="auto"/>
            <w:gridSpan w:val="3"/>
            <w:tcMar>
              <w:top w:w="30" w:type="dxa"/>
              <w:left w:w="20" w:type="dxa"/>
              <w:bottom w:w="30" w:type="dxa"/>
              <w:right w:w="20" w:type="dxa"/>
            </w:tcMar>
            <w:vAlign w:val="bottom"/>
            <w:hideMark/>
          </w:tcPr>
          <w:p w14:paraId="18DBE5EF" w14:textId="77777777" w:rsidR="00000000" w:rsidRDefault="000A3118">
            <w:pPr>
              <w:jc w:val="center"/>
              <w:rPr>
                <w:rFonts w:eastAsia="Times New Roman"/>
              </w:rPr>
            </w:pPr>
            <w:r>
              <w:rPr>
                <w:rFonts w:eastAsia="Times New Roman"/>
                <w:b/>
                <w:bCs/>
                <w:color w:val="000000"/>
                <w:sz w:val="16"/>
                <w:szCs w:val="16"/>
              </w:rPr>
              <w:t>Approximate Dollar</w:t>
            </w:r>
          </w:p>
          <w:p w14:paraId="4710B90C" w14:textId="77777777" w:rsidR="00000000" w:rsidRDefault="000A3118">
            <w:pPr>
              <w:jc w:val="center"/>
              <w:rPr>
                <w:rFonts w:eastAsia="Times New Roman"/>
              </w:rPr>
            </w:pPr>
            <w:r>
              <w:rPr>
                <w:rFonts w:eastAsia="Times New Roman"/>
                <w:b/>
                <w:bCs/>
                <w:color w:val="000000"/>
                <w:sz w:val="16"/>
                <w:szCs w:val="16"/>
              </w:rPr>
              <w:t>Value of Shares that</w:t>
            </w:r>
          </w:p>
          <w:p w14:paraId="6797D62D" w14:textId="77777777" w:rsidR="00000000" w:rsidRDefault="000A3118">
            <w:pPr>
              <w:jc w:val="center"/>
              <w:rPr>
                <w:rFonts w:eastAsia="Times New Roman"/>
              </w:rPr>
            </w:pPr>
            <w:r>
              <w:rPr>
                <w:rFonts w:eastAsia="Times New Roman"/>
                <w:b/>
                <w:bCs/>
                <w:color w:val="000000"/>
                <w:sz w:val="16"/>
                <w:szCs w:val="16"/>
              </w:rPr>
              <w:t>May Yet Be Purchased</w:t>
            </w:r>
          </w:p>
          <w:p w14:paraId="47006DDD" w14:textId="77777777" w:rsidR="00000000" w:rsidRDefault="000A3118">
            <w:pPr>
              <w:jc w:val="center"/>
              <w:rPr>
                <w:rFonts w:eastAsia="Times New Roman"/>
              </w:rPr>
            </w:pPr>
            <w:r>
              <w:rPr>
                <w:rFonts w:eastAsia="Times New Roman"/>
                <w:b/>
                <w:bCs/>
                <w:color w:val="000000"/>
                <w:sz w:val="16"/>
                <w:szCs w:val="16"/>
              </w:rPr>
              <w:t>Under the Plans or</w:t>
            </w:r>
          </w:p>
          <w:p w14:paraId="7683983D" w14:textId="77777777" w:rsidR="00000000" w:rsidRDefault="000A3118">
            <w:pPr>
              <w:jc w:val="center"/>
              <w:rPr>
                <w:rFonts w:eastAsia="Times New Roman"/>
              </w:rPr>
            </w:pPr>
            <w:r>
              <w:rPr>
                <w:rFonts w:eastAsia="Times New Roman"/>
                <w:b/>
                <w:bCs/>
                <w:color w:val="000000"/>
                <w:sz w:val="16"/>
                <w:szCs w:val="16"/>
              </w:rPr>
              <w:t>Programs</w:t>
            </w:r>
            <w:r>
              <w:rPr>
                <w:rFonts w:eastAsia="Times New Roman"/>
                <w:color w:val="000000"/>
                <w:sz w:val="16"/>
                <w:szCs w:val="16"/>
              </w:rPr>
              <w:t xml:space="preserve"> </w:t>
            </w:r>
            <w:r>
              <w:rPr>
                <w:rFonts w:eastAsia="Times New Roman"/>
                <w:b/>
                <w:bCs/>
                <w:color w:val="000000"/>
                <w:sz w:val="12"/>
                <w:szCs w:val="12"/>
              </w:rPr>
              <w:t>(2)</w:t>
            </w:r>
          </w:p>
        </w:tc>
      </w:tr>
      <w:tr w:rsidR="00000000" w14:paraId="7A3E06D8" w14:textId="77777777">
        <w:trPr>
          <w:divId w:val="23227595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476AB0" w14:textId="77777777" w:rsidR="00000000" w:rsidRDefault="000A3118">
            <w:pPr>
              <w:rPr>
                <w:rFonts w:eastAsia="Times New Roman"/>
              </w:rPr>
            </w:pPr>
            <w:r>
              <w:rPr>
                <w:rFonts w:eastAsia="Times New Roman"/>
                <w:color w:val="000000"/>
                <w:sz w:val="16"/>
                <w:szCs w:val="16"/>
              </w:rPr>
              <w:t>7/1/2020 - 7/31/2020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D4B45C" w14:textId="77777777" w:rsidR="00000000" w:rsidRDefault="000A3118">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17FFC4"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BBF3F1"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8A5A6A"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BB63A1"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EA107F"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87BF76"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C8FE38" w14:textId="77777777" w:rsidR="00000000" w:rsidRDefault="000A311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CD50A1"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9B29B8" w14:textId="77777777" w:rsidR="00000000" w:rsidRDefault="000A3118">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9C7400" w14:textId="77777777" w:rsidR="00000000" w:rsidRDefault="000A311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1AFD16"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6C3411" w14:textId="77777777" w:rsidR="00000000" w:rsidRDefault="000A3118">
            <w:pPr>
              <w:jc w:val="right"/>
              <w:rPr>
                <w:rFonts w:eastAsia="Times New Roman"/>
              </w:rPr>
            </w:pPr>
            <w:r>
              <w:rPr>
                <w:rFonts w:eastAsia="Times New Roman"/>
                <w:color w:val="000000"/>
                <w:sz w:val="16"/>
                <w:szCs w:val="16"/>
              </w:rPr>
              <w:t>258,944 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1672C6" w14:textId="77777777" w:rsidR="00000000" w:rsidRDefault="000A3118">
            <w:pPr>
              <w:jc w:val="right"/>
              <w:rPr>
                <w:rFonts w:eastAsia="Times New Roman"/>
              </w:rPr>
            </w:pPr>
          </w:p>
        </w:tc>
      </w:tr>
      <w:tr w:rsidR="00000000" w14:paraId="2395493F" w14:textId="77777777">
        <w:trPr>
          <w:divId w:val="232275951"/>
        </w:trPr>
        <w:tc>
          <w:tcPr>
            <w:tcW w:w="0" w:type="auto"/>
            <w:gridSpan w:val="3"/>
            <w:tcMar>
              <w:top w:w="30" w:type="dxa"/>
              <w:left w:w="20" w:type="dxa"/>
              <w:bottom w:w="30" w:type="dxa"/>
              <w:right w:w="20" w:type="dxa"/>
            </w:tcMar>
            <w:vAlign w:val="bottom"/>
            <w:hideMark/>
          </w:tcPr>
          <w:p w14:paraId="38998268" w14:textId="77777777" w:rsidR="00000000" w:rsidRDefault="000A3118">
            <w:pPr>
              <w:rPr>
                <w:rFonts w:eastAsia="Times New Roman"/>
              </w:rPr>
            </w:pPr>
            <w:r>
              <w:rPr>
                <w:rFonts w:eastAsia="Times New Roman"/>
                <w:color w:val="000000"/>
                <w:sz w:val="16"/>
                <w:szCs w:val="16"/>
              </w:rPr>
              <w:t>8/1/2020 - 8/31/2020</w:t>
            </w:r>
          </w:p>
        </w:tc>
        <w:tc>
          <w:tcPr>
            <w:tcW w:w="0" w:type="auto"/>
            <w:gridSpan w:val="3"/>
            <w:tcMar>
              <w:top w:w="0" w:type="dxa"/>
              <w:left w:w="20" w:type="dxa"/>
              <w:bottom w:w="0" w:type="dxa"/>
              <w:right w:w="20" w:type="dxa"/>
            </w:tcMar>
            <w:vAlign w:val="center"/>
            <w:hideMark/>
          </w:tcPr>
          <w:p w14:paraId="742CA605" w14:textId="77777777" w:rsidR="00000000" w:rsidRDefault="000A3118">
            <w:pPr>
              <w:rPr>
                <w:rFonts w:eastAsia="Times New Roman"/>
              </w:rPr>
            </w:pPr>
          </w:p>
        </w:tc>
        <w:tc>
          <w:tcPr>
            <w:tcW w:w="0" w:type="auto"/>
            <w:gridSpan w:val="2"/>
            <w:tcMar>
              <w:top w:w="30" w:type="dxa"/>
              <w:left w:w="20" w:type="dxa"/>
              <w:bottom w:w="30" w:type="dxa"/>
              <w:right w:w="0" w:type="dxa"/>
            </w:tcMar>
            <w:vAlign w:val="bottom"/>
            <w:hideMark/>
          </w:tcPr>
          <w:p w14:paraId="6FEA10A3" w14:textId="77777777" w:rsidR="00000000" w:rsidRDefault="000A3118">
            <w:pPr>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018D431E"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235479CB" w14:textId="77777777" w:rsidR="00000000" w:rsidRDefault="000A311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AD11472" w14:textId="77777777" w:rsidR="00000000" w:rsidRDefault="000A3118">
            <w:pPr>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420A4B7E"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1FFEFC90" w14:textId="77777777" w:rsidR="00000000" w:rsidRDefault="000A311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42BE759" w14:textId="77777777" w:rsidR="00000000" w:rsidRDefault="000A3118">
            <w:pPr>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14:paraId="7356FC4C" w14:textId="77777777" w:rsidR="00000000" w:rsidRDefault="000A3118">
            <w:pPr>
              <w:jc w:val="right"/>
              <w:rPr>
                <w:rFonts w:eastAsia="Times New Roman"/>
              </w:rPr>
            </w:pPr>
          </w:p>
        </w:tc>
        <w:tc>
          <w:tcPr>
            <w:tcW w:w="0" w:type="auto"/>
            <w:gridSpan w:val="3"/>
            <w:tcMar>
              <w:top w:w="0" w:type="dxa"/>
              <w:left w:w="20" w:type="dxa"/>
              <w:bottom w:w="0" w:type="dxa"/>
              <w:right w:w="20" w:type="dxa"/>
            </w:tcMar>
            <w:vAlign w:val="center"/>
            <w:hideMark/>
          </w:tcPr>
          <w:p w14:paraId="6B19EDF0" w14:textId="77777777" w:rsidR="00000000" w:rsidRDefault="000A311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CC9F39E" w14:textId="77777777" w:rsidR="00000000" w:rsidRDefault="000A3118">
            <w:pPr>
              <w:jc w:val="right"/>
              <w:rPr>
                <w:rFonts w:eastAsia="Times New Roman"/>
              </w:rPr>
            </w:pPr>
            <w:r>
              <w:rPr>
                <w:rFonts w:eastAsia="Times New Roman"/>
                <w:color w:val="000000"/>
                <w:sz w:val="16"/>
                <w:szCs w:val="16"/>
              </w:rPr>
              <w:t>258,944 </w:t>
            </w:r>
          </w:p>
        </w:tc>
        <w:tc>
          <w:tcPr>
            <w:tcW w:w="0" w:type="auto"/>
            <w:tcMar>
              <w:top w:w="30" w:type="dxa"/>
              <w:left w:w="0" w:type="dxa"/>
              <w:bottom w:w="30" w:type="dxa"/>
              <w:right w:w="20" w:type="dxa"/>
            </w:tcMar>
            <w:vAlign w:val="bottom"/>
            <w:hideMark/>
          </w:tcPr>
          <w:p w14:paraId="4A93CFBC" w14:textId="77777777" w:rsidR="00000000" w:rsidRDefault="000A3118">
            <w:pPr>
              <w:jc w:val="right"/>
              <w:rPr>
                <w:rFonts w:eastAsia="Times New Roman"/>
              </w:rPr>
            </w:pPr>
          </w:p>
        </w:tc>
      </w:tr>
      <w:tr w:rsidR="00000000" w14:paraId="664E351A" w14:textId="77777777">
        <w:trPr>
          <w:divId w:val="232275951"/>
        </w:trPr>
        <w:tc>
          <w:tcPr>
            <w:tcW w:w="0" w:type="auto"/>
            <w:gridSpan w:val="3"/>
            <w:shd w:val="clear" w:color="auto" w:fill="CCEEFF"/>
            <w:tcMar>
              <w:top w:w="30" w:type="dxa"/>
              <w:left w:w="20" w:type="dxa"/>
              <w:bottom w:w="30" w:type="dxa"/>
              <w:right w:w="20" w:type="dxa"/>
            </w:tcMar>
            <w:vAlign w:val="bottom"/>
            <w:hideMark/>
          </w:tcPr>
          <w:p w14:paraId="3127C995" w14:textId="77777777" w:rsidR="00000000" w:rsidRDefault="000A3118">
            <w:pPr>
              <w:rPr>
                <w:rFonts w:eastAsia="Times New Roman"/>
              </w:rPr>
            </w:pPr>
            <w:r>
              <w:rPr>
                <w:rFonts w:eastAsia="Times New Roman"/>
                <w:color w:val="000000"/>
                <w:sz w:val="16"/>
                <w:szCs w:val="16"/>
              </w:rPr>
              <w:t>9/1/2020 - 9/30/2020</w:t>
            </w:r>
          </w:p>
        </w:tc>
        <w:tc>
          <w:tcPr>
            <w:tcW w:w="0" w:type="auto"/>
            <w:gridSpan w:val="3"/>
            <w:shd w:val="clear" w:color="auto" w:fill="CCEEFF"/>
            <w:tcMar>
              <w:top w:w="0" w:type="dxa"/>
              <w:left w:w="20" w:type="dxa"/>
              <w:bottom w:w="0" w:type="dxa"/>
              <w:right w:w="20" w:type="dxa"/>
            </w:tcMar>
            <w:vAlign w:val="center"/>
            <w:hideMark/>
          </w:tcPr>
          <w:p w14:paraId="5E6D2ED8" w14:textId="77777777" w:rsidR="00000000" w:rsidRDefault="000A3118">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AB0CE2"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619E99B"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3BF4A"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6E6DDF"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879E4BF"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4939F8"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41BCFA" w14:textId="77777777" w:rsidR="00000000" w:rsidRDefault="000A3118">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7FBB382" w14:textId="77777777" w:rsidR="00000000" w:rsidRDefault="000A311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2289A0" w14:textId="77777777" w:rsidR="00000000" w:rsidRDefault="000A311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067B4A" w14:textId="77777777" w:rsidR="00000000" w:rsidRDefault="000A3118">
            <w:pPr>
              <w:jc w:val="right"/>
              <w:rPr>
                <w:rFonts w:eastAsia="Times New Roman"/>
              </w:rPr>
            </w:pPr>
            <w:r>
              <w:rPr>
                <w:rFonts w:eastAsia="Times New Roman"/>
                <w:color w:val="000000"/>
                <w:sz w:val="16"/>
                <w:szCs w:val="16"/>
              </w:rPr>
              <w:t>258,944 </w:t>
            </w:r>
          </w:p>
        </w:tc>
        <w:tc>
          <w:tcPr>
            <w:tcW w:w="0" w:type="auto"/>
            <w:shd w:val="clear" w:color="auto" w:fill="CCEEFF"/>
            <w:tcMar>
              <w:top w:w="30" w:type="dxa"/>
              <w:left w:w="0" w:type="dxa"/>
              <w:bottom w:w="30" w:type="dxa"/>
              <w:right w:w="20" w:type="dxa"/>
            </w:tcMar>
            <w:vAlign w:val="bottom"/>
            <w:hideMark/>
          </w:tcPr>
          <w:p w14:paraId="39B4C09E" w14:textId="77777777" w:rsidR="00000000" w:rsidRDefault="000A3118">
            <w:pPr>
              <w:jc w:val="right"/>
              <w:rPr>
                <w:rFonts w:eastAsia="Times New Roman"/>
              </w:rPr>
            </w:pPr>
          </w:p>
        </w:tc>
      </w:tr>
      <w:tr w:rsidR="00000000" w14:paraId="28D6BA73" w14:textId="77777777">
        <w:trPr>
          <w:divId w:val="232275951"/>
        </w:trPr>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14:paraId="61582021" w14:textId="77777777" w:rsidR="00000000" w:rsidRDefault="000A3118">
            <w:pPr>
              <w:rPr>
                <w:rFonts w:eastAsia="Times New Roman"/>
              </w:rPr>
            </w:pPr>
            <w:r>
              <w:rPr>
                <w:rFonts w:eastAsia="Times New Roman"/>
                <w:color w:val="000000"/>
                <w:sz w:val="16"/>
                <w:szCs w:val="16"/>
              </w:rPr>
              <w:t>Total</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0CD56B3B" w14:textId="77777777" w:rsidR="00000000" w:rsidRDefault="000A3118">
            <w:pPr>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727F76B8"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EFA6B34"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07EF7533"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86FC7B3"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34CCAE9"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4111EEA"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4FDBE1C8" w14:textId="77777777" w:rsidR="00000000" w:rsidRDefault="000A3118">
            <w:pPr>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4171895A" w14:textId="77777777" w:rsidR="00000000" w:rsidRDefault="000A3118">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BAF176A" w14:textId="77777777" w:rsidR="00000000" w:rsidRDefault="000A3118">
            <w:pPr>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14:paraId="47220F8E" w14:textId="77777777" w:rsidR="00000000" w:rsidRDefault="000A3118">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0BB9075" w14:textId="77777777" w:rsidR="00000000" w:rsidRDefault="000A3118">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36A19220" w14:textId="77777777" w:rsidR="00000000" w:rsidRDefault="000A3118">
            <w:pPr>
              <w:jc w:val="right"/>
              <w:rPr>
                <w:rFonts w:eastAsia="Times New Roman"/>
              </w:rPr>
            </w:pPr>
            <w:r>
              <w:rPr>
                <w:rFonts w:eastAsia="Times New Roman"/>
                <w:color w:val="000000"/>
                <w:sz w:val="16"/>
                <w:szCs w:val="16"/>
              </w:rPr>
              <w:t>258,944 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F6FA340" w14:textId="77777777" w:rsidR="00000000" w:rsidRDefault="000A3118">
            <w:pPr>
              <w:jc w:val="right"/>
              <w:rPr>
                <w:rFonts w:eastAsia="Times New Roman"/>
              </w:rPr>
            </w:pPr>
          </w:p>
        </w:tc>
      </w:tr>
    </w:tbl>
    <w:p w14:paraId="50BB8C57" w14:textId="77777777" w:rsidR="00000000" w:rsidRDefault="000A3118">
      <w:pPr>
        <w:ind w:hanging="360"/>
        <w:jc w:val="both"/>
        <w:divId w:val="1262956782"/>
        <w:rPr>
          <w:rFonts w:eastAsia="Times New Roman"/>
        </w:rPr>
      </w:pPr>
      <w:r>
        <w:rPr>
          <w:rFonts w:eastAsia="Times New Roman"/>
          <w:color w:val="000000"/>
          <w:sz w:val="20"/>
          <w:szCs w:val="20"/>
        </w:rPr>
        <w:t>(1)    These amounts include shares purc</w:t>
      </w:r>
      <w:r>
        <w:rPr>
          <w:rFonts w:eastAsia="Times New Roman"/>
          <w:color w:val="000000"/>
          <w:sz w:val="20"/>
          <w:szCs w:val="20"/>
        </w:rPr>
        <w:t>hased as part of our publicly announced programs and shares owned and tendered by employees to satisfy the required withholding taxes related to share-based payment awards, which are not deducted from shares available to be purchased under publicly announc</w:t>
      </w:r>
      <w:r>
        <w:rPr>
          <w:rFonts w:eastAsia="Times New Roman"/>
          <w:color w:val="000000"/>
          <w:sz w:val="20"/>
          <w:szCs w:val="20"/>
        </w:rPr>
        <w:t>ed programs.</w:t>
      </w:r>
    </w:p>
    <w:p w14:paraId="4603D925" w14:textId="77777777" w:rsidR="00000000" w:rsidRDefault="000A3118">
      <w:pPr>
        <w:jc w:val="center"/>
        <w:divId w:val="708650194"/>
        <w:rPr>
          <w:rFonts w:eastAsia="Times New Roman"/>
        </w:rPr>
      </w:pPr>
      <w:r>
        <w:rPr>
          <w:rFonts w:eastAsia="Times New Roman"/>
          <w:color w:val="000000"/>
          <w:sz w:val="20"/>
          <w:szCs w:val="20"/>
        </w:rPr>
        <w:t>42</w:t>
      </w:r>
    </w:p>
    <w:p w14:paraId="1CAE3DBB" w14:textId="77777777" w:rsidR="00000000" w:rsidRDefault="000A3118">
      <w:pPr>
        <w:rPr>
          <w:rFonts w:eastAsia="Times New Roman"/>
        </w:rPr>
      </w:pPr>
      <w:r>
        <w:rPr>
          <w:rFonts w:eastAsia="Times New Roman"/>
        </w:rPr>
        <w:pict w14:anchorId="38D820AA">
          <v:rect id="_x0000_i1070" style="width:0;height:1.5pt" o:hralign="center" o:hrstd="t" o:hr="t" fillcolor="#a0a0a0" stroked="f"/>
        </w:pict>
      </w:r>
    </w:p>
    <w:p w14:paraId="6382E7E1" w14:textId="77777777" w:rsidR="00000000" w:rsidRDefault="000A3118">
      <w:pPr>
        <w:divId w:val="2082629029"/>
        <w:rPr>
          <w:rFonts w:eastAsia="Times New Roman"/>
        </w:rPr>
      </w:pPr>
    </w:p>
    <w:p w14:paraId="30067E60" w14:textId="77777777" w:rsidR="00000000" w:rsidRDefault="000A3118">
      <w:pPr>
        <w:ind w:hanging="360"/>
        <w:jc w:val="both"/>
        <w:divId w:val="1796866320"/>
        <w:rPr>
          <w:rFonts w:eastAsia="Times New Roman"/>
        </w:rPr>
      </w:pPr>
      <w:r>
        <w:rPr>
          <w:rFonts w:eastAsia="Times New Roman"/>
          <w:color w:val="000000"/>
          <w:sz w:val="20"/>
          <w:szCs w:val="20"/>
        </w:rPr>
        <w:t>(2)    In October 2017, our Board of Directors (the "Board") approved a new common stock repurchase program (the “Repurchase Program”</w:t>
      </w:r>
      <w:r>
        <w:rPr>
          <w:rFonts w:eastAsia="Times New Roman"/>
          <w:color w:val="000000"/>
          <w:sz w:val="20"/>
          <w:szCs w:val="20"/>
        </w:rPr>
        <w:t>), which replaced the program in place at that time, authorizing $100.0 million in common stock repurchases. In May 2019, the Board authorized an increase to the October 2017 repurchase authorization by $100.0 million, bringing the authorized repurchases a</w:t>
      </w:r>
      <w:r>
        <w:rPr>
          <w:rFonts w:eastAsia="Times New Roman"/>
          <w:color w:val="000000"/>
          <w:sz w:val="20"/>
          <w:szCs w:val="20"/>
        </w:rPr>
        <w:t>t that time to $200.0 million. In March 2020, the Board approved a new stock repurchase program authorizing $200.0 million in common stock repurchases to begin upon the completion of the October 2017 Repurchase Program. Our repurchase programs do not requi</w:t>
      </w:r>
      <w:r>
        <w:rPr>
          <w:rFonts w:eastAsia="Times New Roman"/>
          <w:color w:val="000000"/>
          <w:sz w:val="20"/>
          <w:szCs w:val="20"/>
        </w:rPr>
        <w:t>re a minimum number of shares of common stock to be purchased, have no expiration date and may be suspended or discontinued at any time. As of September 30, 2020, approximately $258.9 million remains available for purchase under our repurchase programs. Th</w:t>
      </w:r>
      <w:r>
        <w:rPr>
          <w:rFonts w:eastAsia="Times New Roman"/>
          <w:color w:val="000000"/>
          <w:sz w:val="20"/>
          <w:szCs w:val="20"/>
        </w:rPr>
        <w:t>e timing and amount of shares of common stock to be repurchased under the repurchase programs will depend on market conditions, share price, securities law and other legal requirements and factors.</w:t>
      </w:r>
    </w:p>
    <w:p w14:paraId="042B0856" w14:textId="77777777" w:rsidR="00000000" w:rsidRDefault="000A3118">
      <w:pPr>
        <w:jc w:val="center"/>
        <w:divId w:val="978875481"/>
        <w:rPr>
          <w:rFonts w:eastAsia="Times New Roman"/>
        </w:rPr>
      </w:pPr>
      <w:r>
        <w:rPr>
          <w:rFonts w:eastAsia="Times New Roman"/>
          <w:color w:val="000000"/>
          <w:sz w:val="20"/>
          <w:szCs w:val="20"/>
        </w:rPr>
        <w:t>43</w:t>
      </w:r>
    </w:p>
    <w:p w14:paraId="01EB8E75" w14:textId="77777777" w:rsidR="00000000" w:rsidRDefault="000A3118">
      <w:pPr>
        <w:rPr>
          <w:rFonts w:eastAsia="Times New Roman"/>
        </w:rPr>
      </w:pPr>
      <w:r>
        <w:rPr>
          <w:rFonts w:eastAsia="Times New Roman"/>
        </w:rPr>
        <w:pict w14:anchorId="5669F0AC">
          <v:rect id="_x0000_i1071" style="width:0;height:1.5pt" o:hralign="center" o:hrstd="t" o:hr="t" fillcolor="#a0a0a0" stroked="f"/>
        </w:pict>
      </w:r>
    </w:p>
    <w:p w14:paraId="44C4CF5B" w14:textId="77777777" w:rsidR="00000000" w:rsidRDefault="000A3118">
      <w:pPr>
        <w:divId w:val="926500685"/>
        <w:rPr>
          <w:rFonts w:eastAsia="Times New Roman"/>
        </w:rPr>
      </w:pPr>
    </w:p>
    <w:p w14:paraId="4D53C062" w14:textId="77777777" w:rsidR="00000000" w:rsidRDefault="000A3118">
      <w:pPr>
        <w:ind w:hanging="1080"/>
        <w:divId w:val="153029983"/>
        <w:rPr>
          <w:rFonts w:eastAsia="Times New Roman"/>
        </w:rPr>
      </w:pPr>
      <w:r>
        <w:rPr>
          <w:rFonts w:eastAsia="Times New Roman"/>
          <w:b/>
          <w:bCs/>
          <w:color w:val="000000"/>
          <w:sz w:val="20"/>
          <w:szCs w:val="20"/>
        </w:rPr>
        <w:t>Item 6.     Exhi</w:t>
      </w:r>
      <w:r>
        <w:rPr>
          <w:rFonts w:eastAsia="Times New Roman"/>
          <w:b/>
          <w:bCs/>
          <w:color w:val="000000"/>
          <w:sz w:val="20"/>
          <w:szCs w:val="20"/>
        </w:rPr>
        <w:t>bits</w:t>
      </w:r>
    </w:p>
    <w:p w14:paraId="210856C8" w14:textId="77777777" w:rsidR="00000000" w:rsidRDefault="000A3118">
      <w:pPr>
        <w:ind w:firstLine="720"/>
        <w:divId w:val="2108841990"/>
        <w:rPr>
          <w:rFonts w:eastAsia="Times New Roman"/>
        </w:rPr>
      </w:pPr>
      <w:r>
        <w:rPr>
          <w:rFonts w:eastAsia="Times New Roman"/>
          <w:color w:val="000000"/>
          <w:sz w:val="16"/>
          <w:szCs w:val="16"/>
        </w:rPr>
        <w:t> </w:t>
      </w:r>
    </w:p>
    <w:p w14:paraId="57F5EEB4" w14:textId="77777777" w:rsidR="00000000" w:rsidRDefault="000A3118">
      <w:pPr>
        <w:ind w:firstLine="360"/>
        <w:jc w:val="both"/>
        <w:rPr>
          <w:rFonts w:eastAsia="Times New Roman"/>
        </w:rPr>
      </w:pPr>
      <w:r>
        <w:rPr>
          <w:rFonts w:eastAsia="Times New Roman"/>
          <w:color w:val="000000"/>
          <w:sz w:val="20"/>
          <w:szCs w:val="20"/>
        </w:rPr>
        <w:t>The exhibits set forth in the following index of exhibits are filed as part of this 10-Q Report:</w:t>
      </w:r>
    </w:p>
    <w:p w14:paraId="10D34423" w14:textId="77777777" w:rsidR="00000000" w:rsidRDefault="000A3118">
      <w:pPr>
        <w:ind w:firstLine="720"/>
        <w:divId w:val="1738549326"/>
        <w:rPr>
          <w:rFonts w:eastAsia="Times New Roman"/>
        </w:rPr>
      </w:pPr>
      <w:r>
        <w:rPr>
          <w:rFonts w:eastAsia="Times New Roman"/>
          <w:color w:val="000000"/>
          <w:sz w:val="16"/>
          <w:szCs w:val="16"/>
        </w:rPr>
        <w:t> </w:t>
      </w:r>
    </w:p>
    <w:tbl>
      <w:tblPr>
        <w:tblW w:w="4985" w:type="pct"/>
        <w:tblCellMar>
          <w:top w:w="15" w:type="dxa"/>
          <w:left w:w="15" w:type="dxa"/>
          <w:bottom w:w="15" w:type="dxa"/>
          <w:right w:w="15" w:type="dxa"/>
        </w:tblCellMar>
        <w:tblLook w:val="04A0" w:firstRow="1" w:lastRow="0" w:firstColumn="1" w:lastColumn="0" w:noHBand="0" w:noVBand="1"/>
      </w:tblPr>
      <w:tblGrid>
        <w:gridCol w:w="79"/>
        <w:gridCol w:w="418"/>
        <w:gridCol w:w="37"/>
        <w:gridCol w:w="79"/>
        <w:gridCol w:w="428"/>
        <w:gridCol w:w="36"/>
        <w:gridCol w:w="69"/>
        <w:gridCol w:w="198"/>
        <w:gridCol w:w="36"/>
        <w:gridCol w:w="69"/>
        <w:gridCol w:w="6795"/>
        <w:gridCol w:w="37"/>
      </w:tblGrid>
      <w:tr w:rsidR="00000000" w14:paraId="3251778A" w14:textId="77777777">
        <w:trPr>
          <w:divId w:val="184029008"/>
        </w:trPr>
        <w:tc>
          <w:tcPr>
            <w:tcW w:w="50" w:type="pct"/>
            <w:vAlign w:val="center"/>
            <w:hideMark/>
          </w:tcPr>
          <w:p w14:paraId="13E9B6E7" w14:textId="77777777" w:rsidR="00000000" w:rsidRDefault="000A3118">
            <w:pPr>
              <w:ind w:firstLine="720"/>
              <w:rPr>
                <w:rFonts w:eastAsia="Times New Roman"/>
              </w:rPr>
            </w:pPr>
          </w:p>
        </w:tc>
        <w:tc>
          <w:tcPr>
            <w:tcW w:w="267" w:type="pct"/>
            <w:vAlign w:val="center"/>
            <w:hideMark/>
          </w:tcPr>
          <w:p w14:paraId="081A7AA3" w14:textId="77777777" w:rsidR="00000000" w:rsidRDefault="000A3118">
            <w:pPr>
              <w:rPr>
                <w:rFonts w:eastAsia="Times New Roman"/>
                <w:sz w:val="20"/>
                <w:szCs w:val="20"/>
              </w:rPr>
            </w:pPr>
          </w:p>
        </w:tc>
        <w:tc>
          <w:tcPr>
            <w:tcW w:w="5" w:type="pct"/>
            <w:vAlign w:val="center"/>
            <w:hideMark/>
          </w:tcPr>
          <w:p w14:paraId="7ADF73F6" w14:textId="77777777" w:rsidR="00000000" w:rsidRDefault="000A3118">
            <w:pPr>
              <w:rPr>
                <w:rFonts w:eastAsia="Times New Roman"/>
                <w:sz w:val="20"/>
                <w:szCs w:val="20"/>
              </w:rPr>
            </w:pPr>
          </w:p>
        </w:tc>
        <w:tc>
          <w:tcPr>
            <w:tcW w:w="50" w:type="pct"/>
            <w:vAlign w:val="center"/>
            <w:hideMark/>
          </w:tcPr>
          <w:p w14:paraId="69709FC6" w14:textId="77777777" w:rsidR="00000000" w:rsidRDefault="000A3118">
            <w:pPr>
              <w:rPr>
                <w:rFonts w:eastAsia="Times New Roman"/>
                <w:sz w:val="20"/>
                <w:szCs w:val="20"/>
              </w:rPr>
            </w:pPr>
          </w:p>
        </w:tc>
        <w:tc>
          <w:tcPr>
            <w:tcW w:w="274" w:type="pct"/>
            <w:vAlign w:val="center"/>
            <w:hideMark/>
          </w:tcPr>
          <w:p w14:paraId="20AE4F11" w14:textId="77777777" w:rsidR="00000000" w:rsidRDefault="000A3118">
            <w:pPr>
              <w:rPr>
                <w:rFonts w:eastAsia="Times New Roman"/>
                <w:sz w:val="20"/>
                <w:szCs w:val="20"/>
              </w:rPr>
            </w:pPr>
          </w:p>
        </w:tc>
        <w:tc>
          <w:tcPr>
            <w:tcW w:w="5" w:type="pct"/>
            <w:vAlign w:val="center"/>
            <w:hideMark/>
          </w:tcPr>
          <w:p w14:paraId="5A1BF460" w14:textId="77777777" w:rsidR="00000000" w:rsidRDefault="000A3118">
            <w:pPr>
              <w:rPr>
                <w:rFonts w:eastAsia="Times New Roman"/>
                <w:sz w:val="20"/>
                <w:szCs w:val="20"/>
              </w:rPr>
            </w:pPr>
          </w:p>
        </w:tc>
        <w:tc>
          <w:tcPr>
            <w:tcW w:w="50" w:type="pct"/>
            <w:vAlign w:val="center"/>
            <w:hideMark/>
          </w:tcPr>
          <w:p w14:paraId="7D7ADF5D" w14:textId="77777777" w:rsidR="00000000" w:rsidRDefault="000A3118">
            <w:pPr>
              <w:rPr>
                <w:rFonts w:eastAsia="Times New Roman"/>
                <w:sz w:val="20"/>
                <w:szCs w:val="20"/>
              </w:rPr>
            </w:pPr>
          </w:p>
        </w:tc>
        <w:tc>
          <w:tcPr>
            <w:tcW w:w="128" w:type="pct"/>
            <w:vAlign w:val="center"/>
            <w:hideMark/>
          </w:tcPr>
          <w:p w14:paraId="6DD7E07A" w14:textId="77777777" w:rsidR="00000000" w:rsidRDefault="000A3118">
            <w:pPr>
              <w:rPr>
                <w:rFonts w:eastAsia="Times New Roman"/>
                <w:sz w:val="20"/>
                <w:szCs w:val="20"/>
              </w:rPr>
            </w:pPr>
          </w:p>
        </w:tc>
        <w:tc>
          <w:tcPr>
            <w:tcW w:w="5" w:type="pct"/>
            <w:vAlign w:val="center"/>
            <w:hideMark/>
          </w:tcPr>
          <w:p w14:paraId="0DCBA587" w14:textId="77777777" w:rsidR="00000000" w:rsidRDefault="000A3118">
            <w:pPr>
              <w:rPr>
                <w:rFonts w:eastAsia="Times New Roman"/>
                <w:sz w:val="20"/>
                <w:szCs w:val="20"/>
              </w:rPr>
            </w:pPr>
          </w:p>
        </w:tc>
        <w:tc>
          <w:tcPr>
            <w:tcW w:w="50" w:type="pct"/>
            <w:vAlign w:val="center"/>
            <w:hideMark/>
          </w:tcPr>
          <w:p w14:paraId="5899F399" w14:textId="77777777" w:rsidR="00000000" w:rsidRDefault="000A3118">
            <w:pPr>
              <w:rPr>
                <w:rFonts w:eastAsia="Times New Roman"/>
                <w:sz w:val="20"/>
                <w:szCs w:val="20"/>
              </w:rPr>
            </w:pPr>
          </w:p>
        </w:tc>
        <w:tc>
          <w:tcPr>
            <w:tcW w:w="4109" w:type="pct"/>
            <w:vAlign w:val="center"/>
            <w:hideMark/>
          </w:tcPr>
          <w:p w14:paraId="25232055" w14:textId="77777777" w:rsidR="00000000" w:rsidRDefault="000A3118">
            <w:pPr>
              <w:rPr>
                <w:rFonts w:eastAsia="Times New Roman"/>
                <w:sz w:val="20"/>
                <w:szCs w:val="20"/>
              </w:rPr>
            </w:pPr>
          </w:p>
        </w:tc>
        <w:tc>
          <w:tcPr>
            <w:tcW w:w="5" w:type="pct"/>
            <w:vAlign w:val="center"/>
            <w:hideMark/>
          </w:tcPr>
          <w:p w14:paraId="4F9C17FF" w14:textId="77777777" w:rsidR="00000000" w:rsidRDefault="000A3118">
            <w:pPr>
              <w:rPr>
                <w:rFonts w:eastAsia="Times New Roman"/>
                <w:sz w:val="20"/>
                <w:szCs w:val="20"/>
              </w:rPr>
            </w:pPr>
          </w:p>
        </w:tc>
      </w:tr>
      <w:tr w:rsidR="00000000" w14:paraId="3E785573" w14:textId="77777777">
        <w:trPr>
          <w:divId w:val="184029008"/>
        </w:trPr>
        <w:tc>
          <w:tcPr>
            <w:tcW w:w="0" w:type="auto"/>
            <w:gridSpan w:val="6"/>
            <w:tcMar>
              <w:top w:w="30" w:type="dxa"/>
              <w:left w:w="20" w:type="dxa"/>
              <w:bottom w:w="30" w:type="dxa"/>
              <w:right w:w="20" w:type="dxa"/>
            </w:tcMar>
            <w:vAlign w:val="bottom"/>
            <w:hideMark/>
          </w:tcPr>
          <w:p w14:paraId="7A63C42B" w14:textId="77777777" w:rsidR="00000000" w:rsidRDefault="000A3118">
            <w:pP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14:paraId="60699A0F" w14:textId="77777777" w:rsidR="00000000" w:rsidRDefault="000A3118">
            <w:pPr>
              <w:rPr>
                <w:rFonts w:eastAsia="Times New Roman"/>
              </w:rPr>
            </w:pPr>
          </w:p>
        </w:tc>
        <w:tc>
          <w:tcPr>
            <w:tcW w:w="0" w:type="auto"/>
            <w:gridSpan w:val="3"/>
            <w:tcMar>
              <w:top w:w="30" w:type="dxa"/>
              <w:left w:w="20" w:type="dxa"/>
              <w:bottom w:w="30" w:type="dxa"/>
              <w:right w:w="20" w:type="dxa"/>
            </w:tcMar>
            <w:vAlign w:val="bottom"/>
            <w:hideMark/>
          </w:tcPr>
          <w:p w14:paraId="4E4815C7" w14:textId="77777777" w:rsidR="00000000" w:rsidRDefault="000A3118">
            <w:pPr>
              <w:rPr>
                <w:rFonts w:eastAsia="Times New Roman"/>
              </w:rPr>
            </w:pPr>
            <w:r>
              <w:rPr>
                <w:rFonts w:eastAsia="Times New Roman"/>
                <w:b/>
                <w:bCs/>
                <w:color w:val="000000"/>
                <w:sz w:val="20"/>
                <w:szCs w:val="20"/>
              </w:rPr>
              <w:t>Description</w:t>
            </w:r>
          </w:p>
        </w:tc>
      </w:tr>
      <w:tr w:rsidR="00000000" w14:paraId="2867F9A9" w14:textId="77777777">
        <w:trPr>
          <w:divId w:val="184029008"/>
        </w:trPr>
        <w:tc>
          <w:tcPr>
            <w:tcW w:w="0" w:type="auto"/>
            <w:gridSpan w:val="3"/>
            <w:vAlign w:val="center"/>
            <w:hideMark/>
          </w:tcPr>
          <w:p w14:paraId="2972F4AC" w14:textId="77777777" w:rsidR="00000000" w:rsidRDefault="000A3118">
            <w:pPr>
              <w:rPr>
                <w:rFonts w:eastAsia="Times New Roman"/>
              </w:rPr>
            </w:pPr>
          </w:p>
        </w:tc>
        <w:tc>
          <w:tcPr>
            <w:tcW w:w="0" w:type="auto"/>
            <w:gridSpan w:val="3"/>
            <w:vAlign w:val="center"/>
            <w:hideMark/>
          </w:tcPr>
          <w:p w14:paraId="3A21206F" w14:textId="77777777" w:rsidR="00000000" w:rsidRDefault="000A3118">
            <w:pPr>
              <w:rPr>
                <w:rFonts w:eastAsia="Times New Roman"/>
                <w:sz w:val="20"/>
                <w:szCs w:val="20"/>
              </w:rPr>
            </w:pPr>
          </w:p>
        </w:tc>
        <w:tc>
          <w:tcPr>
            <w:tcW w:w="0" w:type="auto"/>
            <w:gridSpan w:val="3"/>
            <w:vAlign w:val="center"/>
            <w:hideMark/>
          </w:tcPr>
          <w:p w14:paraId="23E613C6" w14:textId="77777777" w:rsidR="00000000" w:rsidRDefault="000A3118">
            <w:pPr>
              <w:rPr>
                <w:rFonts w:eastAsia="Times New Roman"/>
                <w:sz w:val="20"/>
                <w:szCs w:val="20"/>
              </w:rPr>
            </w:pPr>
          </w:p>
        </w:tc>
        <w:tc>
          <w:tcPr>
            <w:tcW w:w="0" w:type="auto"/>
            <w:vAlign w:val="center"/>
            <w:hideMark/>
          </w:tcPr>
          <w:p w14:paraId="4C91576A" w14:textId="77777777" w:rsidR="00000000" w:rsidRDefault="000A3118">
            <w:pPr>
              <w:rPr>
                <w:rFonts w:eastAsia="Times New Roman"/>
                <w:sz w:val="20"/>
                <w:szCs w:val="20"/>
              </w:rPr>
            </w:pPr>
          </w:p>
        </w:tc>
        <w:tc>
          <w:tcPr>
            <w:tcW w:w="0" w:type="auto"/>
            <w:vAlign w:val="center"/>
            <w:hideMark/>
          </w:tcPr>
          <w:p w14:paraId="7ED35818" w14:textId="77777777" w:rsidR="00000000" w:rsidRDefault="000A3118">
            <w:pPr>
              <w:rPr>
                <w:rFonts w:eastAsia="Times New Roman"/>
                <w:sz w:val="20"/>
                <w:szCs w:val="20"/>
              </w:rPr>
            </w:pPr>
          </w:p>
        </w:tc>
        <w:tc>
          <w:tcPr>
            <w:tcW w:w="0" w:type="auto"/>
            <w:vAlign w:val="center"/>
            <w:hideMark/>
          </w:tcPr>
          <w:p w14:paraId="0CE781B7" w14:textId="77777777" w:rsidR="00000000" w:rsidRDefault="000A3118">
            <w:pPr>
              <w:rPr>
                <w:rFonts w:eastAsia="Times New Roman"/>
                <w:sz w:val="20"/>
                <w:szCs w:val="20"/>
              </w:rPr>
            </w:pPr>
          </w:p>
        </w:tc>
      </w:tr>
      <w:tr w:rsidR="00000000" w14:paraId="1255CFE4" w14:textId="77777777">
        <w:trPr>
          <w:divId w:val="184029008"/>
        </w:trPr>
        <w:tc>
          <w:tcPr>
            <w:tcW w:w="0" w:type="auto"/>
            <w:gridSpan w:val="3"/>
            <w:vAlign w:val="center"/>
            <w:hideMark/>
          </w:tcPr>
          <w:p w14:paraId="37E19A5E" w14:textId="77777777" w:rsidR="00000000" w:rsidRDefault="000A3118">
            <w:pPr>
              <w:rPr>
                <w:rFonts w:eastAsia="Times New Roman"/>
                <w:sz w:val="20"/>
                <w:szCs w:val="20"/>
              </w:rPr>
            </w:pPr>
          </w:p>
        </w:tc>
        <w:tc>
          <w:tcPr>
            <w:tcW w:w="0" w:type="auto"/>
            <w:gridSpan w:val="3"/>
            <w:vAlign w:val="center"/>
            <w:hideMark/>
          </w:tcPr>
          <w:p w14:paraId="64EBD70C" w14:textId="77777777" w:rsidR="00000000" w:rsidRDefault="000A3118">
            <w:pPr>
              <w:rPr>
                <w:rFonts w:eastAsia="Times New Roman"/>
                <w:sz w:val="20"/>
                <w:szCs w:val="20"/>
              </w:rPr>
            </w:pPr>
          </w:p>
        </w:tc>
        <w:tc>
          <w:tcPr>
            <w:tcW w:w="0" w:type="auto"/>
            <w:gridSpan w:val="3"/>
            <w:vAlign w:val="center"/>
            <w:hideMark/>
          </w:tcPr>
          <w:p w14:paraId="46A5CB77" w14:textId="77777777" w:rsidR="00000000" w:rsidRDefault="000A3118">
            <w:pPr>
              <w:rPr>
                <w:rFonts w:eastAsia="Times New Roman"/>
                <w:sz w:val="20"/>
                <w:szCs w:val="20"/>
              </w:rPr>
            </w:pPr>
          </w:p>
        </w:tc>
        <w:tc>
          <w:tcPr>
            <w:tcW w:w="0" w:type="auto"/>
            <w:vAlign w:val="center"/>
            <w:hideMark/>
          </w:tcPr>
          <w:p w14:paraId="617B617B" w14:textId="77777777" w:rsidR="00000000" w:rsidRDefault="000A3118">
            <w:pPr>
              <w:rPr>
                <w:rFonts w:eastAsia="Times New Roman"/>
                <w:sz w:val="20"/>
                <w:szCs w:val="20"/>
              </w:rPr>
            </w:pPr>
          </w:p>
        </w:tc>
        <w:tc>
          <w:tcPr>
            <w:tcW w:w="0" w:type="auto"/>
            <w:vAlign w:val="center"/>
            <w:hideMark/>
          </w:tcPr>
          <w:p w14:paraId="55578FF0" w14:textId="77777777" w:rsidR="00000000" w:rsidRDefault="000A3118">
            <w:pPr>
              <w:rPr>
                <w:rFonts w:eastAsia="Times New Roman"/>
                <w:sz w:val="20"/>
                <w:szCs w:val="20"/>
              </w:rPr>
            </w:pPr>
          </w:p>
        </w:tc>
        <w:tc>
          <w:tcPr>
            <w:tcW w:w="0" w:type="auto"/>
            <w:vAlign w:val="center"/>
            <w:hideMark/>
          </w:tcPr>
          <w:p w14:paraId="1B39C561" w14:textId="77777777" w:rsidR="00000000" w:rsidRDefault="000A3118">
            <w:pPr>
              <w:rPr>
                <w:rFonts w:eastAsia="Times New Roman"/>
                <w:sz w:val="20"/>
                <w:szCs w:val="20"/>
              </w:rPr>
            </w:pPr>
          </w:p>
        </w:tc>
      </w:tr>
      <w:tr w:rsidR="00000000" w14:paraId="03DAFF5F" w14:textId="77777777">
        <w:trPr>
          <w:divId w:val="184029008"/>
        </w:trPr>
        <w:tc>
          <w:tcPr>
            <w:tcW w:w="0" w:type="auto"/>
            <w:gridSpan w:val="3"/>
            <w:vAlign w:val="center"/>
            <w:hideMark/>
          </w:tcPr>
          <w:p w14:paraId="01151368" w14:textId="77777777" w:rsidR="00000000" w:rsidRDefault="000A3118">
            <w:pPr>
              <w:rPr>
                <w:rFonts w:eastAsia="Times New Roman"/>
                <w:sz w:val="20"/>
                <w:szCs w:val="20"/>
              </w:rPr>
            </w:pPr>
          </w:p>
        </w:tc>
        <w:tc>
          <w:tcPr>
            <w:tcW w:w="0" w:type="auto"/>
            <w:gridSpan w:val="3"/>
            <w:vAlign w:val="center"/>
            <w:hideMark/>
          </w:tcPr>
          <w:p w14:paraId="20962B64" w14:textId="77777777" w:rsidR="00000000" w:rsidRDefault="000A3118">
            <w:pPr>
              <w:rPr>
                <w:rFonts w:eastAsia="Times New Roman"/>
                <w:sz w:val="20"/>
                <w:szCs w:val="20"/>
              </w:rPr>
            </w:pPr>
          </w:p>
        </w:tc>
        <w:tc>
          <w:tcPr>
            <w:tcW w:w="0" w:type="auto"/>
            <w:gridSpan w:val="3"/>
            <w:vAlign w:val="center"/>
            <w:hideMark/>
          </w:tcPr>
          <w:p w14:paraId="3C0B4E0E" w14:textId="77777777" w:rsidR="00000000" w:rsidRDefault="000A3118">
            <w:pPr>
              <w:rPr>
                <w:rFonts w:eastAsia="Times New Roman"/>
                <w:sz w:val="20"/>
                <w:szCs w:val="20"/>
              </w:rPr>
            </w:pPr>
          </w:p>
        </w:tc>
        <w:tc>
          <w:tcPr>
            <w:tcW w:w="0" w:type="auto"/>
            <w:vAlign w:val="center"/>
            <w:hideMark/>
          </w:tcPr>
          <w:p w14:paraId="18BE534E" w14:textId="77777777" w:rsidR="00000000" w:rsidRDefault="000A3118">
            <w:pPr>
              <w:rPr>
                <w:rFonts w:eastAsia="Times New Roman"/>
                <w:sz w:val="20"/>
                <w:szCs w:val="20"/>
              </w:rPr>
            </w:pPr>
          </w:p>
        </w:tc>
        <w:tc>
          <w:tcPr>
            <w:tcW w:w="0" w:type="auto"/>
            <w:vAlign w:val="center"/>
            <w:hideMark/>
          </w:tcPr>
          <w:p w14:paraId="588E9BD2" w14:textId="77777777" w:rsidR="00000000" w:rsidRDefault="000A3118">
            <w:pPr>
              <w:rPr>
                <w:rFonts w:eastAsia="Times New Roman"/>
                <w:sz w:val="20"/>
                <w:szCs w:val="20"/>
              </w:rPr>
            </w:pPr>
          </w:p>
        </w:tc>
        <w:tc>
          <w:tcPr>
            <w:tcW w:w="0" w:type="auto"/>
            <w:vAlign w:val="center"/>
            <w:hideMark/>
          </w:tcPr>
          <w:p w14:paraId="71FCA1E0" w14:textId="77777777" w:rsidR="00000000" w:rsidRDefault="000A3118">
            <w:pPr>
              <w:rPr>
                <w:rFonts w:eastAsia="Times New Roman"/>
                <w:sz w:val="20"/>
                <w:szCs w:val="20"/>
              </w:rPr>
            </w:pPr>
          </w:p>
        </w:tc>
      </w:tr>
      <w:tr w:rsidR="00000000" w14:paraId="3CF9EC28" w14:textId="77777777">
        <w:trPr>
          <w:divId w:val="184029008"/>
        </w:trPr>
        <w:tc>
          <w:tcPr>
            <w:tcW w:w="0" w:type="auto"/>
            <w:gridSpan w:val="3"/>
            <w:vAlign w:val="center"/>
            <w:hideMark/>
          </w:tcPr>
          <w:p w14:paraId="03838FB2" w14:textId="77777777" w:rsidR="00000000" w:rsidRDefault="000A3118">
            <w:pPr>
              <w:rPr>
                <w:rFonts w:eastAsia="Times New Roman"/>
                <w:sz w:val="20"/>
                <w:szCs w:val="20"/>
              </w:rPr>
            </w:pPr>
          </w:p>
        </w:tc>
        <w:tc>
          <w:tcPr>
            <w:tcW w:w="0" w:type="auto"/>
            <w:gridSpan w:val="3"/>
            <w:vAlign w:val="center"/>
            <w:hideMark/>
          </w:tcPr>
          <w:p w14:paraId="692C4B45" w14:textId="77777777" w:rsidR="00000000" w:rsidRDefault="000A3118">
            <w:pPr>
              <w:rPr>
                <w:rFonts w:eastAsia="Times New Roman"/>
                <w:sz w:val="20"/>
                <w:szCs w:val="20"/>
              </w:rPr>
            </w:pPr>
          </w:p>
        </w:tc>
        <w:tc>
          <w:tcPr>
            <w:tcW w:w="0" w:type="auto"/>
            <w:gridSpan w:val="3"/>
            <w:vAlign w:val="center"/>
            <w:hideMark/>
          </w:tcPr>
          <w:p w14:paraId="63508B54" w14:textId="77777777" w:rsidR="00000000" w:rsidRDefault="000A3118">
            <w:pPr>
              <w:rPr>
                <w:rFonts w:eastAsia="Times New Roman"/>
                <w:sz w:val="20"/>
                <w:szCs w:val="20"/>
              </w:rPr>
            </w:pPr>
          </w:p>
        </w:tc>
        <w:tc>
          <w:tcPr>
            <w:tcW w:w="0" w:type="auto"/>
            <w:vAlign w:val="center"/>
            <w:hideMark/>
          </w:tcPr>
          <w:p w14:paraId="23FDF99F" w14:textId="77777777" w:rsidR="00000000" w:rsidRDefault="000A3118">
            <w:pPr>
              <w:rPr>
                <w:rFonts w:eastAsia="Times New Roman"/>
                <w:sz w:val="20"/>
                <w:szCs w:val="20"/>
              </w:rPr>
            </w:pPr>
          </w:p>
        </w:tc>
        <w:tc>
          <w:tcPr>
            <w:tcW w:w="0" w:type="auto"/>
            <w:vAlign w:val="center"/>
            <w:hideMark/>
          </w:tcPr>
          <w:p w14:paraId="615E1603" w14:textId="77777777" w:rsidR="00000000" w:rsidRDefault="000A3118">
            <w:pPr>
              <w:rPr>
                <w:rFonts w:eastAsia="Times New Roman"/>
                <w:sz w:val="20"/>
                <w:szCs w:val="20"/>
              </w:rPr>
            </w:pPr>
          </w:p>
        </w:tc>
        <w:tc>
          <w:tcPr>
            <w:tcW w:w="0" w:type="auto"/>
            <w:vAlign w:val="center"/>
            <w:hideMark/>
          </w:tcPr>
          <w:p w14:paraId="717F5557" w14:textId="77777777" w:rsidR="00000000" w:rsidRDefault="000A3118">
            <w:pPr>
              <w:rPr>
                <w:rFonts w:eastAsia="Times New Roman"/>
                <w:sz w:val="20"/>
                <w:szCs w:val="20"/>
              </w:rPr>
            </w:pPr>
          </w:p>
        </w:tc>
      </w:tr>
      <w:tr w:rsidR="00000000" w14:paraId="4A953A28" w14:textId="77777777">
        <w:trPr>
          <w:divId w:val="184029008"/>
        </w:trPr>
        <w:tc>
          <w:tcPr>
            <w:tcW w:w="0" w:type="auto"/>
            <w:gridSpan w:val="3"/>
            <w:vAlign w:val="center"/>
            <w:hideMark/>
          </w:tcPr>
          <w:p w14:paraId="5AE5969E" w14:textId="77777777" w:rsidR="00000000" w:rsidRDefault="000A3118">
            <w:pPr>
              <w:rPr>
                <w:rFonts w:eastAsia="Times New Roman"/>
                <w:sz w:val="20"/>
                <w:szCs w:val="20"/>
              </w:rPr>
            </w:pPr>
          </w:p>
        </w:tc>
        <w:tc>
          <w:tcPr>
            <w:tcW w:w="0" w:type="auto"/>
            <w:gridSpan w:val="3"/>
            <w:vAlign w:val="center"/>
            <w:hideMark/>
          </w:tcPr>
          <w:p w14:paraId="34D00E4E" w14:textId="77777777" w:rsidR="00000000" w:rsidRDefault="000A3118">
            <w:pPr>
              <w:rPr>
                <w:rFonts w:eastAsia="Times New Roman"/>
                <w:sz w:val="20"/>
                <w:szCs w:val="20"/>
              </w:rPr>
            </w:pPr>
          </w:p>
        </w:tc>
        <w:tc>
          <w:tcPr>
            <w:tcW w:w="0" w:type="auto"/>
            <w:gridSpan w:val="3"/>
            <w:vAlign w:val="center"/>
            <w:hideMark/>
          </w:tcPr>
          <w:p w14:paraId="2CC1972F" w14:textId="77777777" w:rsidR="00000000" w:rsidRDefault="000A3118">
            <w:pPr>
              <w:rPr>
                <w:rFonts w:eastAsia="Times New Roman"/>
                <w:sz w:val="20"/>
                <w:szCs w:val="20"/>
              </w:rPr>
            </w:pPr>
          </w:p>
        </w:tc>
        <w:tc>
          <w:tcPr>
            <w:tcW w:w="0" w:type="auto"/>
            <w:vAlign w:val="center"/>
            <w:hideMark/>
          </w:tcPr>
          <w:p w14:paraId="19D1BF8B" w14:textId="77777777" w:rsidR="00000000" w:rsidRDefault="000A3118">
            <w:pPr>
              <w:rPr>
                <w:rFonts w:eastAsia="Times New Roman"/>
                <w:sz w:val="20"/>
                <w:szCs w:val="20"/>
              </w:rPr>
            </w:pPr>
          </w:p>
        </w:tc>
        <w:tc>
          <w:tcPr>
            <w:tcW w:w="0" w:type="auto"/>
            <w:vAlign w:val="center"/>
            <w:hideMark/>
          </w:tcPr>
          <w:p w14:paraId="1EADE654" w14:textId="77777777" w:rsidR="00000000" w:rsidRDefault="000A3118">
            <w:pPr>
              <w:rPr>
                <w:rFonts w:eastAsia="Times New Roman"/>
                <w:sz w:val="20"/>
                <w:szCs w:val="20"/>
              </w:rPr>
            </w:pPr>
          </w:p>
        </w:tc>
        <w:tc>
          <w:tcPr>
            <w:tcW w:w="0" w:type="auto"/>
            <w:vAlign w:val="center"/>
            <w:hideMark/>
          </w:tcPr>
          <w:p w14:paraId="1069EC26" w14:textId="77777777" w:rsidR="00000000" w:rsidRDefault="000A3118">
            <w:pPr>
              <w:rPr>
                <w:rFonts w:eastAsia="Times New Roman"/>
                <w:sz w:val="20"/>
                <w:szCs w:val="20"/>
              </w:rPr>
            </w:pPr>
          </w:p>
        </w:tc>
      </w:tr>
      <w:tr w:rsidR="00000000" w14:paraId="01C562C9" w14:textId="77777777">
        <w:trPr>
          <w:divId w:val="184029008"/>
        </w:trPr>
        <w:tc>
          <w:tcPr>
            <w:tcW w:w="0" w:type="auto"/>
            <w:gridSpan w:val="3"/>
            <w:vAlign w:val="center"/>
            <w:hideMark/>
          </w:tcPr>
          <w:p w14:paraId="59E4EDE4" w14:textId="77777777" w:rsidR="00000000" w:rsidRDefault="000A3118">
            <w:pPr>
              <w:rPr>
                <w:rFonts w:eastAsia="Times New Roman"/>
                <w:sz w:val="20"/>
                <w:szCs w:val="20"/>
              </w:rPr>
            </w:pPr>
          </w:p>
        </w:tc>
        <w:tc>
          <w:tcPr>
            <w:tcW w:w="0" w:type="auto"/>
            <w:gridSpan w:val="3"/>
            <w:vAlign w:val="center"/>
            <w:hideMark/>
          </w:tcPr>
          <w:p w14:paraId="3E872A1B" w14:textId="77777777" w:rsidR="00000000" w:rsidRDefault="000A3118">
            <w:pPr>
              <w:rPr>
                <w:rFonts w:eastAsia="Times New Roman"/>
                <w:sz w:val="20"/>
                <w:szCs w:val="20"/>
              </w:rPr>
            </w:pPr>
          </w:p>
        </w:tc>
        <w:tc>
          <w:tcPr>
            <w:tcW w:w="0" w:type="auto"/>
            <w:gridSpan w:val="3"/>
            <w:vAlign w:val="center"/>
            <w:hideMark/>
          </w:tcPr>
          <w:p w14:paraId="62672553" w14:textId="77777777" w:rsidR="00000000" w:rsidRDefault="000A3118">
            <w:pPr>
              <w:rPr>
                <w:rFonts w:eastAsia="Times New Roman"/>
                <w:sz w:val="20"/>
                <w:szCs w:val="20"/>
              </w:rPr>
            </w:pPr>
          </w:p>
        </w:tc>
        <w:tc>
          <w:tcPr>
            <w:tcW w:w="0" w:type="auto"/>
            <w:vAlign w:val="center"/>
            <w:hideMark/>
          </w:tcPr>
          <w:p w14:paraId="2A0FC0FD" w14:textId="77777777" w:rsidR="00000000" w:rsidRDefault="000A3118">
            <w:pPr>
              <w:rPr>
                <w:rFonts w:eastAsia="Times New Roman"/>
                <w:sz w:val="20"/>
                <w:szCs w:val="20"/>
              </w:rPr>
            </w:pPr>
          </w:p>
        </w:tc>
        <w:tc>
          <w:tcPr>
            <w:tcW w:w="0" w:type="auto"/>
            <w:vAlign w:val="center"/>
            <w:hideMark/>
          </w:tcPr>
          <w:p w14:paraId="396B699A" w14:textId="77777777" w:rsidR="00000000" w:rsidRDefault="000A3118">
            <w:pPr>
              <w:rPr>
                <w:rFonts w:eastAsia="Times New Roman"/>
                <w:sz w:val="20"/>
                <w:szCs w:val="20"/>
              </w:rPr>
            </w:pPr>
          </w:p>
        </w:tc>
        <w:tc>
          <w:tcPr>
            <w:tcW w:w="0" w:type="auto"/>
            <w:vAlign w:val="center"/>
            <w:hideMark/>
          </w:tcPr>
          <w:p w14:paraId="68BEFB8E" w14:textId="77777777" w:rsidR="00000000" w:rsidRDefault="000A3118">
            <w:pPr>
              <w:rPr>
                <w:rFonts w:eastAsia="Times New Roman"/>
                <w:sz w:val="20"/>
                <w:szCs w:val="20"/>
              </w:rPr>
            </w:pPr>
          </w:p>
        </w:tc>
      </w:tr>
      <w:tr w:rsidR="00000000" w14:paraId="46EB0CD4" w14:textId="77777777">
        <w:trPr>
          <w:divId w:val="184029008"/>
        </w:trPr>
        <w:tc>
          <w:tcPr>
            <w:tcW w:w="0" w:type="auto"/>
            <w:gridSpan w:val="3"/>
            <w:vAlign w:val="center"/>
            <w:hideMark/>
          </w:tcPr>
          <w:p w14:paraId="0C6B7797" w14:textId="77777777" w:rsidR="00000000" w:rsidRDefault="000A3118">
            <w:pPr>
              <w:rPr>
                <w:rFonts w:eastAsia="Times New Roman"/>
                <w:sz w:val="20"/>
                <w:szCs w:val="20"/>
              </w:rPr>
            </w:pPr>
          </w:p>
        </w:tc>
        <w:tc>
          <w:tcPr>
            <w:tcW w:w="0" w:type="auto"/>
            <w:gridSpan w:val="3"/>
            <w:vAlign w:val="center"/>
            <w:hideMark/>
          </w:tcPr>
          <w:p w14:paraId="11D782AC" w14:textId="77777777" w:rsidR="00000000" w:rsidRDefault="000A3118">
            <w:pPr>
              <w:rPr>
                <w:rFonts w:eastAsia="Times New Roman"/>
                <w:sz w:val="20"/>
                <w:szCs w:val="20"/>
              </w:rPr>
            </w:pPr>
          </w:p>
        </w:tc>
        <w:tc>
          <w:tcPr>
            <w:tcW w:w="0" w:type="auto"/>
            <w:gridSpan w:val="3"/>
            <w:vAlign w:val="center"/>
            <w:hideMark/>
          </w:tcPr>
          <w:p w14:paraId="13BCCE67" w14:textId="77777777" w:rsidR="00000000" w:rsidRDefault="000A3118">
            <w:pPr>
              <w:rPr>
                <w:rFonts w:eastAsia="Times New Roman"/>
                <w:sz w:val="20"/>
                <w:szCs w:val="20"/>
              </w:rPr>
            </w:pPr>
          </w:p>
        </w:tc>
        <w:tc>
          <w:tcPr>
            <w:tcW w:w="0" w:type="auto"/>
            <w:vAlign w:val="center"/>
            <w:hideMark/>
          </w:tcPr>
          <w:p w14:paraId="4D470C69" w14:textId="77777777" w:rsidR="00000000" w:rsidRDefault="000A3118">
            <w:pPr>
              <w:rPr>
                <w:rFonts w:eastAsia="Times New Roman"/>
                <w:sz w:val="20"/>
                <w:szCs w:val="20"/>
              </w:rPr>
            </w:pPr>
          </w:p>
        </w:tc>
        <w:tc>
          <w:tcPr>
            <w:tcW w:w="0" w:type="auto"/>
            <w:vAlign w:val="center"/>
            <w:hideMark/>
          </w:tcPr>
          <w:p w14:paraId="39B4092D" w14:textId="77777777" w:rsidR="00000000" w:rsidRDefault="000A3118">
            <w:pPr>
              <w:rPr>
                <w:rFonts w:eastAsia="Times New Roman"/>
                <w:sz w:val="20"/>
                <w:szCs w:val="20"/>
              </w:rPr>
            </w:pPr>
          </w:p>
        </w:tc>
        <w:tc>
          <w:tcPr>
            <w:tcW w:w="0" w:type="auto"/>
            <w:vAlign w:val="center"/>
            <w:hideMark/>
          </w:tcPr>
          <w:p w14:paraId="4AD0CA3B" w14:textId="77777777" w:rsidR="00000000" w:rsidRDefault="000A3118">
            <w:pPr>
              <w:rPr>
                <w:rFonts w:eastAsia="Times New Roman"/>
                <w:sz w:val="20"/>
                <w:szCs w:val="20"/>
              </w:rPr>
            </w:pPr>
          </w:p>
        </w:tc>
      </w:tr>
      <w:tr w:rsidR="00000000" w14:paraId="46308E86" w14:textId="77777777">
        <w:trPr>
          <w:divId w:val="184029008"/>
        </w:trPr>
        <w:tc>
          <w:tcPr>
            <w:tcW w:w="0" w:type="auto"/>
            <w:gridSpan w:val="3"/>
            <w:vAlign w:val="center"/>
            <w:hideMark/>
          </w:tcPr>
          <w:p w14:paraId="42580139" w14:textId="77777777" w:rsidR="00000000" w:rsidRDefault="000A3118">
            <w:pPr>
              <w:rPr>
                <w:rFonts w:eastAsia="Times New Roman"/>
                <w:sz w:val="20"/>
                <w:szCs w:val="20"/>
              </w:rPr>
            </w:pPr>
          </w:p>
        </w:tc>
        <w:tc>
          <w:tcPr>
            <w:tcW w:w="0" w:type="auto"/>
            <w:gridSpan w:val="3"/>
            <w:vAlign w:val="center"/>
            <w:hideMark/>
          </w:tcPr>
          <w:p w14:paraId="4533CA3D" w14:textId="77777777" w:rsidR="00000000" w:rsidRDefault="000A3118">
            <w:pPr>
              <w:rPr>
                <w:rFonts w:eastAsia="Times New Roman"/>
                <w:sz w:val="20"/>
                <w:szCs w:val="20"/>
              </w:rPr>
            </w:pPr>
          </w:p>
        </w:tc>
        <w:tc>
          <w:tcPr>
            <w:tcW w:w="0" w:type="auto"/>
            <w:gridSpan w:val="3"/>
            <w:vAlign w:val="center"/>
            <w:hideMark/>
          </w:tcPr>
          <w:p w14:paraId="6EE25A87" w14:textId="77777777" w:rsidR="00000000" w:rsidRDefault="000A3118">
            <w:pPr>
              <w:rPr>
                <w:rFonts w:eastAsia="Times New Roman"/>
                <w:sz w:val="20"/>
                <w:szCs w:val="20"/>
              </w:rPr>
            </w:pPr>
          </w:p>
        </w:tc>
        <w:tc>
          <w:tcPr>
            <w:tcW w:w="0" w:type="auto"/>
            <w:vAlign w:val="center"/>
            <w:hideMark/>
          </w:tcPr>
          <w:p w14:paraId="7CB7DB1C" w14:textId="77777777" w:rsidR="00000000" w:rsidRDefault="000A3118">
            <w:pPr>
              <w:rPr>
                <w:rFonts w:eastAsia="Times New Roman"/>
                <w:sz w:val="20"/>
                <w:szCs w:val="20"/>
              </w:rPr>
            </w:pPr>
          </w:p>
        </w:tc>
        <w:tc>
          <w:tcPr>
            <w:tcW w:w="0" w:type="auto"/>
            <w:vAlign w:val="center"/>
            <w:hideMark/>
          </w:tcPr>
          <w:p w14:paraId="345DBAEE" w14:textId="77777777" w:rsidR="00000000" w:rsidRDefault="000A3118">
            <w:pPr>
              <w:rPr>
                <w:rFonts w:eastAsia="Times New Roman"/>
                <w:sz w:val="20"/>
                <w:szCs w:val="20"/>
              </w:rPr>
            </w:pPr>
          </w:p>
        </w:tc>
        <w:tc>
          <w:tcPr>
            <w:tcW w:w="0" w:type="auto"/>
            <w:vAlign w:val="center"/>
            <w:hideMark/>
          </w:tcPr>
          <w:p w14:paraId="0AD91CBF" w14:textId="77777777" w:rsidR="00000000" w:rsidRDefault="000A3118">
            <w:pPr>
              <w:rPr>
                <w:rFonts w:eastAsia="Times New Roman"/>
                <w:sz w:val="20"/>
                <w:szCs w:val="20"/>
              </w:rPr>
            </w:pPr>
          </w:p>
        </w:tc>
      </w:tr>
      <w:tr w:rsidR="00000000" w14:paraId="2E5CF577" w14:textId="77777777">
        <w:trPr>
          <w:divId w:val="184029008"/>
        </w:trPr>
        <w:tc>
          <w:tcPr>
            <w:tcW w:w="0" w:type="auto"/>
            <w:gridSpan w:val="3"/>
            <w:vAlign w:val="center"/>
            <w:hideMark/>
          </w:tcPr>
          <w:p w14:paraId="4FD87AED" w14:textId="77777777" w:rsidR="00000000" w:rsidRDefault="000A3118">
            <w:pPr>
              <w:rPr>
                <w:rFonts w:eastAsia="Times New Roman"/>
                <w:sz w:val="20"/>
                <w:szCs w:val="20"/>
              </w:rPr>
            </w:pPr>
          </w:p>
        </w:tc>
        <w:tc>
          <w:tcPr>
            <w:tcW w:w="0" w:type="auto"/>
            <w:gridSpan w:val="3"/>
            <w:vAlign w:val="center"/>
            <w:hideMark/>
          </w:tcPr>
          <w:p w14:paraId="3EF0C48B" w14:textId="77777777" w:rsidR="00000000" w:rsidRDefault="000A3118">
            <w:pPr>
              <w:rPr>
                <w:rFonts w:eastAsia="Times New Roman"/>
                <w:sz w:val="20"/>
                <w:szCs w:val="20"/>
              </w:rPr>
            </w:pPr>
          </w:p>
        </w:tc>
        <w:tc>
          <w:tcPr>
            <w:tcW w:w="0" w:type="auto"/>
            <w:gridSpan w:val="3"/>
            <w:vAlign w:val="center"/>
            <w:hideMark/>
          </w:tcPr>
          <w:p w14:paraId="35B0D84C" w14:textId="77777777" w:rsidR="00000000" w:rsidRDefault="000A3118">
            <w:pPr>
              <w:rPr>
                <w:rFonts w:eastAsia="Times New Roman"/>
                <w:sz w:val="20"/>
                <w:szCs w:val="20"/>
              </w:rPr>
            </w:pPr>
          </w:p>
        </w:tc>
        <w:tc>
          <w:tcPr>
            <w:tcW w:w="0" w:type="auto"/>
            <w:vAlign w:val="center"/>
            <w:hideMark/>
          </w:tcPr>
          <w:p w14:paraId="5C66A03E" w14:textId="77777777" w:rsidR="00000000" w:rsidRDefault="000A3118">
            <w:pPr>
              <w:rPr>
                <w:rFonts w:eastAsia="Times New Roman"/>
                <w:sz w:val="20"/>
                <w:szCs w:val="20"/>
              </w:rPr>
            </w:pPr>
          </w:p>
        </w:tc>
        <w:tc>
          <w:tcPr>
            <w:tcW w:w="0" w:type="auto"/>
            <w:vAlign w:val="center"/>
            <w:hideMark/>
          </w:tcPr>
          <w:p w14:paraId="681E530C" w14:textId="77777777" w:rsidR="00000000" w:rsidRDefault="000A3118">
            <w:pPr>
              <w:rPr>
                <w:rFonts w:eastAsia="Times New Roman"/>
                <w:sz w:val="20"/>
                <w:szCs w:val="20"/>
              </w:rPr>
            </w:pPr>
          </w:p>
        </w:tc>
        <w:tc>
          <w:tcPr>
            <w:tcW w:w="0" w:type="auto"/>
            <w:vAlign w:val="center"/>
            <w:hideMark/>
          </w:tcPr>
          <w:p w14:paraId="6E64DC1B" w14:textId="77777777" w:rsidR="00000000" w:rsidRDefault="000A3118">
            <w:pPr>
              <w:rPr>
                <w:rFonts w:eastAsia="Times New Roman"/>
                <w:sz w:val="20"/>
                <w:szCs w:val="20"/>
              </w:rPr>
            </w:pPr>
          </w:p>
        </w:tc>
      </w:tr>
      <w:tr w:rsidR="00000000" w14:paraId="34260F34" w14:textId="77777777">
        <w:trPr>
          <w:divId w:val="184029008"/>
        </w:trPr>
        <w:tc>
          <w:tcPr>
            <w:tcW w:w="0" w:type="auto"/>
            <w:gridSpan w:val="3"/>
            <w:vAlign w:val="center"/>
            <w:hideMark/>
          </w:tcPr>
          <w:p w14:paraId="3F41A13C" w14:textId="77777777" w:rsidR="00000000" w:rsidRDefault="000A3118">
            <w:pPr>
              <w:rPr>
                <w:rFonts w:eastAsia="Times New Roman"/>
                <w:sz w:val="20"/>
                <w:szCs w:val="20"/>
              </w:rPr>
            </w:pPr>
          </w:p>
        </w:tc>
        <w:tc>
          <w:tcPr>
            <w:tcW w:w="0" w:type="auto"/>
            <w:gridSpan w:val="3"/>
            <w:vAlign w:val="center"/>
            <w:hideMark/>
          </w:tcPr>
          <w:p w14:paraId="53D34DD1" w14:textId="77777777" w:rsidR="00000000" w:rsidRDefault="000A3118">
            <w:pPr>
              <w:rPr>
                <w:rFonts w:eastAsia="Times New Roman"/>
                <w:sz w:val="20"/>
                <w:szCs w:val="20"/>
              </w:rPr>
            </w:pPr>
          </w:p>
        </w:tc>
        <w:tc>
          <w:tcPr>
            <w:tcW w:w="0" w:type="auto"/>
            <w:gridSpan w:val="3"/>
            <w:vAlign w:val="center"/>
            <w:hideMark/>
          </w:tcPr>
          <w:p w14:paraId="6C5D2EA7" w14:textId="77777777" w:rsidR="00000000" w:rsidRDefault="000A3118">
            <w:pPr>
              <w:rPr>
                <w:rFonts w:eastAsia="Times New Roman"/>
                <w:sz w:val="20"/>
                <w:szCs w:val="20"/>
              </w:rPr>
            </w:pPr>
          </w:p>
        </w:tc>
        <w:tc>
          <w:tcPr>
            <w:tcW w:w="0" w:type="auto"/>
            <w:vAlign w:val="center"/>
            <w:hideMark/>
          </w:tcPr>
          <w:p w14:paraId="4DD3B3CE" w14:textId="77777777" w:rsidR="00000000" w:rsidRDefault="000A3118">
            <w:pPr>
              <w:rPr>
                <w:rFonts w:eastAsia="Times New Roman"/>
                <w:sz w:val="20"/>
                <w:szCs w:val="20"/>
              </w:rPr>
            </w:pPr>
          </w:p>
        </w:tc>
        <w:tc>
          <w:tcPr>
            <w:tcW w:w="0" w:type="auto"/>
            <w:vAlign w:val="center"/>
            <w:hideMark/>
          </w:tcPr>
          <w:p w14:paraId="4DA5B87B" w14:textId="77777777" w:rsidR="00000000" w:rsidRDefault="000A3118">
            <w:pPr>
              <w:rPr>
                <w:rFonts w:eastAsia="Times New Roman"/>
                <w:sz w:val="20"/>
                <w:szCs w:val="20"/>
              </w:rPr>
            </w:pPr>
          </w:p>
        </w:tc>
        <w:tc>
          <w:tcPr>
            <w:tcW w:w="0" w:type="auto"/>
            <w:vAlign w:val="center"/>
            <w:hideMark/>
          </w:tcPr>
          <w:p w14:paraId="69A32DEF" w14:textId="77777777" w:rsidR="00000000" w:rsidRDefault="000A3118">
            <w:pPr>
              <w:rPr>
                <w:rFonts w:eastAsia="Times New Roman"/>
                <w:sz w:val="20"/>
                <w:szCs w:val="20"/>
              </w:rPr>
            </w:pPr>
          </w:p>
        </w:tc>
      </w:tr>
      <w:tr w:rsidR="00000000" w14:paraId="35D84150" w14:textId="77777777">
        <w:trPr>
          <w:divId w:val="184029008"/>
        </w:trPr>
        <w:tc>
          <w:tcPr>
            <w:tcW w:w="0" w:type="auto"/>
            <w:gridSpan w:val="6"/>
            <w:tcBorders>
              <w:top w:val="single" w:sz="8" w:space="0" w:color="000000"/>
            </w:tcBorders>
            <w:tcMar>
              <w:top w:w="30" w:type="dxa"/>
              <w:left w:w="20" w:type="dxa"/>
              <w:bottom w:w="30" w:type="dxa"/>
              <w:right w:w="20" w:type="dxa"/>
            </w:tcMar>
            <w:hideMark/>
          </w:tcPr>
          <w:p w14:paraId="33220E84" w14:textId="77777777" w:rsidR="00000000" w:rsidRDefault="000A3118">
            <w:pPr>
              <w:jc w:val="center"/>
              <w:rPr>
                <w:rFonts w:eastAsia="Times New Roman"/>
              </w:rPr>
            </w:pPr>
            <w:hyperlink r:id="rId5"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14:paraId="3C93A283" w14:textId="77777777" w:rsidR="00000000" w:rsidRDefault="000A311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6CE5D26" w14:textId="77777777" w:rsidR="00000000" w:rsidRDefault="000A3118">
            <w:pPr>
              <w:rPr>
                <w:rFonts w:eastAsia="Times New Roman"/>
              </w:rPr>
            </w:pPr>
            <w:r>
              <w:rPr>
                <w:rFonts w:eastAsia="Times New Roman"/>
                <w:color w:val="000000"/>
                <w:sz w:val="20"/>
                <w:szCs w:val="20"/>
              </w:rPr>
              <w:t>Certification of the Chief Executive Officer pursuant to Rule 13a-14(a) or Rule 15d — 14(a).</w:t>
            </w:r>
          </w:p>
        </w:tc>
      </w:tr>
      <w:tr w:rsidR="00000000" w14:paraId="5106BF34" w14:textId="77777777">
        <w:trPr>
          <w:divId w:val="184029008"/>
          <w:trHeight w:val="280"/>
        </w:trPr>
        <w:tc>
          <w:tcPr>
            <w:tcW w:w="0" w:type="auto"/>
            <w:gridSpan w:val="6"/>
            <w:tcMar>
              <w:top w:w="0" w:type="dxa"/>
              <w:left w:w="20" w:type="dxa"/>
              <w:bottom w:w="0" w:type="dxa"/>
              <w:right w:w="20" w:type="dxa"/>
            </w:tcMar>
            <w:vAlign w:val="center"/>
            <w:hideMark/>
          </w:tcPr>
          <w:p w14:paraId="444E70FB"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10511BA3"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129DF683" w14:textId="77777777" w:rsidR="00000000" w:rsidRDefault="000A3118">
            <w:pPr>
              <w:rPr>
                <w:rFonts w:eastAsia="Times New Roman"/>
                <w:sz w:val="20"/>
                <w:szCs w:val="20"/>
              </w:rPr>
            </w:pPr>
          </w:p>
        </w:tc>
      </w:tr>
      <w:tr w:rsidR="00000000" w14:paraId="2D40A05B" w14:textId="77777777">
        <w:trPr>
          <w:divId w:val="184029008"/>
        </w:trPr>
        <w:tc>
          <w:tcPr>
            <w:tcW w:w="0" w:type="auto"/>
            <w:gridSpan w:val="6"/>
            <w:tcMar>
              <w:top w:w="30" w:type="dxa"/>
              <w:left w:w="20" w:type="dxa"/>
              <w:bottom w:w="30" w:type="dxa"/>
              <w:right w:w="20" w:type="dxa"/>
            </w:tcMar>
            <w:hideMark/>
          </w:tcPr>
          <w:p w14:paraId="0AE20FE7" w14:textId="77777777" w:rsidR="00000000" w:rsidRDefault="000A3118">
            <w:pPr>
              <w:jc w:val="center"/>
              <w:rPr>
                <w:rFonts w:eastAsia="Times New Roman"/>
              </w:rPr>
            </w:pPr>
            <w:hyperlink r:id="rId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1D88B483"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2081C3C8" w14:textId="77777777" w:rsidR="00000000" w:rsidRDefault="000A3118">
            <w:pPr>
              <w:rPr>
                <w:rFonts w:eastAsia="Times New Roman"/>
              </w:rPr>
            </w:pPr>
            <w:r>
              <w:rPr>
                <w:rFonts w:eastAsia="Times New Roman"/>
                <w:color w:val="000000"/>
                <w:sz w:val="20"/>
                <w:szCs w:val="20"/>
              </w:rPr>
              <w:t>Certification of the Chief Financial Officer pursuant to Rule 13a-14(a) or Rule 15d — 14(a).</w:t>
            </w:r>
          </w:p>
        </w:tc>
      </w:tr>
      <w:tr w:rsidR="00000000" w14:paraId="450A2584" w14:textId="77777777">
        <w:trPr>
          <w:divId w:val="184029008"/>
          <w:trHeight w:val="280"/>
        </w:trPr>
        <w:tc>
          <w:tcPr>
            <w:tcW w:w="0" w:type="auto"/>
            <w:gridSpan w:val="6"/>
            <w:tcMar>
              <w:top w:w="0" w:type="dxa"/>
              <w:left w:w="20" w:type="dxa"/>
              <w:bottom w:w="0" w:type="dxa"/>
              <w:right w:w="20" w:type="dxa"/>
            </w:tcMar>
            <w:vAlign w:val="center"/>
            <w:hideMark/>
          </w:tcPr>
          <w:p w14:paraId="23548E97"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7DEEEDED"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522A8A58" w14:textId="77777777" w:rsidR="00000000" w:rsidRDefault="000A3118">
            <w:pPr>
              <w:rPr>
                <w:rFonts w:eastAsia="Times New Roman"/>
                <w:sz w:val="20"/>
                <w:szCs w:val="20"/>
              </w:rPr>
            </w:pPr>
          </w:p>
        </w:tc>
      </w:tr>
      <w:tr w:rsidR="00000000" w14:paraId="31DBB0B3" w14:textId="77777777">
        <w:trPr>
          <w:divId w:val="184029008"/>
        </w:trPr>
        <w:tc>
          <w:tcPr>
            <w:tcW w:w="0" w:type="auto"/>
            <w:gridSpan w:val="6"/>
            <w:tcMar>
              <w:top w:w="30" w:type="dxa"/>
              <w:left w:w="20" w:type="dxa"/>
              <w:bottom w:w="30" w:type="dxa"/>
              <w:right w:w="20" w:type="dxa"/>
            </w:tcMar>
            <w:hideMark/>
          </w:tcPr>
          <w:p w14:paraId="314E00BC" w14:textId="77777777" w:rsidR="00000000" w:rsidRDefault="000A3118">
            <w:pPr>
              <w:jc w:val="center"/>
              <w:rPr>
                <w:rFonts w:eastAsia="Times New Roman"/>
              </w:rPr>
            </w:pPr>
            <w:hyperlink r:id="rId7"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14:paraId="187F0697"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5C2C7D9C" w14:textId="77777777" w:rsidR="00000000" w:rsidRDefault="000A3118">
            <w:pPr>
              <w:rPr>
                <w:rFonts w:eastAsia="Times New Roman"/>
              </w:rPr>
            </w:pPr>
            <w:r>
              <w:rPr>
                <w:rFonts w:eastAsia="Times New Roman"/>
                <w:color w:val="000000"/>
                <w:sz w:val="20"/>
                <w:szCs w:val="20"/>
              </w:rPr>
              <w:t>Certification of Chief Executive Officer and Chief Financial Officer under Section 906 of the Sarbanes-Oxley Act of 2002.</w:t>
            </w:r>
          </w:p>
        </w:tc>
      </w:tr>
      <w:tr w:rsidR="00000000" w14:paraId="3BE29298" w14:textId="77777777">
        <w:trPr>
          <w:divId w:val="184029008"/>
        </w:trPr>
        <w:tc>
          <w:tcPr>
            <w:tcW w:w="0" w:type="auto"/>
            <w:gridSpan w:val="6"/>
            <w:tcMar>
              <w:top w:w="0" w:type="dxa"/>
              <w:left w:w="20" w:type="dxa"/>
              <w:bottom w:w="0" w:type="dxa"/>
              <w:right w:w="20" w:type="dxa"/>
            </w:tcMar>
            <w:vAlign w:val="center"/>
            <w:hideMark/>
          </w:tcPr>
          <w:p w14:paraId="54169380"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0125727D"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hideMark/>
          </w:tcPr>
          <w:p w14:paraId="14A5E8D9" w14:textId="77777777" w:rsidR="00000000" w:rsidRDefault="000A3118">
            <w:pPr>
              <w:jc w:val="right"/>
              <w:rPr>
                <w:rFonts w:eastAsia="Times New Roman"/>
              </w:rPr>
            </w:pPr>
            <w:r>
              <w:rPr>
                <w:rFonts w:eastAsia="Times New Roman"/>
                <w:color w:val="000000"/>
                <w:sz w:val="20"/>
                <w:szCs w:val="20"/>
              </w:rPr>
              <w:t> </w:t>
            </w:r>
          </w:p>
        </w:tc>
      </w:tr>
      <w:tr w:rsidR="00000000" w14:paraId="13AB007C" w14:textId="77777777">
        <w:trPr>
          <w:divId w:val="184029008"/>
        </w:trPr>
        <w:tc>
          <w:tcPr>
            <w:tcW w:w="0" w:type="auto"/>
            <w:gridSpan w:val="6"/>
            <w:tcMar>
              <w:top w:w="30" w:type="dxa"/>
              <w:left w:w="20" w:type="dxa"/>
              <w:bottom w:w="30" w:type="dxa"/>
              <w:right w:w="20" w:type="dxa"/>
            </w:tcMar>
            <w:hideMark/>
          </w:tcPr>
          <w:p w14:paraId="7E1E9450" w14:textId="77777777" w:rsidR="00000000" w:rsidRDefault="000A3118">
            <w:pPr>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762CC755"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2EE7F4E7" w14:textId="77777777" w:rsidR="00000000" w:rsidRDefault="000A3118">
            <w:pPr>
              <w:jc w:val="both"/>
              <w:rPr>
                <w:rFonts w:eastAsia="Times New Roman"/>
              </w:rPr>
            </w:pPr>
            <w:r>
              <w:rPr>
                <w:rFonts w:eastAsia="Times New Roman"/>
                <w:color w:val="000000"/>
                <w:sz w:val="20"/>
                <w:szCs w:val="20"/>
              </w:rPr>
              <w:t>The following materials from World Fuel Services Corporation’s Quarterly Report on Form 10-Q for the quarter ended September 30, 2020, formatted in XBRL (Extensible Business Reporting Language); (i) Consolidated Balance Sheets, (ii) Consolidated Statements</w:t>
            </w:r>
            <w:r>
              <w:rPr>
                <w:rFonts w:eastAsia="Times New Roman"/>
                <w:color w:val="000000"/>
                <w:sz w:val="20"/>
                <w:szCs w:val="20"/>
              </w:rPr>
              <w:t xml:space="preserve"> of Income and Comprehensive Income, (iii) Consolidated Statements of Shareholders’ Equity, (iv) Consolidated Statements of Cash Flows, and (v) Notes to the Consolidated Financial Statements.</w:t>
            </w:r>
          </w:p>
        </w:tc>
      </w:tr>
      <w:tr w:rsidR="00000000" w14:paraId="23BECBC5" w14:textId="77777777">
        <w:trPr>
          <w:divId w:val="184029008"/>
          <w:trHeight w:val="280"/>
        </w:trPr>
        <w:tc>
          <w:tcPr>
            <w:tcW w:w="0" w:type="auto"/>
            <w:gridSpan w:val="6"/>
            <w:tcMar>
              <w:top w:w="0" w:type="dxa"/>
              <w:left w:w="20" w:type="dxa"/>
              <w:bottom w:w="0" w:type="dxa"/>
              <w:right w:w="20" w:type="dxa"/>
            </w:tcMar>
            <w:vAlign w:val="center"/>
            <w:hideMark/>
          </w:tcPr>
          <w:p w14:paraId="223E623A" w14:textId="77777777" w:rsidR="00000000" w:rsidRDefault="000A3118">
            <w:pPr>
              <w:jc w:val="both"/>
              <w:rPr>
                <w:rFonts w:eastAsia="Times New Roman"/>
              </w:rPr>
            </w:pPr>
          </w:p>
        </w:tc>
        <w:tc>
          <w:tcPr>
            <w:tcW w:w="0" w:type="auto"/>
            <w:gridSpan w:val="3"/>
            <w:tcMar>
              <w:top w:w="0" w:type="dxa"/>
              <w:left w:w="20" w:type="dxa"/>
              <w:bottom w:w="0" w:type="dxa"/>
              <w:right w:w="20" w:type="dxa"/>
            </w:tcMar>
            <w:vAlign w:val="center"/>
            <w:hideMark/>
          </w:tcPr>
          <w:p w14:paraId="4E4B01FE"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2E984C95" w14:textId="77777777" w:rsidR="00000000" w:rsidRDefault="000A3118">
            <w:pPr>
              <w:rPr>
                <w:rFonts w:eastAsia="Times New Roman"/>
                <w:sz w:val="20"/>
                <w:szCs w:val="20"/>
              </w:rPr>
            </w:pPr>
          </w:p>
        </w:tc>
      </w:tr>
      <w:tr w:rsidR="00000000" w14:paraId="2C6E2B06" w14:textId="77777777">
        <w:trPr>
          <w:divId w:val="184029008"/>
        </w:trPr>
        <w:tc>
          <w:tcPr>
            <w:tcW w:w="0" w:type="auto"/>
            <w:gridSpan w:val="6"/>
            <w:tcMar>
              <w:top w:w="30" w:type="dxa"/>
              <w:left w:w="20" w:type="dxa"/>
              <w:bottom w:w="30" w:type="dxa"/>
              <w:right w:w="20" w:type="dxa"/>
            </w:tcMar>
            <w:hideMark/>
          </w:tcPr>
          <w:p w14:paraId="699BFDA9" w14:textId="77777777" w:rsidR="00000000" w:rsidRDefault="000A3118">
            <w:pPr>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205F25F9" w14:textId="77777777" w:rsidR="00000000" w:rsidRDefault="000A3118">
            <w:pPr>
              <w:jc w:val="center"/>
              <w:rPr>
                <w:rFonts w:eastAsia="Times New Roman"/>
              </w:rPr>
            </w:pPr>
          </w:p>
        </w:tc>
        <w:tc>
          <w:tcPr>
            <w:tcW w:w="0" w:type="auto"/>
            <w:gridSpan w:val="3"/>
            <w:tcMar>
              <w:top w:w="30" w:type="dxa"/>
              <w:left w:w="20" w:type="dxa"/>
              <w:bottom w:w="30" w:type="dxa"/>
              <w:right w:w="20" w:type="dxa"/>
            </w:tcMar>
            <w:hideMark/>
          </w:tcPr>
          <w:p w14:paraId="7D40724F" w14:textId="77777777" w:rsidR="00000000" w:rsidRDefault="000A3118">
            <w:pPr>
              <w:rPr>
                <w:rFonts w:eastAsia="Times New Roman"/>
              </w:rPr>
            </w:pPr>
            <w:r>
              <w:rPr>
                <w:rFonts w:eastAsia="Times New Roman"/>
                <w:color w:val="000000"/>
                <w:sz w:val="20"/>
                <w:szCs w:val="20"/>
              </w:rPr>
              <w:t>Cover page interactive file (formatted in Inline XBRL and contained in Exhibit 101).</w:t>
            </w:r>
          </w:p>
        </w:tc>
      </w:tr>
      <w:tr w:rsidR="00000000" w14:paraId="2D16358D" w14:textId="77777777">
        <w:trPr>
          <w:divId w:val="184029008"/>
        </w:trPr>
        <w:tc>
          <w:tcPr>
            <w:tcW w:w="0" w:type="auto"/>
            <w:gridSpan w:val="3"/>
            <w:vAlign w:val="center"/>
            <w:hideMark/>
          </w:tcPr>
          <w:p w14:paraId="1975556E" w14:textId="77777777" w:rsidR="00000000" w:rsidRDefault="000A3118">
            <w:pPr>
              <w:rPr>
                <w:rFonts w:eastAsia="Times New Roman"/>
              </w:rPr>
            </w:pPr>
          </w:p>
        </w:tc>
        <w:tc>
          <w:tcPr>
            <w:tcW w:w="0" w:type="auto"/>
            <w:gridSpan w:val="3"/>
            <w:vAlign w:val="center"/>
            <w:hideMark/>
          </w:tcPr>
          <w:p w14:paraId="455B250B" w14:textId="77777777" w:rsidR="00000000" w:rsidRDefault="000A3118">
            <w:pPr>
              <w:rPr>
                <w:rFonts w:eastAsia="Times New Roman"/>
                <w:sz w:val="20"/>
                <w:szCs w:val="20"/>
              </w:rPr>
            </w:pPr>
          </w:p>
        </w:tc>
        <w:tc>
          <w:tcPr>
            <w:tcW w:w="0" w:type="auto"/>
            <w:gridSpan w:val="3"/>
            <w:vAlign w:val="center"/>
            <w:hideMark/>
          </w:tcPr>
          <w:p w14:paraId="54A8E6CB" w14:textId="77777777" w:rsidR="00000000" w:rsidRDefault="000A3118">
            <w:pPr>
              <w:rPr>
                <w:rFonts w:eastAsia="Times New Roman"/>
                <w:sz w:val="20"/>
                <w:szCs w:val="20"/>
              </w:rPr>
            </w:pPr>
          </w:p>
        </w:tc>
        <w:tc>
          <w:tcPr>
            <w:tcW w:w="0" w:type="auto"/>
            <w:gridSpan w:val="3"/>
            <w:vAlign w:val="center"/>
            <w:hideMark/>
          </w:tcPr>
          <w:p w14:paraId="6EAAE4BE" w14:textId="77777777" w:rsidR="00000000" w:rsidRDefault="000A3118">
            <w:pPr>
              <w:rPr>
                <w:rFonts w:eastAsia="Times New Roman"/>
                <w:sz w:val="20"/>
                <w:szCs w:val="20"/>
              </w:rPr>
            </w:pPr>
          </w:p>
        </w:tc>
      </w:tr>
    </w:tbl>
    <w:p w14:paraId="481124AF" w14:textId="77777777" w:rsidR="00000000" w:rsidRDefault="000A3118">
      <w:pPr>
        <w:jc w:val="center"/>
        <w:divId w:val="2044938346"/>
        <w:rPr>
          <w:rFonts w:eastAsia="Times New Roman"/>
        </w:rPr>
      </w:pPr>
      <w:r>
        <w:rPr>
          <w:rFonts w:eastAsia="Times New Roman"/>
          <w:color w:val="000000"/>
          <w:sz w:val="20"/>
          <w:szCs w:val="20"/>
        </w:rPr>
        <w:t>44</w:t>
      </w:r>
    </w:p>
    <w:p w14:paraId="54B92BD5" w14:textId="77777777" w:rsidR="00000000" w:rsidRDefault="000A3118">
      <w:pPr>
        <w:rPr>
          <w:rFonts w:eastAsia="Times New Roman"/>
        </w:rPr>
      </w:pPr>
      <w:r>
        <w:rPr>
          <w:rFonts w:eastAsia="Times New Roman"/>
        </w:rPr>
        <w:pict w14:anchorId="3942EB4C">
          <v:rect id="_x0000_i1072" style="width:0;height:1.5pt" o:hralign="center" o:hrstd="t" o:hr="t" fillcolor="#a0a0a0" stroked="f"/>
        </w:pict>
      </w:r>
    </w:p>
    <w:p w14:paraId="5ED3778C" w14:textId="77777777" w:rsidR="00000000" w:rsidRDefault="000A3118">
      <w:pPr>
        <w:divId w:val="300352468"/>
        <w:rPr>
          <w:rFonts w:eastAsia="Times New Roman"/>
        </w:rPr>
      </w:pPr>
    </w:p>
    <w:p w14:paraId="719E28A6" w14:textId="77777777" w:rsidR="00000000" w:rsidRDefault="000A3118">
      <w:pPr>
        <w:jc w:val="center"/>
        <w:rPr>
          <w:rFonts w:eastAsia="Times New Roman"/>
        </w:rPr>
      </w:pPr>
      <w:r>
        <w:rPr>
          <w:rFonts w:eastAsia="Times New Roman"/>
          <w:b/>
          <w:bCs/>
          <w:color w:val="000000"/>
          <w:sz w:val="20"/>
          <w:szCs w:val="20"/>
        </w:rPr>
        <w:t>Signatures</w:t>
      </w:r>
    </w:p>
    <w:p w14:paraId="5B8A4CA2" w14:textId="77777777" w:rsidR="00000000" w:rsidRDefault="000A3118">
      <w:pPr>
        <w:ind w:firstLine="720"/>
        <w:jc w:val="center"/>
        <w:rPr>
          <w:rFonts w:eastAsia="Times New Roman"/>
        </w:rPr>
      </w:pPr>
      <w:r>
        <w:rPr>
          <w:rFonts w:eastAsia="Times New Roman"/>
          <w:color w:val="000000"/>
          <w:sz w:val="20"/>
          <w:szCs w:val="20"/>
        </w:rPr>
        <w:t> </w:t>
      </w:r>
    </w:p>
    <w:p w14:paraId="63AAC515" w14:textId="77777777" w:rsidR="00000000" w:rsidRDefault="000A3118">
      <w:pPr>
        <w:ind w:firstLine="360"/>
        <w:jc w:val="both"/>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14:paraId="2957957D" w14:textId="77777777" w:rsidR="00000000" w:rsidRDefault="000A3118">
      <w:pPr>
        <w:ind w:firstLine="720"/>
        <w:divId w:val="1767265202"/>
        <w:rPr>
          <w:rFonts w:eastAsia="Times New Roman"/>
        </w:rPr>
      </w:pPr>
      <w:r>
        <w:rPr>
          <w:rFonts w:eastAsia="Times New Roman"/>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69"/>
        <w:gridCol w:w="4035"/>
        <w:gridCol w:w="36"/>
        <w:gridCol w:w="69"/>
        <w:gridCol w:w="4036"/>
        <w:gridCol w:w="36"/>
      </w:tblGrid>
      <w:tr w:rsidR="00000000" w14:paraId="601AA14C" w14:textId="77777777">
        <w:trPr>
          <w:divId w:val="47383300"/>
        </w:trPr>
        <w:tc>
          <w:tcPr>
            <w:tcW w:w="50" w:type="pct"/>
            <w:vAlign w:val="center"/>
            <w:hideMark/>
          </w:tcPr>
          <w:p w14:paraId="200EB49A" w14:textId="77777777" w:rsidR="00000000" w:rsidRDefault="000A3118">
            <w:pPr>
              <w:ind w:firstLine="720"/>
              <w:rPr>
                <w:rFonts w:eastAsia="Times New Roman"/>
              </w:rPr>
            </w:pPr>
          </w:p>
        </w:tc>
        <w:tc>
          <w:tcPr>
            <w:tcW w:w="2445" w:type="pct"/>
            <w:vAlign w:val="center"/>
            <w:hideMark/>
          </w:tcPr>
          <w:p w14:paraId="6F3349C4" w14:textId="77777777" w:rsidR="00000000" w:rsidRDefault="000A3118">
            <w:pPr>
              <w:rPr>
                <w:rFonts w:eastAsia="Times New Roman"/>
                <w:sz w:val="20"/>
                <w:szCs w:val="20"/>
              </w:rPr>
            </w:pPr>
          </w:p>
        </w:tc>
        <w:tc>
          <w:tcPr>
            <w:tcW w:w="5" w:type="pct"/>
            <w:vAlign w:val="center"/>
            <w:hideMark/>
          </w:tcPr>
          <w:p w14:paraId="1DA1CB88" w14:textId="77777777" w:rsidR="00000000" w:rsidRDefault="000A3118">
            <w:pPr>
              <w:rPr>
                <w:rFonts w:eastAsia="Times New Roman"/>
                <w:sz w:val="20"/>
                <w:szCs w:val="20"/>
              </w:rPr>
            </w:pPr>
          </w:p>
        </w:tc>
        <w:tc>
          <w:tcPr>
            <w:tcW w:w="50" w:type="pct"/>
            <w:vAlign w:val="center"/>
            <w:hideMark/>
          </w:tcPr>
          <w:p w14:paraId="6309E676" w14:textId="77777777" w:rsidR="00000000" w:rsidRDefault="000A3118">
            <w:pPr>
              <w:rPr>
                <w:rFonts w:eastAsia="Times New Roman"/>
                <w:sz w:val="20"/>
                <w:szCs w:val="20"/>
              </w:rPr>
            </w:pPr>
          </w:p>
        </w:tc>
        <w:tc>
          <w:tcPr>
            <w:tcW w:w="2445" w:type="pct"/>
            <w:vAlign w:val="center"/>
            <w:hideMark/>
          </w:tcPr>
          <w:p w14:paraId="0DDB36B4" w14:textId="77777777" w:rsidR="00000000" w:rsidRDefault="000A3118">
            <w:pPr>
              <w:rPr>
                <w:rFonts w:eastAsia="Times New Roman"/>
                <w:sz w:val="20"/>
                <w:szCs w:val="20"/>
              </w:rPr>
            </w:pPr>
          </w:p>
        </w:tc>
        <w:tc>
          <w:tcPr>
            <w:tcW w:w="5" w:type="pct"/>
            <w:vAlign w:val="center"/>
            <w:hideMark/>
          </w:tcPr>
          <w:p w14:paraId="2DCE5834" w14:textId="77777777" w:rsidR="00000000" w:rsidRDefault="000A3118">
            <w:pPr>
              <w:rPr>
                <w:rFonts w:eastAsia="Times New Roman"/>
                <w:sz w:val="20"/>
                <w:szCs w:val="20"/>
              </w:rPr>
            </w:pPr>
          </w:p>
        </w:tc>
      </w:tr>
      <w:tr w:rsidR="00000000" w14:paraId="3C747FC6" w14:textId="77777777">
        <w:trPr>
          <w:divId w:val="47383300"/>
          <w:trHeight w:val="300"/>
        </w:trPr>
        <w:tc>
          <w:tcPr>
            <w:tcW w:w="0" w:type="auto"/>
            <w:gridSpan w:val="3"/>
            <w:tcMar>
              <w:top w:w="0" w:type="dxa"/>
              <w:left w:w="20" w:type="dxa"/>
              <w:bottom w:w="0" w:type="dxa"/>
              <w:right w:w="20" w:type="dxa"/>
            </w:tcMar>
            <w:vAlign w:val="center"/>
            <w:hideMark/>
          </w:tcPr>
          <w:p w14:paraId="78AADBB7"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4DBBE607" w14:textId="77777777" w:rsidR="00000000" w:rsidRDefault="000A3118">
            <w:pPr>
              <w:rPr>
                <w:rFonts w:eastAsia="Times New Roman"/>
                <w:sz w:val="20"/>
                <w:szCs w:val="20"/>
              </w:rPr>
            </w:pPr>
          </w:p>
        </w:tc>
      </w:tr>
      <w:tr w:rsidR="00000000" w14:paraId="7975B055" w14:textId="77777777">
        <w:trPr>
          <w:divId w:val="47383300"/>
        </w:trPr>
        <w:tc>
          <w:tcPr>
            <w:tcW w:w="0" w:type="auto"/>
            <w:gridSpan w:val="3"/>
            <w:tcMar>
              <w:top w:w="30" w:type="dxa"/>
              <w:left w:w="20" w:type="dxa"/>
              <w:bottom w:w="30" w:type="dxa"/>
              <w:right w:w="20" w:type="dxa"/>
            </w:tcMar>
            <w:hideMark/>
          </w:tcPr>
          <w:p w14:paraId="5C56919D" w14:textId="77777777" w:rsidR="00000000" w:rsidRDefault="000A3118">
            <w:pPr>
              <w:rPr>
                <w:rFonts w:eastAsia="Times New Roman"/>
              </w:rPr>
            </w:pPr>
            <w:r>
              <w:rPr>
                <w:rFonts w:eastAsia="Times New Roman"/>
                <w:color w:val="000000"/>
                <w:sz w:val="20"/>
                <w:szCs w:val="20"/>
              </w:rPr>
              <w:t>Date: October 30, 2020</w:t>
            </w:r>
          </w:p>
        </w:tc>
        <w:tc>
          <w:tcPr>
            <w:tcW w:w="0" w:type="auto"/>
            <w:gridSpan w:val="3"/>
            <w:tcMar>
              <w:top w:w="30" w:type="dxa"/>
              <w:left w:w="20" w:type="dxa"/>
              <w:bottom w:w="30" w:type="dxa"/>
              <w:right w:w="20" w:type="dxa"/>
            </w:tcMar>
            <w:hideMark/>
          </w:tcPr>
          <w:p w14:paraId="001D2734" w14:textId="77777777" w:rsidR="00000000" w:rsidRDefault="000A3118">
            <w:pPr>
              <w:rPr>
                <w:rFonts w:eastAsia="Times New Roman"/>
              </w:rPr>
            </w:pPr>
            <w:r>
              <w:rPr>
                <w:rFonts w:eastAsia="Times New Roman"/>
                <w:color w:val="000000"/>
                <w:sz w:val="20"/>
                <w:szCs w:val="20"/>
              </w:rPr>
              <w:t>World Fuel Services Corporation</w:t>
            </w:r>
          </w:p>
        </w:tc>
      </w:tr>
      <w:tr w:rsidR="00000000" w14:paraId="5728E455" w14:textId="77777777">
        <w:trPr>
          <w:divId w:val="47383300"/>
          <w:trHeight w:val="280"/>
        </w:trPr>
        <w:tc>
          <w:tcPr>
            <w:tcW w:w="0" w:type="auto"/>
            <w:gridSpan w:val="3"/>
            <w:tcMar>
              <w:top w:w="0" w:type="dxa"/>
              <w:left w:w="20" w:type="dxa"/>
              <w:bottom w:w="0" w:type="dxa"/>
              <w:right w:w="20" w:type="dxa"/>
            </w:tcMar>
            <w:vAlign w:val="center"/>
            <w:hideMark/>
          </w:tcPr>
          <w:p w14:paraId="32FAA0CC"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53F773F8" w14:textId="77777777" w:rsidR="00000000" w:rsidRDefault="000A3118">
            <w:pPr>
              <w:rPr>
                <w:rFonts w:eastAsia="Times New Roman"/>
                <w:sz w:val="20"/>
                <w:szCs w:val="20"/>
              </w:rPr>
            </w:pPr>
          </w:p>
        </w:tc>
      </w:tr>
      <w:tr w:rsidR="00000000" w14:paraId="3D8F1F02" w14:textId="77777777">
        <w:trPr>
          <w:divId w:val="47383300"/>
          <w:trHeight w:val="280"/>
        </w:trPr>
        <w:tc>
          <w:tcPr>
            <w:tcW w:w="0" w:type="auto"/>
            <w:gridSpan w:val="3"/>
            <w:tcMar>
              <w:top w:w="0" w:type="dxa"/>
              <w:left w:w="20" w:type="dxa"/>
              <w:bottom w:w="0" w:type="dxa"/>
              <w:right w:w="20" w:type="dxa"/>
            </w:tcMar>
            <w:vAlign w:val="center"/>
            <w:hideMark/>
          </w:tcPr>
          <w:p w14:paraId="56CC78A7"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7D3D8E75" w14:textId="77777777" w:rsidR="00000000" w:rsidRDefault="000A3118">
            <w:pPr>
              <w:rPr>
                <w:rFonts w:eastAsia="Times New Roman"/>
                <w:sz w:val="20"/>
                <w:szCs w:val="20"/>
              </w:rPr>
            </w:pPr>
          </w:p>
        </w:tc>
      </w:tr>
      <w:tr w:rsidR="00000000" w14:paraId="209CE7D7" w14:textId="77777777">
        <w:trPr>
          <w:divId w:val="47383300"/>
        </w:trPr>
        <w:tc>
          <w:tcPr>
            <w:tcW w:w="0" w:type="auto"/>
            <w:gridSpan w:val="3"/>
            <w:tcMar>
              <w:top w:w="0" w:type="dxa"/>
              <w:left w:w="20" w:type="dxa"/>
              <w:bottom w:w="0" w:type="dxa"/>
              <w:right w:w="20" w:type="dxa"/>
            </w:tcMar>
            <w:vAlign w:val="center"/>
            <w:hideMark/>
          </w:tcPr>
          <w:p w14:paraId="36A556FC"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hideMark/>
          </w:tcPr>
          <w:p w14:paraId="0006D16D" w14:textId="77777777" w:rsidR="00000000" w:rsidRDefault="000A3118">
            <w:pPr>
              <w:rPr>
                <w:rFonts w:eastAsia="Times New Roman"/>
              </w:rPr>
            </w:pPr>
            <w:r>
              <w:rPr>
                <w:rFonts w:eastAsia="Times New Roman"/>
                <w:color w:val="000000"/>
                <w:sz w:val="20"/>
                <w:szCs w:val="20"/>
              </w:rPr>
              <w:t>/s/ Michael J. Kasbar</w:t>
            </w:r>
          </w:p>
        </w:tc>
      </w:tr>
      <w:tr w:rsidR="00000000" w14:paraId="5E8D83E8" w14:textId="77777777">
        <w:trPr>
          <w:divId w:val="47383300"/>
        </w:trPr>
        <w:tc>
          <w:tcPr>
            <w:tcW w:w="0" w:type="auto"/>
            <w:gridSpan w:val="3"/>
            <w:tcMar>
              <w:top w:w="0" w:type="dxa"/>
              <w:left w:w="20" w:type="dxa"/>
              <w:bottom w:w="0" w:type="dxa"/>
              <w:right w:w="20" w:type="dxa"/>
            </w:tcMar>
            <w:vAlign w:val="center"/>
            <w:hideMark/>
          </w:tcPr>
          <w:p w14:paraId="3E76E126" w14:textId="77777777" w:rsidR="00000000" w:rsidRDefault="000A311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1A83F33" w14:textId="77777777" w:rsidR="00000000" w:rsidRDefault="000A3118">
            <w:pPr>
              <w:rPr>
                <w:rFonts w:eastAsia="Times New Roman"/>
              </w:rPr>
            </w:pPr>
            <w:r>
              <w:rPr>
                <w:rFonts w:eastAsia="Times New Roman"/>
                <w:color w:val="000000"/>
                <w:sz w:val="20"/>
                <w:szCs w:val="20"/>
              </w:rPr>
              <w:t>Michael J. Kasbar</w:t>
            </w:r>
          </w:p>
        </w:tc>
      </w:tr>
      <w:tr w:rsidR="00000000" w14:paraId="3BE80010" w14:textId="77777777">
        <w:trPr>
          <w:divId w:val="47383300"/>
        </w:trPr>
        <w:tc>
          <w:tcPr>
            <w:tcW w:w="0" w:type="auto"/>
            <w:gridSpan w:val="3"/>
            <w:tcMar>
              <w:top w:w="0" w:type="dxa"/>
              <w:left w:w="20" w:type="dxa"/>
              <w:bottom w:w="0" w:type="dxa"/>
              <w:right w:w="20" w:type="dxa"/>
            </w:tcMar>
            <w:vAlign w:val="center"/>
            <w:hideMark/>
          </w:tcPr>
          <w:p w14:paraId="760A4933" w14:textId="77777777" w:rsidR="00000000" w:rsidRDefault="000A3118">
            <w:pPr>
              <w:rPr>
                <w:rFonts w:eastAsia="Times New Roman"/>
              </w:rPr>
            </w:pPr>
          </w:p>
        </w:tc>
        <w:tc>
          <w:tcPr>
            <w:tcW w:w="0" w:type="auto"/>
            <w:gridSpan w:val="3"/>
            <w:tcMar>
              <w:top w:w="30" w:type="dxa"/>
              <w:left w:w="20" w:type="dxa"/>
              <w:bottom w:w="30" w:type="dxa"/>
              <w:right w:w="20" w:type="dxa"/>
            </w:tcMar>
            <w:hideMark/>
          </w:tcPr>
          <w:p w14:paraId="03A71547" w14:textId="77777777" w:rsidR="00000000" w:rsidRDefault="000A3118">
            <w:pPr>
              <w:rPr>
                <w:rFonts w:eastAsia="Times New Roman"/>
              </w:rPr>
            </w:pPr>
            <w:r>
              <w:rPr>
                <w:rFonts w:eastAsia="Times New Roman"/>
                <w:color w:val="000000"/>
                <w:sz w:val="20"/>
                <w:szCs w:val="20"/>
              </w:rPr>
              <w:t>Chairman, President and Chief Executive Officer</w:t>
            </w:r>
          </w:p>
        </w:tc>
      </w:tr>
      <w:tr w:rsidR="00000000" w14:paraId="6F8A9208" w14:textId="77777777">
        <w:trPr>
          <w:divId w:val="47383300"/>
          <w:trHeight w:val="280"/>
        </w:trPr>
        <w:tc>
          <w:tcPr>
            <w:tcW w:w="0" w:type="auto"/>
            <w:gridSpan w:val="3"/>
            <w:tcMar>
              <w:top w:w="0" w:type="dxa"/>
              <w:left w:w="20" w:type="dxa"/>
              <w:bottom w:w="0" w:type="dxa"/>
              <w:right w:w="20" w:type="dxa"/>
            </w:tcMar>
            <w:vAlign w:val="center"/>
            <w:hideMark/>
          </w:tcPr>
          <w:p w14:paraId="4E57334A" w14:textId="77777777" w:rsidR="00000000" w:rsidRDefault="000A3118">
            <w:pPr>
              <w:rPr>
                <w:rFonts w:eastAsia="Times New Roman"/>
              </w:rPr>
            </w:pPr>
          </w:p>
        </w:tc>
        <w:tc>
          <w:tcPr>
            <w:tcW w:w="0" w:type="auto"/>
            <w:gridSpan w:val="3"/>
            <w:tcMar>
              <w:top w:w="0" w:type="dxa"/>
              <w:left w:w="20" w:type="dxa"/>
              <w:bottom w:w="0" w:type="dxa"/>
              <w:right w:w="20" w:type="dxa"/>
            </w:tcMar>
            <w:vAlign w:val="center"/>
            <w:hideMark/>
          </w:tcPr>
          <w:p w14:paraId="025770AF" w14:textId="77777777" w:rsidR="00000000" w:rsidRDefault="000A3118">
            <w:pPr>
              <w:rPr>
                <w:rFonts w:eastAsia="Times New Roman"/>
                <w:sz w:val="20"/>
                <w:szCs w:val="20"/>
              </w:rPr>
            </w:pPr>
          </w:p>
        </w:tc>
      </w:tr>
      <w:tr w:rsidR="00000000" w14:paraId="7AEBDF57" w14:textId="77777777">
        <w:trPr>
          <w:divId w:val="47383300"/>
          <w:trHeight w:val="280"/>
        </w:trPr>
        <w:tc>
          <w:tcPr>
            <w:tcW w:w="0" w:type="auto"/>
            <w:gridSpan w:val="3"/>
            <w:tcMar>
              <w:top w:w="0" w:type="dxa"/>
              <w:left w:w="20" w:type="dxa"/>
              <w:bottom w:w="0" w:type="dxa"/>
              <w:right w:w="20" w:type="dxa"/>
            </w:tcMar>
            <w:vAlign w:val="center"/>
            <w:hideMark/>
          </w:tcPr>
          <w:p w14:paraId="32114069" w14:textId="77777777" w:rsidR="00000000" w:rsidRDefault="000A3118">
            <w:pPr>
              <w:rPr>
                <w:rFonts w:eastAsia="Times New Roman"/>
                <w:sz w:val="20"/>
                <w:szCs w:val="20"/>
              </w:rPr>
            </w:pPr>
          </w:p>
        </w:tc>
        <w:tc>
          <w:tcPr>
            <w:tcW w:w="0" w:type="auto"/>
            <w:gridSpan w:val="3"/>
            <w:tcMar>
              <w:top w:w="0" w:type="dxa"/>
              <w:left w:w="20" w:type="dxa"/>
              <w:bottom w:w="0" w:type="dxa"/>
              <w:right w:w="20" w:type="dxa"/>
            </w:tcMar>
            <w:vAlign w:val="center"/>
            <w:hideMark/>
          </w:tcPr>
          <w:p w14:paraId="5AE0BE28" w14:textId="77777777" w:rsidR="00000000" w:rsidRDefault="000A3118">
            <w:pPr>
              <w:rPr>
                <w:rFonts w:eastAsia="Times New Roman"/>
                <w:sz w:val="20"/>
                <w:szCs w:val="20"/>
              </w:rPr>
            </w:pPr>
          </w:p>
        </w:tc>
      </w:tr>
      <w:tr w:rsidR="00000000" w14:paraId="69B2BDF6" w14:textId="77777777">
        <w:trPr>
          <w:divId w:val="47383300"/>
        </w:trPr>
        <w:tc>
          <w:tcPr>
            <w:tcW w:w="0" w:type="auto"/>
            <w:gridSpan w:val="3"/>
            <w:tcMar>
              <w:top w:w="0" w:type="dxa"/>
              <w:left w:w="20" w:type="dxa"/>
              <w:bottom w:w="0" w:type="dxa"/>
              <w:right w:w="20" w:type="dxa"/>
            </w:tcMar>
            <w:vAlign w:val="center"/>
            <w:hideMark/>
          </w:tcPr>
          <w:p w14:paraId="45E41281" w14:textId="77777777" w:rsidR="00000000" w:rsidRDefault="000A3118">
            <w:pPr>
              <w:rPr>
                <w:rFonts w:eastAsia="Times New Roman"/>
                <w:sz w:val="20"/>
                <w:szCs w:val="20"/>
              </w:rPr>
            </w:pPr>
          </w:p>
        </w:tc>
        <w:tc>
          <w:tcPr>
            <w:tcW w:w="0" w:type="auto"/>
            <w:gridSpan w:val="3"/>
            <w:tcMar>
              <w:top w:w="30" w:type="dxa"/>
              <w:left w:w="20" w:type="dxa"/>
              <w:bottom w:w="30" w:type="dxa"/>
              <w:right w:w="20" w:type="dxa"/>
            </w:tcMar>
            <w:hideMark/>
          </w:tcPr>
          <w:p w14:paraId="59A6A91E" w14:textId="77777777" w:rsidR="00000000" w:rsidRDefault="000A3118">
            <w:pPr>
              <w:rPr>
                <w:rFonts w:eastAsia="Times New Roman"/>
              </w:rPr>
            </w:pPr>
            <w:r>
              <w:rPr>
                <w:rFonts w:eastAsia="Times New Roman"/>
                <w:color w:val="000000"/>
                <w:sz w:val="20"/>
                <w:szCs w:val="20"/>
              </w:rPr>
              <w:t>/s/ Ira M. Birns</w:t>
            </w:r>
          </w:p>
        </w:tc>
      </w:tr>
      <w:tr w:rsidR="00000000" w14:paraId="539288E6" w14:textId="77777777">
        <w:trPr>
          <w:divId w:val="47383300"/>
        </w:trPr>
        <w:tc>
          <w:tcPr>
            <w:tcW w:w="0" w:type="auto"/>
            <w:gridSpan w:val="3"/>
            <w:tcMar>
              <w:top w:w="0" w:type="dxa"/>
              <w:left w:w="20" w:type="dxa"/>
              <w:bottom w:w="0" w:type="dxa"/>
              <w:right w:w="20" w:type="dxa"/>
            </w:tcMar>
            <w:vAlign w:val="center"/>
            <w:hideMark/>
          </w:tcPr>
          <w:p w14:paraId="092E6CF3" w14:textId="77777777" w:rsidR="00000000" w:rsidRDefault="000A311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5164CF0" w14:textId="77777777" w:rsidR="00000000" w:rsidRDefault="000A3118">
            <w:pPr>
              <w:rPr>
                <w:rFonts w:eastAsia="Times New Roman"/>
              </w:rPr>
            </w:pPr>
            <w:r>
              <w:rPr>
                <w:rFonts w:eastAsia="Times New Roman"/>
                <w:color w:val="000000"/>
                <w:sz w:val="20"/>
                <w:szCs w:val="20"/>
              </w:rPr>
              <w:t>Ira M. Birns</w:t>
            </w:r>
          </w:p>
        </w:tc>
      </w:tr>
      <w:tr w:rsidR="00000000" w14:paraId="58E0602A" w14:textId="77777777">
        <w:trPr>
          <w:divId w:val="47383300"/>
        </w:trPr>
        <w:tc>
          <w:tcPr>
            <w:tcW w:w="0" w:type="auto"/>
            <w:gridSpan w:val="3"/>
            <w:tcMar>
              <w:top w:w="0" w:type="dxa"/>
              <w:left w:w="20" w:type="dxa"/>
              <w:bottom w:w="0" w:type="dxa"/>
              <w:right w:w="20" w:type="dxa"/>
            </w:tcMar>
            <w:vAlign w:val="center"/>
            <w:hideMark/>
          </w:tcPr>
          <w:p w14:paraId="379AC71B" w14:textId="77777777" w:rsidR="00000000" w:rsidRDefault="000A3118">
            <w:pPr>
              <w:rPr>
                <w:rFonts w:eastAsia="Times New Roman"/>
              </w:rPr>
            </w:pPr>
          </w:p>
        </w:tc>
        <w:tc>
          <w:tcPr>
            <w:tcW w:w="0" w:type="auto"/>
            <w:gridSpan w:val="3"/>
            <w:tcMar>
              <w:top w:w="30" w:type="dxa"/>
              <w:left w:w="20" w:type="dxa"/>
              <w:bottom w:w="30" w:type="dxa"/>
              <w:right w:w="20" w:type="dxa"/>
            </w:tcMar>
            <w:hideMark/>
          </w:tcPr>
          <w:p w14:paraId="47D531B2" w14:textId="77777777" w:rsidR="00000000" w:rsidRDefault="000A3118">
            <w:pPr>
              <w:rPr>
                <w:rFonts w:eastAsia="Times New Roman"/>
              </w:rPr>
            </w:pPr>
            <w:r>
              <w:rPr>
                <w:rFonts w:eastAsia="Times New Roman"/>
                <w:color w:val="000000"/>
                <w:sz w:val="20"/>
                <w:szCs w:val="20"/>
              </w:rPr>
              <w:t>Executive Vice President and Chief Financial Officer</w:t>
            </w:r>
          </w:p>
        </w:tc>
      </w:tr>
    </w:tbl>
    <w:p w14:paraId="32D617AE" w14:textId="77777777" w:rsidR="000A3118" w:rsidRDefault="000A3118">
      <w:pPr>
        <w:jc w:val="center"/>
        <w:divId w:val="1027489196"/>
        <w:rPr>
          <w:rFonts w:eastAsia="Times New Roman"/>
        </w:rPr>
      </w:pPr>
      <w:r>
        <w:rPr>
          <w:rFonts w:eastAsia="Times New Roman"/>
          <w:color w:val="000000"/>
          <w:sz w:val="20"/>
          <w:szCs w:val="20"/>
        </w:rPr>
        <w:t>45</w:t>
      </w:r>
    </w:p>
    <w:sectPr w:rsidR="000A311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3118"/>
    <w:rsid w:val="000A3118"/>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wfscorp.com/20200930"/>
  <w:attachedSchema w:val="http://xbrl.sec.gov/dei/2019-01-31"/>
  <w:attachedSchema w:val="http://www.xbrl.org/2003/iso4217"/>
  <w:attachedSchema w:val="http://www.sec.gov/inlineXBRL/transformation/2015-08-31"/>
  <w:attachedSchema w:val="http://www.w3.org/1999/xlink"/>
  <w:attachedSchema w:val="http://www.xbrl.org/2009/utr"/>
  <w:attachedSchema w:val="http://xbrl.sec.gov/currency/2020-01-31"/>
  <w:attachedSchema w:val="http://www.xbrl.org/2003/instance"/>
  <w:attachedSchema w:val="http://xbrl.org/2006/xbrldi"/>
  <w:attachedSchema w:val="http://www.xbrl.org/inlineXBRL/transformation/2015-02-26"/>
  <w:attachedSchema w:val="http://fasb.org/srt/2020-01-31"/>
  <w:attachedSchema w:val="http://fasb.org/us-gaap/2020-01-31"/>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94DAE"/>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706">
      <w:marLeft w:val="0"/>
      <w:marRight w:val="0"/>
      <w:marTop w:val="0"/>
      <w:marBottom w:val="120"/>
      <w:divBdr>
        <w:top w:val="none" w:sz="0" w:space="0" w:color="auto"/>
        <w:left w:val="none" w:sz="0" w:space="0" w:color="auto"/>
        <w:bottom w:val="none" w:sz="0" w:space="0" w:color="auto"/>
        <w:right w:val="none" w:sz="0" w:space="0" w:color="auto"/>
      </w:divBdr>
    </w:div>
    <w:div w:id="41098446">
      <w:marLeft w:val="0"/>
      <w:marRight w:val="0"/>
      <w:marTop w:val="0"/>
      <w:marBottom w:val="0"/>
      <w:divBdr>
        <w:top w:val="none" w:sz="0" w:space="0" w:color="auto"/>
        <w:left w:val="none" w:sz="0" w:space="0" w:color="auto"/>
        <w:bottom w:val="none" w:sz="0" w:space="0" w:color="auto"/>
        <w:right w:val="none" w:sz="0" w:space="0" w:color="auto"/>
      </w:divBdr>
      <w:divsChild>
        <w:div w:id="1210193658">
          <w:marLeft w:val="0"/>
          <w:marRight w:val="0"/>
          <w:marTop w:val="0"/>
          <w:marBottom w:val="0"/>
          <w:divBdr>
            <w:top w:val="none" w:sz="0" w:space="0" w:color="auto"/>
            <w:left w:val="none" w:sz="0" w:space="0" w:color="auto"/>
            <w:bottom w:val="none" w:sz="0" w:space="0" w:color="auto"/>
            <w:right w:val="none" w:sz="0" w:space="0" w:color="auto"/>
          </w:divBdr>
        </w:div>
      </w:divsChild>
    </w:div>
    <w:div w:id="46342428">
      <w:marLeft w:val="0"/>
      <w:marRight w:val="0"/>
      <w:marTop w:val="0"/>
      <w:marBottom w:val="120"/>
      <w:divBdr>
        <w:top w:val="none" w:sz="0" w:space="0" w:color="auto"/>
        <w:left w:val="none" w:sz="0" w:space="0" w:color="auto"/>
        <w:bottom w:val="none" w:sz="0" w:space="0" w:color="auto"/>
        <w:right w:val="none" w:sz="0" w:space="0" w:color="auto"/>
      </w:divBdr>
    </w:div>
    <w:div w:id="47383300">
      <w:marLeft w:val="0"/>
      <w:marRight w:val="0"/>
      <w:marTop w:val="0"/>
      <w:marBottom w:val="120"/>
      <w:divBdr>
        <w:top w:val="none" w:sz="0" w:space="0" w:color="auto"/>
        <w:left w:val="none" w:sz="0" w:space="0" w:color="auto"/>
        <w:bottom w:val="none" w:sz="0" w:space="0" w:color="auto"/>
        <w:right w:val="none" w:sz="0" w:space="0" w:color="auto"/>
      </w:divBdr>
    </w:div>
    <w:div w:id="57287112">
      <w:marLeft w:val="0"/>
      <w:marRight w:val="0"/>
      <w:marTop w:val="0"/>
      <w:marBottom w:val="0"/>
      <w:divBdr>
        <w:top w:val="none" w:sz="0" w:space="0" w:color="auto"/>
        <w:left w:val="none" w:sz="0" w:space="0" w:color="auto"/>
        <w:bottom w:val="none" w:sz="0" w:space="0" w:color="auto"/>
        <w:right w:val="none" w:sz="0" w:space="0" w:color="auto"/>
      </w:divBdr>
      <w:divsChild>
        <w:div w:id="926500685">
          <w:marLeft w:val="0"/>
          <w:marRight w:val="0"/>
          <w:marTop w:val="0"/>
          <w:marBottom w:val="0"/>
          <w:divBdr>
            <w:top w:val="none" w:sz="0" w:space="0" w:color="auto"/>
            <w:left w:val="none" w:sz="0" w:space="0" w:color="auto"/>
            <w:bottom w:val="none" w:sz="0" w:space="0" w:color="auto"/>
            <w:right w:val="none" w:sz="0" w:space="0" w:color="auto"/>
          </w:divBdr>
        </w:div>
      </w:divsChild>
    </w:div>
    <w:div w:id="62143473">
      <w:marLeft w:val="0"/>
      <w:marRight w:val="0"/>
      <w:marTop w:val="0"/>
      <w:marBottom w:val="60"/>
      <w:divBdr>
        <w:top w:val="none" w:sz="0" w:space="0" w:color="auto"/>
        <w:left w:val="none" w:sz="0" w:space="0" w:color="auto"/>
        <w:bottom w:val="none" w:sz="0" w:space="0" w:color="auto"/>
        <w:right w:val="none" w:sz="0" w:space="0" w:color="auto"/>
      </w:divBdr>
    </w:div>
    <w:div w:id="66462902">
      <w:marLeft w:val="0"/>
      <w:marRight w:val="0"/>
      <w:marTop w:val="300"/>
      <w:marBottom w:val="0"/>
      <w:divBdr>
        <w:top w:val="none" w:sz="0" w:space="0" w:color="auto"/>
        <w:left w:val="none" w:sz="0" w:space="0" w:color="auto"/>
        <w:bottom w:val="none" w:sz="0" w:space="0" w:color="auto"/>
        <w:right w:val="none" w:sz="0" w:space="0" w:color="auto"/>
      </w:divBdr>
    </w:div>
    <w:div w:id="67272611">
      <w:marLeft w:val="0"/>
      <w:marRight w:val="0"/>
      <w:marTop w:val="0"/>
      <w:marBottom w:val="0"/>
      <w:divBdr>
        <w:top w:val="none" w:sz="0" w:space="0" w:color="auto"/>
        <w:left w:val="none" w:sz="0" w:space="0" w:color="auto"/>
        <w:bottom w:val="none" w:sz="0" w:space="0" w:color="auto"/>
        <w:right w:val="none" w:sz="0" w:space="0" w:color="auto"/>
      </w:divBdr>
    </w:div>
    <w:div w:id="70542781">
      <w:marLeft w:val="0"/>
      <w:marRight w:val="0"/>
      <w:marTop w:val="0"/>
      <w:marBottom w:val="0"/>
      <w:divBdr>
        <w:top w:val="none" w:sz="0" w:space="0" w:color="auto"/>
        <w:left w:val="none" w:sz="0" w:space="0" w:color="auto"/>
        <w:bottom w:val="none" w:sz="0" w:space="0" w:color="auto"/>
        <w:right w:val="none" w:sz="0" w:space="0" w:color="auto"/>
      </w:divBdr>
      <w:divsChild>
        <w:div w:id="552622657">
          <w:marLeft w:val="0"/>
          <w:marRight w:val="0"/>
          <w:marTop w:val="0"/>
          <w:marBottom w:val="0"/>
          <w:divBdr>
            <w:top w:val="none" w:sz="0" w:space="0" w:color="auto"/>
            <w:left w:val="none" w:sz="0" w:space="0" w:color="auto"/>
            <w:bottom w:val="none" w:sz="0" w:space="0" w:color="auto"/>
            <w:right w:val="none" w:sz="0" w:space="0" w:color="auto"/>
          </w:divBdr>
        </w:div>
      </w:divsChild>
    </w:div>
    <w:div w:id="87310543">
      <w:marLeft w:val="0"/>
      <w:marRight w:val="0"/>
      <w:marTop w:val="0"/>
      <w:marBottom w:val="0"/>
      <w:divBdr>
        <w:top w:val="none" w:sz="0" w:space="0" w:color="auto"/>
        <w:left w:val="none" w:sz="0" w:space="0" w:color="auto"/>
        <w:bottom w:val="none" w:sz="0" w:space="0" w:color="auto"/>
        <w:right w:val="none" w:sz="0" w:space="0" w:color="auto"/>
      </w:divBdr>
    </w:div>
    <w:div w:id="91320033">
      <w:marLeft w:val="0"/>
      <w:marRight w:val="0"/>
      <w:marTop w:val="0"/>
      <w:marBottom w:val="0"/>
      <w:divBdr>
        <w:top w:val="none" w:sz="0" w:space="0" w:color="auto"/>
        <w:left w:val="none" w:sz="0" w:space="0" w:color="auto"/>
        <w:bottom w:val="none" w:sz="0" w:space="0" w:color="auto"/>
        <w:right w:val="none" w:sz="0" w:space="0" w:color="auto"/>
      </w:divBdr>
      <w:divsChild>
        <w:div w:id="935018644">
          <w:marLeft w:val="0"/>
          <w:marRight w:val="0"/>
          <w:marTop w:val="0"/>
          <w:marBottom w:val="0"/>
          <w:divBdr>
            <w:top w:val="none" w:sz="0" w:space="0" w:color="auto"/>
            <w:left w:val="none" w:sz="0" w:space="0" w:color="auto"/>
            <w:bottom w:val="none" w:sz="0" w:space="0" w:color="auto"/>
            <w:right w:val="none" w:sz="0" w:space="0" w:color="auto"/>
          </w:divBdr>
        </w:div>
      </w:divsChild>
    </w:div>
    <w:div w:id="100802132">
      <w:marLeft w:val="0"/>
      <w:marRight w:val="0"/>
      <w:marTop w:val="0"/>
      <w:marBottom w:val="60"/>
      <w:divBdr>
        <w:top w:val="none" w:sz="0" w:space="0" w:color="auto"/>
        <w:left w:val="none" w:sz="0" w:space="0" w:color="auto"/>
        <w:bottom w:val="none" w:sz="0" w:space="0" w:color="auto"/>
        <w:right w:val="none" w:sz="0" w:space="0" w:color="auto"/>
      </w:divBdr>
    </w:div>
    <w:div w:id="101845659">
      <w:marLeft w:val="0"/>
      <w:marRight w:val="0"/>
      <w:marTop w:val="0"/>
      <w:marBottom w:val="0"/>
      <w:divBdr>
        <w:top w:val="none" w:sz="0" w:space="0" w:color="auto"/>
        <w:left w:val="none" w:sz="0" w:space="0" w:color="auto"/>
        <w:bottom w:val="none" w:sz="0" w:space="0" w:color="auto"/>
        <w:right w:val="none" w:sz="0" w:space="0" w:color="auto"/>
      </w:divBdr>
    </w:div>
    <w:div w:id="108398766">
      <w:marLeft w:val="0"/>
      <w:marRight w:val="0"/>
      <w:marTop w:val="0"/>
      <w:marBottom w:val="120"/>
      <w:divBdr>
        <w:top w:val="none" w:sz="0" w:space="0" w:color="auto"/>
        <w:left w:val="none" w:sz="0" w:space="0" w:color="auto"/>
        <w:bottom w:val="none" w:sz="0" w:space="0" w:color="auto"/>
        <w:right w:val="none" w:sz="0" w:space="0" w:color="auto"/>
      </w:divBdr>
    </w:div>
    <w:div w:id="120613318">
      <w:marLeft w:val="0"/>
      <w:marRight w:val="0"/>
      <w:marTop w:val="0"/>
      <w:marBottom w:val="0"/>
      <w:divBdr>
        <w:top w:val="none" w:sz="0" w:space="0" w:color="auto"/>
        <w:left w:val="none" w:sz="0" w:space="0" w:color="auto"/>
        <w:bottom w:val="none" w:sz="0" w:space="0" w:color="auto"/>
        <w:right w:val="none" w:sz="0" w:space="0" w:color="auto"/>
      </w:divBdr>
    </w:div>
    <w:div w:id="123930348">
      <w:marLeft w:val="0"/>
      <w:marRight w:val="0"/>
      <w:marTop w:val="0"/>
      <w:marBottom w:val="0"/>
      <w:divBdr>
        <w:top w:val="none" w:sz="0" w:space="0" w:color="auto"/>
        <w:left w:val="none" w:sz="0" w:space="0" w:color="auto"/>
        <w:bottom w:val="none" w:sz="0" w:space="0" w:color="auto"/>
        <w:right w:val="none" w:sz="0" w:space="0" w:color="auto"/>
      </w:divBdr>
    </w:div>
    <w:div w:id="127480521">
      <w:marLeft w:val="0"/>
      <w:marRight w:val="0"/>
      <w:marTop w:val="0"/>
      <w:marBottom w:val="0"/>
      <w:divBdr>
        <w:top w:val="none" w:sz="0" w:space="0" w:color="auto"/>
        <w:left w:val="none" w:sz="0" w:space="0" w:color="auto"/>
        <w:bottom w:val="none" w:sz="0" w:space="0" w:color="auto"/>
        <w:right w:val="none" w:sz="0" w:space="0" w:color="auto"/>
      </w:divBdr>
      <w:divsChild>
        <w:div w:id="97988982">
          <w:marLeft w:val="0"/>
          <w:marRight w:val="0"/>
          <w:marTop w:val="0"/>
          <w:marBottom w:val="0"/>
          <w:divBdr>
            <w:top w:val="none" w:sz="0" w:space="0" w:color="auto"/>
            <w:left w:val="none" w:sz="0" w:space="0" w:color="auto"/>
            <w:bottom w:val="none" w:sz="0" w:space="0" w:color="auto"/>
            <w:right w:val="none" w:sz="0" w:space="0" w:color="auto"/>
          </w:divBdr>
        </w:div>
      </w:divsChild>
    </w:div>
    <w:div w:id="127744024">
      <w:marLeft w:val="0"/>
      <w:marRight w:val="0"/>
      <w:marTop w:val="0"/>
      <w:marBottom w:val="0"/>
      <w:divBdr>
        <w:top w:val="none" w:sz="0" w:space="0" w:color="auto"/>
        <w:left w:val="none" w:sz="0" w:space="0" w:color="auto"/>
        <w:bottom w:val="none" w:sz="0" w:space="0" w:color="auto"/>
        <w:right w:val="none" w:sz="0" w:space="0" w:color="auto"/>
      </w:divBdr>
      <w:divsChild>
        <w:div w:id="505559298">
          <w:marLeft w:val="0"/>
          <w:marRight w:val="0"/>
          <w:marTop w:val="0"/>
          <w:marBottom w:val="0"/>
          <w:divBdr>
            <w:top w:val="none" w:sz="0" w:space="0" w:color="auto"/>
            <w:left w:val="none" w:sz="0" w:space="0" w:color="auto"/>
            <w:bottom w:val="none" w:sz="0" w:space="0" w:color="auto"/>
            <w:right w:val="none" w:sz="0" w:space="0" w:color="auto"/>
          </w:divBdr>
        </w:div>
      </w:divsChild>
    </w:div>
    <w:div w:id="129329150">
      <w:marLeft w:val="0"/>
      <w:marRight w:val="0"/>
      <w:marTop w:val="0"/>
      <w:marBottom w:val="120"/>
      <w:divBdr>
        <w:top w:val="none" w:sz="0" w:space="0" w:color="auto"/>
        <w:left w:val="none" w:sz="0" w:space="0" w:color="auto"/>
        <w:bottom w:val="none" w:sz="0" w:space="0" w:color="auto"/>
        <w:right w:val="none" w:sz="0" w:space="0" w:color="auto"/>
      </w:divBdr>
    </w:div>
    <w:div w:id="134766228">
      <w:marLeft w:val="0"/>
      <w:marRight w:val="0"/>
      <w:marTop w:val="0"/>
      <w:marBottom w:val="120"/>
      <w:divBdr>
        <w:top w:val="none" w:sz="0" w:space="0" w:color="auto"/>
        <w:left w:val="none" w:sz="0" w:space="0" w:color="auto"/>
        <w:bottom w:val="none" w:sz="0" w:space="0" w:color="auto"/>
        <w:right w:val="none" w:sz="0" w:space="0" w:color="auto"/>
      </w:divBdr>
    </w:div>
    <w:div w:id="153029983">
      <w:marLeft w:val="0"/>
      <w:marRight w:val="0"/>
      <w:marTop w:val="0"/>
      <w:marBottom w:val="0"/>
      <w:divBdr>
        <w:top w:val="none" w:sz="0" w:space="0" w:color="auto"/>
        <w:left w:val="none" w:sz="0" w:space="0" w:color="auto"/>
        <w:bottom w:val="none" w:sz="0" w:space="0" w:color="auto"/>
        <w:right w:val="none" w:sz="0" w:space="0" w:color="auto"/>
      </w:divBdr>
    </w:div>
    <w:div w:id="156194117">
      <w:marLeft w:val="0"/>
      <w:marRight w:val="0"/>
      <w:marTop w:val="0"/>
      <w:marBottom w:val="120"/>
      <w:divBdr>
        <w:top w:val="none" w:sz="0" w:space="0" w:color="auto"/>
        <w:left w:val="none" w:sz="0" w:space="0" w:color="auto"/>
        <w:bottom w:val="none" w:sz="0" w:space="0" w:color="auto"/>
        <w:right w:val="none" w:sz="0" w:space="0" w:color="auto"/>
      </w:divBdr>
    </w:div>
    <w:div w:id="156699361">
      <w:marLeft w:val="0"/>
      <w:marRight w:val="0"/>
      <w:marTop w:val="0"/>
      <w:marBottom w:val="0"/>
      <w:divBdr>
        <w:top w:val="none" w:sz="0" w:space="0" w:color="auto"/>
        <w:left w:val="none" w:sz="0" w:space="0" w:color="auto"/>
        <w:bottom w:val="none" w:sz="0" w:space="0" w:color="auto"/>
        <w:right w:val="none" w:sz="0" w:space="0" w:color="auto"/>
      </w:divBdr>
    </w:div>
    <w:div w:id="156726764">
      <w:marLeft w:val="0"/>
      <w:marRight w:val="0"/>
      <w:marTop w:val="0"/>
      <w:marBottom w:val="120"/>
      <w:divBdr>
        <w:top w:val="none" w:sz="0" w:space="0" w:color="auto"/>
        <w:left w:val="none" w:sz="0" w:space="0" w:color="auto"/>
        <w:bottom w:val="none" w:sz="0" w:space="0" w:color="auto"/>
        <w:right w:val="none" w:sz="0" w:space="0" w:color="auto"/>
      </w:divBdr>
    </w:div>
    <w:div w:id="165175327">
      <w:marLeft w:val="0"/>
      <w:marRight w:val="0"/>
      <w:marTop w:val="0"/>
      <w:marBottom w:val="60"/>
      <w:divBdr>
        <w:top w:val="none" w:sz="0" w:space="0" w:color="auto"/>
        <w:left w:val="none" w:sz="0" w:space="0" w:color="auto"/>
        <w:bottom w:val="none" w:sz="0" w:space="0" w:color="auto"/>
        <w:right w:val="none" w:sz="0" w:space="0" w:color="auto"/>
      </w:divBdr>
    </w:div>
    <w:div w:id="174537193">
      <w:marLeft w:val="0"/>
      <w:marRight w:val="0"/>
      <w:marTop w:val="0"/>
      <w:marBottom w:val="120"/>
      <w:divBdr>
        <w:top w:val="none" w:sz="0" w:space="0" w:color="auto"/>
        <w:left w:val="none" w:sz="0" w:space="0" w:color="auto"/>
        <w:bottom w:val="none" w:sz="0" w:space="0" w:color="auto"/>
        <w:right w:val="none" w:sz="0" w:space="0" w:color="auto"/>
      </w:divBdr>
    </w:div>
    <w:div w:id="179658952">
      <w:marLeft w:val="0"/>
      <w:marRight w:val="0"/>
      <w:marTop w:val="0"/>
      <w:marBottom w:val="0"/>
      <w:divBdr>
        <w:top w:val="none" w:sz="0" w:space="0" w:color="auto"/>
        <w:left w:val="none" w:sz="0" w:space="0" w:color="auto"/>
        <w:bottom w:val="none" w:sz="0" w:space="0" w:color="auto"/>
        <w:right w:val="none" w:sz="0" w:space="0" w:color="auto"/>
      </w:divBdr>
      <w:divsChild>
        <w:div w:id="1721247206">
          <w:marLeft w:val="0"/>
          <w:marRight w:val="0"/>
          <w:marTop w:val="0"/>
          <w:marBottom w:val="0"/>
          <w:divBdr>
            <w:top w:val="none" w:sz="0" w:space="0" w:color="auto"/>
            <w:left w:val="none" w:sz="0" w:space="0" w:color="auto"/>
            <w:bottom w:val="none" w:sz="0" w:space="0" w:color="auto"/>
            <w:right w:val="none" w:sz="0" w:space="0" w:color="auto"/>
          </w:divBdr>
        </w:div>
      </w:divsChild>
    </w:div>
    <w:div w:id="181826115">
      <w:marLeft w:val="0"/>
      <w:marRight w:val="0"/>
      <w:marTop w:val="0"/>
      <w:marBottom w:val="60"/>
      <w:divBdr>
        <w:top w:val="none" w:sz="0" w:space="0" w:color="auto"/>
        <w:left w:val="none" w:sz="0" w:space="0" w:color="auto"/>
        <w:bottom w:val="none" w:sz="0" w:space="0" w:color="auto"/>
        <w:right w:val="none" w:sz="0" w:space="0" w:color="auto"/>
      </w:divBdr>
    </w:div>
    <w:div w:id="182280753">
      <w:marLeft w:val="0"/>
      <w:marRight w:val="0"/>
      <w:marTop w:val="260"/>
      <w:marBottom w:val="0"/>
      <w:divBdr>
        <w:top w:val="none" w:sz="0" w:space="0" w:color="auto"/>
        <w:left w:val="none" w:sz="0" w:space="0" w:color="auto"/>
        <w:bottom w:val="none" w:sz="0" w:space="0" w:color="auto"/>
        <w:right w:val="none" w:sz="0" w:space="0" w:color="auto"/>
      </w:divBdr>
    </w:div>
    <w:div w:id="184029008">
      <w:marLeft w:val="0"/>
      <w:marRight w:val="0"/>
      <w:marTop w:val="0"/>
      <w:marBottom w:val="120"/>
      <w:divBdr>
        <w:top w:val="none" w:sz="0" w:space="0" w:color="auto"/>
        <w:left w:val="none" w:sz="0" w:space="0" w:color="auto"/>
        <w:bottom w:val="none" w:sz="0" w:space="0" w:color="auto"/>
        <w:right w:val="none" w:sz="0" w:space="0" w:color="auto"/>
      </w:divBdr>
    </w:div>
    <w:div w:id="193230016">
      <w:marLeft w:val="0"/>
      <w:marRight w:val="0"/>
      <w:marTop w:val="0"/>
      <w:marBottom w:val="0"/>
      <w:divBdr>
        <w:top w:val="none" w:sz="0" w:space="0" w:color="auto"/>
        <w:left w:val="none" w:sz="0" w:space="0" w:color="auto"/>
        <w:bottom w:val="none" w:sz="0" w:space="0" w:color="auto"/>
        <w:right w:val="none" w:sz="0" w:space="0" w:color="auto"/>
      </w:divBdr>
      <w:divsChild>
        <w:div w:id="1382099871">
          <w:marLeft w:val="0"/>
          <w:marRight w:val="0"/>
          <w:marTop w:val="0"/>
          <w:marBottom w:val="0"/>
          <w:divBdr>
            <w:top w:val="none" w:sz="0" w:space="0" w:color="auto"/>
            <w:left w:val="none" w:sz="0" w:space="0" w:color="auto"/>
            <w:bottom w:val="none" w:sz="0" w:space="0" w:color="auto"/>
            <w:right w:val="none" w:sz="0" w:space="0" w:color="auto"/>
          </w:divBdr>
        </w:div>
      </w:divsChild>
    </w:div>
    <w:div w:id="202836404">
      <w:marLeft w:val="0"/>
      <w:marRight w:val="0"/>
      <w:marTop w:val="0"/>
      <w:marBottom w:val="60"/>
      <w:divBdr>
        <w:top w:val="none" w:sz="0" w:space="0" w:color="auto"/>
        <w:left w:val="none" w:sz="0" w:space="0" w:color="auto"/>
        <w:bottom w:val="none" w:sz="0" w:space="0" w:color="auto"/>
        <w:right w:val="none" w:sz="0" w:space="0" w:color="auto"/>
      </w:divBdr>
    </w:div>
    <w:div w:id="206259666">
      <w:marLeft w:val="0"/>
      <w:marRight w:val="0"/>
      <w:marTop w:val="0"/>
      <w:marBottom w:val="0"/>
      <w:divBdr>
        <w:top w:val="none" w:sz="0" w:space="0" w:color="auto"/>
        <w:left w:val="none" w:sz="0" w:space="0" w:color="auto"/>
        <w:bottom w:val="none" w:sz="0" w:space="0" w:color="auto"/>
        <w:right w:val="none" w:sz="0" w:space="0" w:color="auto"/>
      </w:divBdr>
    </w:div>
    <w:div w:id="211232319">
      <w:marLeft w:val="0"/>
      <w:marRight w:val="0"/>
      <w:marTop w:val="0"/>
      <w:marBottom w:val="120"/>
      <w:divBdr>
        <w:top w:val="none" w:sz="0" w:space="0" w:color="auto"/>
        <w:left w:val="none" w:sz="0" w:space="0" w:color="auto"/>
        <w:bottom w:val="none" w:sz="0" w:space="0" w:color="auto"/>
        <w:right w:val="none" w:sz="0" w:space="0" w:color="auto"/>
      </w:divBdr>
      <w:divsChild>
        <w:div w:id="1232036549">
          <w:marLeft w:val="0"/>
          <w:marRight w:val="0"/>
          <w:marTop w:val="0"/>
          <w:marBottom w:val="0"/>
          <w:divBdr>
            <w:top w:val="none" w:sz="0" w:space="0" w:color="auto"/>
            <w:left w:val="none" w:sz="0" w:space="0" w:color="auto"/>
            <w:bottom w:val="none" w:sz="0" w:space="0" w:color="auto"/>
            <w:right w:val="none" w:sz="0" w:space="0" w:color="auto"/>
          </w:divBdr>
        </w:div>
        <w:div w:id="957375987">
          <w:marLeft w:val="0"/>
          <w:marRight w:val="0"/>
          <w:marTop w:val="0"/>
          <w:marBottom w:val="0"/>
          <w:divBdr>
            <w:top w:val="none" w:sz="0" w:space="0" w:color="auto"/>
            <w:left w:val="none" w:sz="0" w:space="0" w:color="auto"/>
            <w:bottom w:val="none" w:sz="0" w:space="0" w:color="auto"/>
            <w:right w:val="none" w:sz="0" w:space="0" w:color="auto"/>
          </w:divBdr>
        </w:div>
        <w:div w:id="1085538385">
          <w:marLeft w:val="0"/>
          <w:marRight w:val="0"/>
          <w:marTop w:val="0"/>
          <w:marBottom w:val="0"/>
          <w:divBdr>
            <w:top w:val="none" w:sz="0" w:space="0" w:color="auto"/>
            <w:left w:val="none" w:sz="0" w:space="0" w:color="auto"/>
            <w:bottom w:val="none" w:sz="0" w:space="0" w:color="auto"/>
            <w:right w:val="none" w:sz="0" w:space="0" w:color="auto"/>
          </w:divBdr>
        </w:div>
        <w:div w:id="417752183">
          <w:marLeft w:val="0"/>
          <w:marRight w:val="0"/>
          <w:marTop w:val="0"/>
          <w:marBottom w:val="0"/>
          <w:divBdr>
            <w:top w:val="none" w:sz="0" w:space="0" w:color="auto"/>
            <w:left w:val="none" w:sz="0" w:space="0" w:color="auto"/>
            <w:bottom w:val="none" w:sz="0" w:space="0" w:color="auto"/>
            <w:right w:val="none" w:sz="0" w:space="0" w:color="auto"/>
          </w:divBdr>
        </w:div>
        <w:div w:id="1080759300">
          <w:marLeft w:val="0"/>
          <w:marRight w:val="0"/>
          <w:marTop w:val="0"/>
          <w:marBottom w:val="0"/>
          <w:divBdr>
            <w:top w:val="none" w:sz="0" w:space="0" w:color="auto"/>
            <w:left w:val="none" w:sz="0" w:space="0" w:color="auto"/>
            <w:bottom w:val="none" w:sz="0" w:space="0" w:color="auto"/>
            <w:right w:val="none" w:sz="0" w:space="0" w:color="auto"/>
          </w:divBdr>
        </w:div>
        <w:div w:id="1934629198">
          <w:marLeft w:val="0"/>
          <w:marRight w:val="0"/>
          <w:marTop w:val="0"/>
          <w:marBottom w:val="0"/>
          <w:divBdr>
            <w:top w:val="none" w:sz="0" w:space="0" w:color="auto"/>
            <w:left w:val="none" w:sz="0" w:space="0" w:color="auto"/>
            <w:bottom w:val="none" w:sz="0" w:space="0" w:color="auto"/>
            <w:right w:val="none" w:sz="0" w:space="0" w:color="auto"/>
          </w:divBdr>
        </w:div>
        <w:div w:id="1676611581">
          <w:marLeft w:val="0"/>
          <w:marRight w:val="0"/>
          <w:marTop w:val="0"/>
          <w:marBottom w:val="0"/>
          <w:divBdr>
            <w:top w:val="none" w:sz="0" w:space="0" w:color="auto"/>
            <w:left w:val="none" w:sz="0" w:space="0" w:color="auto"/>
            <w:bottom w:val="none" w:sz="0" w:space="0" w:color="auto"/>
            <w:right w:val="none" w:sz="0" w:space="0" w:color="auto"/>
          </w:divBdr>
        </w:div>
        <w:div w:id="1613240281">
          <w:marLeft w:val="0"/>
          <w:marRight w:val="0"/>
          <w:marTop w:val="0"/>
          <w:marBottom w:val="0"/>
          <w:divBdr>
            <w:top w:val="none" w:sz="0" w:space="0" w:color="auto"/>
            <w:left w:val="none" w:sz="0" w:space="0" w:color="auto"/>
            <w:bottom w:val="none" w:sz="0" w:space="0" w:color="auto"/>
            <w:right w:val="none" w:sz="0" w:space="0" w:color="auto"/>
          </w:divBdr>
        </w:div>
        <w:div w:id="1557472608">
          <w:marLeft w:val="0"/>
          <w:marRight w:val="0"/>
          <w:marTop w:val="0"/>
          <w:marBottom w:val="0"/>
          <w:divBdr>
            <w:top w:val="none" w:sz="0" w:space="0" w:color="auto"/>
            <w:left w:val="none" w:sz="0" w:space="0" w:color="auto"/>
            <w:bottom w:val="none" w:sz="0" w:space="0" w:color="auto"/>
            <w:right w:val="none" w:sz="0" w:space="0" w:color="auto"/>
          </w:divBdr>
        </w:div>
        <w:div w:id="1798376046">
          <w:marLeft w:val="0"/>
          <w:marRight w:val="0"/>
          <w:marTop w:val="0"/>
          <w:marBottom w:val="0"/>
          <w:divBdr>
            <w:top w:val="none" w:sz="0" w:space="0" w:color="auto"/>
            <w:left w:val="none" w:sz="0" w:space="0" w:color="auto"/>
            <w:bottom w:val="none" w:sz="0" w:space="0" w:color="auto"/>
            <w:right w:val="none" w:sz="0" w:space="0" w:color="auto"/>
          </w:divBdr>
        </w:div>
        <w:div w:id="550380516">
          <w:marLeft w:val="0"/>
          <w:marRight w:val="0"/>
          <w:marTop w:val="0"/>
          <w:marBottom w:val="0"/>
          <w:divBdr>
            <w:top w:val="none" w:sz="0" w:space="0" w:color="auto"/>
            <w:left w:val="none" w:sz="0" w:space="0" w:color="auto"/>
            <w:bottom w:val="none" w:sz="0" w:space="0" w:color="auto"/>
            <w:right w:val="none" w:sz="0" w:space="0" w:color="auto"/>
          </w:divBdr>
        </w:div>
        <w:div w:id="47848169">
          <w:marLeft w:val="0"/>
          <w:marRight w:val="0"/>
          <w:marTop w:val="0"/>
          <w:marBottom w:val="0"/>
          <w:divBdr>
            <w:top w:val="none" w:sz="0" w:space="0" w:color="auto"/>
            <w:left w:val="none" w:sz="0" w:space="0" w:color="auto"/>
            <w:bottom w:val="none" w:sz="0" w:space="0" w:color="auto"/>
            <w:right w:val="none" w:sz="0" w:space="0" w:color="auto"/>
          </w:divBdr>
        </w:div>
        <w:div w:id="2083017070">
          <w:marLeft w:val="0"/>
          <w:marRight w:val="0"/>
          <w:marTop w:val="0"/>
          <w:marBottom w:val="0"/>
          <w:divBdr>
            <w:top w:val="none" w:sz="0" w:space="0" w:color="auto"/>
            <w:left w:val="none" w:sz="0" w:space="0" w:color="auto"/>
            <w:bottom w:val="none" w:sz="0" w:space="0" w:color="auto"/>
            <w:right w:val="none" w:sz="0" w:space="0" w:color="auto"/>
          </w:divBdr>
        </w:div>
        <w:div w:id="159546028">
          <w:marLeft w:val="0"/>
          <w:marRight w:val="0"/>
          <w:marTop w:val="0"/>
          <w:marBottom w:val="0"/>
          <w:divBdr>
            <w:top w:val="none" w:sz="0" w:space="0" w:color="auto"/>
            <w:left w:val="none" w:sz="0" w:space="0" w:color="auto"/>
            <w:bottom w:val="none" w:sz="0" w:space="0" w:color="auto"/>
            <w:right w:val="none" w:sz="0" w:space="0" w:color="auto"/>
          </w:divBdr>
        </w:div>
        <w:div w:id="848521104">
          <w:marLeft w:val="0"/>
          <w:marRight w:val="0"/>
          <w:marTop w:val="0"/>
          <w:marBottom w:val="0"/>
          <w:divBdr>
            <w:top w:val="none" w:sz="0" w:space="0" w:color="auto"/>
            <w:left w:val="none" w:sz="0" w:space="0" w:color="auto"/>
            <w:bottom w:val="none" w:sz="0" w:space="0" w:color="auto"/>
            <w:right w:val="none" w:sz="0" w:space="0" w:color="auto"/>
          </w:divBdr>
        </w:div>
        <w:div w:id="434789604">
          <w:marLeft w:val="0"/>
          <w:marRight w:val="0"/>
          <w:marTop w:val="0"/>
          <w:marBottom w:val="0"/>
          <w:divBdr>
            <w:top w:val="none" w:sz="0" w:space="0" w:color="auto"/>
            <w:left w:val="none" w:sz="0" w:space="0" w:color="auto"/>
            <w:bottom w:val="none" w:sz="0" w:space="0" w:color="auto"/>
            <w:right w:val="none" w:sz="0" w:space="0" w:color="auto"/>
          </w:divBdr>
        </w:div>
        <w:div w:id="820778600">
          <w:marLeft w:val="0"/>
          <w:marRight w:val="0"/>
          <w:marTop w:val="0"/>
          <w:marBottom w:val="0"/>
          <w:divBdr>
            <w:top w:val="none" w:sz="0" w:space="0" w:color="auto"/>
            <w:left w:val="none" w:sz="0" w:space="0" w:color="auto"/>
            <w:bottom w:val="none" w:sz="0" w:space="0" w:color="auto"/>
            <w:right w:val="none" w:sz="0" w:space="0" w:color="auto"/>
          </w:divBdr>
        </w:div>
        <w:div w:id="337930036">
          <w:marLeft w:val="0"/>
          <w:marRight w:val="0"/>
          <w:marTop w:val="0"/>
          <w:marBottom w:val="0"/>
          <w:divBdr>
            <w:top w:val="none" w:sz="0" w:space="0" w:color="auto"/>
            <w:left w:val="none" w:sz="0" w:space="0" w:color="auto"/>
            <w:bottom w:val="none" w:sz="0" w:space="0" w:color="auto"/>
            <w:right w:val="none" w:sz="0" w:space="0" w:color="auto"/>
          </w:divBdr>
        </w:div>
        <w:div w:id="1606227585">
          <w:marLeft w:val="0"/>
          <w:marRight w:val="0"/>
          <w:marTop w:val="0"/>
          <w:marBottom w:val="0"/>
          <w:divBdr>
            <w:top w:val="none" w:sz="0" w:space="0" w:color="auto"/>
            <w:left w:val="none" w:sz="0" w:space="0" w:color="auto"/>
            <w:bottom w:val="none" w:sz="0" w:space="0" w:color="auto"/>
            <w:right w:val="none" w:sz="0" w:space="0" w:color="auto"/>
          </w:divBdr>
        </w:div>
        <w:div w:id="1340279420">
          <w:marLeft w:val="0"/>
          <w:marRight w:val="0"/>
          <w:marTop w:val="0"/>
          <w:marBottom w:val="0"/>
          <w:divBdr>
            <w:top w:val="none" w:sz="0" w:space="0" w:color="auto"/>
            <w:left w:val="none" w:sz="0" w:space="0" w:color="auto"/>
            <w:bottom w:val="none" w:sz="0" w:space="0" w:color="auto"/>
            <w:right w:val="none" w:sz="0" w:space="0" w:color="auto"/>
          </w:divBdr>
        </w:div>
        <w:div w:id="1342465756">
          <w:marLeft w:val="0"/>
          <w:marRight w:val="0"/>
          <w:marTop w:val="0"/>
          <w:marBottom w:val="0"/>
          <w:divBdr>
            <w:top w:val="none" w:sz="0" w:space="0" w:color="auto"/>
            <w:left w:val="none" w:sz="0" w:space="0" w:color="auto"/>
            <w:bottom w:val="none" w:sz="0" w:space="0" w:color="auto"/>
            <w:right w:val="none" w:sz="0" w:space="0" w:color="auto"/>
          </w:divBdr>
        </w:div>
        <w:div w:id="487328193">
          <w:marLeft w:val="0"/>
          <w:marRight w:val="0"/>
          <w:marTop w:val="0"/>
          <w:marBottom w:val="0"/>
          <w:divBdr>
            <w:top w:val="none" w:sz="0" w:space="0" w:color="auto"/>
            <w:left w:val="none" w:sz="0" w:space="0" w:color="auto"/>
            <w:bottom w:val="none" w:sz="0" w:space="0" w:color="auto"/>
            <w:right w:val="none" w:sz="0" w:space="0" w:color="auto"/>
          </w:divBdr>
        </w:div>
        <w:div w:id="1099519539">
          <w:marLeft w:val="0"/>
          <w:marRight w:val="0"/>
          <w:marTop w:val="0"/>
          <w:marBottom w:val="0"/>
          <w:divBdr>
            <w:top w:val="none" w:sz="0" w:space="0" w:color="auto"/>
            <w:left w:val="none" w:sz="0" w:space="0" w:color="auto"/>
            <w:bottom w:val="none" w:sz="0" w:space="0" w:color="auto"/>
            <w:right w:val="none" w:sz="0" w:space="0" w:color="auto"/>
          </w:divBdr>
        </w:div>
        <w:div w:id="225990194">
          <w:marLeft w:val="0"/>
          <w:marRight w:val="0"/>
          <w:marTop w:val="0"/>
          <w:marBottom w:val="0"/>
          <w:divBdr>
            <w:top w:val="none" w:sz="0" w:space="0" w:color="auto"/>
            <w:left w:val="none" w:sz="0" w:space="0" w:color="auto"/>
            <w:bottom w:val="none" w:sz="0" w:space="0" w:color="auto"/>
            <w:right w:val="none" w:sz="0" w:space="0" w:color="auto"/>
          </w:divBdr>
        </w:div>
        <w:div w:id="1523784186">
          <w:marLeft w:val="0"/>
          <w:marRight w:val="0"/>
          <w:marTop w:val="0"/>
          <w:marBottom w:val="0"/>
          <w:divBdr>
            <w:top w:val="none" w:sz="0" w:space="0" w:color="auto"/>
            <w:left w:val="none" w:sz="0" w:space="0" w:color="auto"/>
            <w:bottom w:val="none" w:sz="0" w:space="0" w:color="auto"/>
            <w:right w:val="none" w:sz="0" w:space="0" w:color="auto"/>
          </w:divBdr>
        </w:div>
        <w:div w:id="385950607">
          <w:marLeft w:val="0"/>
          <w:marRight w:val="0"/>
          <w:marTop w:val="0"/>
          <w:marBottom w:val="0"/>
          <w:divBdr>
            <w:top w:val="none" w:sz="0" w:space="0" w:color="auto"/>
            <w:left w:val="none" w:sz="0" w:space="0" w:color="auto"/>
            <w:bottom w:val="none" w:sz="0" w:space="0" w:color="auto"/>
            <w:right w:val="none" w:sz="0" w:space="0" w:color="auto"/>
          </w:divBdr>
        </w:div>
      </w:divsChild>
    </w:div>
    <w:div w:id="211616591">
      <w:marLeft w:val="0"/>
      <w:marRight w:val="0"/>
      <w:marTop w:val="0"/>
      <w:marBottom w:val="0"/>
      <w:divBdr>
        <w:top w:val="none" w:sz="0" w:space="0" w:color="auto"/>
        <w:left w:val="none" w:sz="0" w:space="0" w:color="auto"/>
        <w:bottom w:val="none" w:sz="0" w:space="0" w:color="auto"/>
        <w:right w:val="none" w:sz="0" w:space="0" w:color="auto"/>
      </w:divBdr>
      <w:divsChild>
        <w:div w:id="1212307205">
          <w:marLeft w:val="0"/>
          <w:marRight w:val="0"/>
          <w:marTop w:val="0"/>
          <w:marBottom w:val="0"/>
          <w:divBdr>
            <w:top w:val="none" w:sz="0" w:space="0" w:color="auto"/>
            <w:left w:val="none" w:sz="0" w:space="0" w:color="auto"/>
            <w:bottom w:val="none" w:sz="0" w:space="0" w:color="auto"/>
            <w:right w:val="none" w:sz="0" w:space="0" w:color="auto"/>
          </w:divBdr>
          <w:divsChild>
            <w:div w:id="19108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849">
      <w:marLeft w:val="0"/>
      <w:marRight w:val="0"/>
      <w:marTop w:val="0"/>
      <w:marBottom w:val="0"/>
      <w:divBdr>
        <w:top w:val="none" w:sz="0" w:space="0" w:color="auto"/>
        <w:left w:val="none" w:sz="0" w:space="0" w:color="auto"/>
        <w:bottom w:val="none" w:sz="0" w:space="0" w:color="auto"/>
        <w:right w:val="none" w:sz="0" w:space="0" w:color="auto"/>
      </w:divBdr>
      <w:divsChild>
        <w:div w:id="1536502867">
          <w:marLeft w:val="0"/>
          <w:marRight w:val="0"/>
          <w:marTop w:val="0"/>
          <w:marBottom w:val="0"/>
          <w:divBdr>
            <w:top w:val="none" w:sz="0" w:space="0" w:color="auto"/>
            <w:left w:val="none" w:sz="0" w:space="0" w:color="auto"/>
            <w:bottom w:val="none" w:sz="0" w:space="0" w:color="auto"/>
            <w:right w:val="none" w:sz="0" w:space="0" w:color="auto"/>
          </w:divBdr>
        </w:div>
      </w:divsChild>
    </w:div>
    <w:div w:id="218327527">
      <w:marLeft w:val="0"/>
      <w:marRight w:val="0"/>
      <w:marTop w:val="0"/>
      <w:marBottom w:val="200"/>
      <w:divBdr>
        <w:top w:val="none" w:sz="0" w:space="0" w:color="auto"/>
        <w:left w:val="none" w:sz="0" w:space="0" w:color="auto"/>
        <w:bottom w:val="none" w:sz="0" w:space="0" w:color="auto"/>
        <w:right w:val="none" w:sz="0" w:space="0" w:color="auto"/>
      </w:divBdr>
    </w:div>
    <w:div w:id="227739082">
      <w:marLeft w:val="0"/>
      <w:marRight w:val="0"/>
      <w:marTop w:val="0"/>
      <w:marBottom w:val="0"/>
      <w:divBdr>
        <w:top w:val="none" w:sz="0" w:space="0" w:color="auto"/>
        <w:left w:val="none" w:sz="0" w:space="0" w:color="auto"/>
        <w:bottom w:val="none" w:sz="0" w:space="0" w:color="auto"/>
        <w:right w:val="none" w:sz="0" w:space="0" w:color="auto"/>
      </w:divBdr>
      <w:divsChild>
        <w:div w:id="75520393">
          <w:marLeft w:val="0"/>
          <w:marRight w:val="0"/>
          <w:marTop w:val="0"/>
          <w:marBottom w:val="0"/>
          <w:divBdr>
            <w:top w:val="none" w:sz="0" w:space="0" w:color="auto"/>
            <w:left w:val="none" w:sz="0" w:space="0" w:color="auto"/>
            <w:bottom w:val="none" w:sz="0" w:space="0" w:color="auto"/>
            <w:right w:val="none" w:sz="0" w:space="0" w:color="auto"/>
          </w:divBdr>
        </w:div>
      </w:divsChild>
    </w:div>
    <w:div w:id="230971878">
      <w:marLeft w:val="0"/>
      <w:marRight w:val="0"/>
      <w:marTop w:val="0"/>
      <w:marBottom w:val="120"/>
      <w:divBdr>
        <w:top w:val="none" w:sz="0" w:space="0" w:color="auto"/>
        <w:left w:val="none" w:sz="0" w:space="0" w:color="auto"/>
        <w:bottom w:val="none" w:sz="0" w:space="0" w:color="auto"/>
        <w:right w:val="none" w:sz="0" w:space="0" w:color="auto"/>
      </w:divBdr>
    </w:div>
    <w:div w:id="232275951">
      <w:marLeft w:val="0"/>
      <w:marRight w:val="0"/>
      <w:marTop w:val="0"/>
      <w:marBottom w:val="120"/>
      <w:divBdr>
        <w:top w:val="none" w:sz="0" w:space="0" w:color="auto"/>
        <w:left w:val="none" w:sz="0" w:space="0" w:color="auto"/>
        <w:bottom w:val="none" w:sz="0" w:space="0" w:color="auto"/>
        <w:right w:val="none" w:sz="0" w:space="0" w:color="auto"/>
      </w:divBdr>
    </w:div>
    <w:div w:id="235095878">
      <w:marLeft w:val="0"/>
      <w:marRight w:val="0"/>
      <w:marTop w:val="0"/>
      <w:marBottom w:val="0"/>
      <w:divBdr>
        <w:top w:val="none" w:sz="0" w:space="0" w:color="auto"/>
        <w:left w:val="none" w:sz="0" w:space="0" w:color="auto"/>
        <w:bottom w:val="none" w:sz="0" w:space="0" w:color="auto"/>
        <w:right w:val="none" w:sz="0" w:space="0" w:color="auto"/>
      </w:divBdr>
      <w:divsChild>
        <w:div w:id="1554847376">
          <w:marLeft w:val="0"/>
          <w:marRight w:val="0"/>
          <w:marTop w:val="0"/>
          <w:marBottom w:val="0"/>
          <w:divBdr>
            <w:top w:val="none" w:sz="0" w:space="0" w:color="auto"/>
            <w:left w:val="none" w:sz="0" w:space="0" w:color="auto"/>
            <w:bottom w:val="none" w:sz="0" w:space="0" w:color="auto"/>
            <w:right w:val="none" w:sz="0" w:space="0" w:color="auto"/>
          </w:divBdr>
        </w:div>
      </w:divsChild>
    </w:div>
    <w:div w:id="243346874">
      <w:marLeft w:val="0"/>
      <w:marRight w:val="0"/>
      <w:marTop w:val="0"/>
      <w:marBottom w:val="0"/>
      <w:divBdr>
        <w:top w:val="none" w:sz="0" w:space="0" w:color="auto"/>
        <w:left w:val="none" w:sz="0" w:space="0" w:color="auto"/>
        <w:bottom w:val="none" w:sz="0" w:space="0" w:color="auto"/>
        <w:right w:val="none" w:sz="0" w:space="0" w:color="auto"/>
      </w:divBdr>
    </w:div>
    <w:div w:id="262613421">
      <w:marLeft w:val="0"/>
      <w:marRight w:val="0"/>
      <w:marTop w:val="0"/>
      <w:marBottom w:val="60"/>
      <w:divBdr>
        <w:top w:val="none" w:sz="0" w:space="0" w:color="auto"/>
        <w:left w:val="none" w:sz="0" w:space="0" w:color="auto"/>
        <w:bottom w:val="none" w:sz="0" w:space="0" w:color="auto"/>
        <w:right w:val="none" w:sz="0" w:space="0" w:color="auto"/>
      </w:divBdr>
    </w:div>
    <w:div w:id="278413359">
      <w:marLeft w:val="0"/>
      <w:marRight w:val="0"/>
      <w:marTop w:val="0"/>
      <w:marBottom w:val="120"/>
      <w:divBdr>
        <w:top w:val="none" w:sz="0" w:space="0" w:color="auto"/>
        <w:left w:val="none" w:sz="0" w:space="0" w:color="auto"/>
        <w:bottom w:val="none" w:sz="0" w:space="0" w:color="auto"/>
        <w:right w:val="none" w:sz="0" w:space="0" w:color="auto"/>
      </w:divBdr>
    </w:div>
    <w:div w:id="293220725">
      <w:marLeft w:val="0"/>
      <w:marRight w:val="0"/>
      <w:marTop w:val="0"/>
      <w:marBottom w:val="120"/>
      <w:divBdr>
        <w:top w:val="none" w:sz="0" w:space="0" w:color="auto"/>
        <w:left w:val="none" w:sz="0" w:space="0" w:color="auto"/>
        <w:bottom w:val="none" w:sz="0" w:space="0" w:color="auto"/>
        <w:right w:val="none" w:sz="0" w:space="0" w:color="auto"/>
      </w:divBdr>
    </w:div>
    <w:div w:id="293873685">
      <w:marLeft w:val="0"/>
      <w:marRight w:val="0"/>
      <w:marTop w:val="0"/>
      <w:marBottom w:val="0"/>
      <w:divBdr>
        <w:top w:val="none" w:sz="0" w:space="0" w:color="auto"/>
        <w:left w:val="none" w:sz="0" w:space="0" w:color="auto"/>
        <w:bottom w:val="none" w:sz="0" w:space="0" w:color="auto"/>
        <w:right w:val="none" w:sz="0" w:space="0" w:color="auto"/>
      </w:divBdr>
    </w:div>
    <w:div w:id="297882117">
      <w:marLeft w:val="0"/>
      <w:marRight w:val="0"/>
      <w:marTop w:val="0"/>
      <w:marBottom w:val="200"/>
      <w:divBdr>
        <w:top w:val="none" w:sz="0" w:space="0" w:color="auto"/>
        <w:left w:val="none" w:sz="0" w:space="0" w:color="auto"/>
        <w:bottom w:val="none" w:sz="0" w:space="0" w:color="auto"/>
        <w:right w:val="none" w:sz="0" w:space="0" w:color="auto"/>
      </w:divBdr>
    </w:div>
    <w:div w:id="300698909">
      <w:marLeft w:val="0"/>
      <w:marRight w:val="0"/>
      <w:marTop w:val="0"/>
      <w:marBottom w:val="0"/>
      <w:divBdr>
        <w:top w:val="none" w:sz="0" w:space="0" w:color="auto"/>
        <w:left w:val="none" w:sz="0" w:space="0" w:color="auto"/>
        <w:bottom w:val="none" w:sz="0" w:space="0" w:color="auto"/>
        <w:right w:val="none" w:sz="0" w:space="0" w:color="auto"/>
      </w:divBdr>
      <w:divsChild>
        <w:div w:id="1027489196">
          <w:marLeft w:val="0"/>
          <w:marRight w:val="0"/>
          <w:marTop w:val="0"/>
          <w:marBottom w:val="0"/>
          <w:divBdr>
            <w:top w:val="none" w:sz="0" w:space="0" w:color="auto"/>
            <w:left w:val="none" w:sz="0" w:space="0" w:color="auto"/>
            <w:bottom w:val="none" w:sz="0" w:space="0" w:color="auto"/>
            <w:right w:val="none" w:sz="0" w:space="0" w:color="auto"/>
          </w:divBdr>
        </w:div>
      </w:divsChild>
    </w:div>
    <w:div w:id="304244062">
      <w:marLeft w:val="0"/>
      <w:marRight w:val="0"/>
      <w:marTop w:val="0"/>
      <w:marBottom w:val="0"/>
      <w:divBdr>
        <w:top w:val="none" w:sz="0" w:space="0" w:color="auto"/>
        <w:left w:val="none" w:sz="0" w:space="0" w:color="auto"/>
        <w:bottom w:val="none" w:sz="0" w:space="0" w:color="auto"/>
        <w:right w:val="none" w:sz="0" w:space="0" w:color="auto"/>
      </w:divBdr>
      <w:divsChild>
        <w:div w:id="525215500">
          <w:marLeft w:val="0"/>
          <w:marRight w:val="0"/>
          <w:marTop w:val="0"/>
          <w:marBottom w:val="0"/>
          <w:divBdr>
            <w:top w:val="none" w:sz="0" w:space="0" w:color="auto"/>
            <w:left w:val="none" w:sz="0" w:space="0" w:color="auto"/>
            <w:bottom w:val="none" w:sz="0" w:space="0" w:color="auto"/>
            <w:right w:val="none" w:sz="0" w:space="0" w:color="auto"/>
          </w:divBdr>
        </w:div>
      </w:divsChild>
    </w:div>
    <w:div w:id="304894900">
      <w:marLeft w:val="0"/>
      <w:marRight w:val="0"/>
      <w:marTop w:val="0"/>
      <w:marBottom w:val="240"/>
      <w:divBdr>
        <w:top w:val="none" w:sz="0" w:space="0" w:color="auto"/>
        <w:left w:val="none" w:sz="0" w:space="0" w:color="auto"/>
        <w:bottom w:val="none" w:sz="0" w:space="0" w:color="auto"/>
        <w:right w:val="none" w:sz="0" w:space="0" w:color="auto"/>
      </w:divBdr>
    </w:div>
    <w:div w:id="307125240">
      <w:marLeft w:val="0"/>
      <w:marRight w:val="0"/>
      <w:marTop w:val="0"/>
      <w:marBottom w:val="240"/>
      <w:divBdr>
        <w:top w:val="none" w:sz="0" w:space="0" w:color="auto"/>
        <w:left w:val="none" w:sz="0" w:space="0" w:color="auto"/>
        <w:bottom w:val="none" w:sz="0" w:space="0" w:color="auto"/>
        <w:right w:val="none" w:sz="0" w:space="0" w:color="auto"/>
      </w:divBdr>
    </w:div>
    <w:div w:id="308170922">
      <w:marLeft w:val="0"/>
      <w:marRight w:val="0"/>
      <w:marTop w:val="0"/>
      <w:marBottom w:val="0"/>
      <w:divBdr>
        <w:top w:val="none" w:sz="0" w:space="0" w:color="auto"/>
        <w:left w:val="none" w:sz="0" w:space="0" w:color="auto"/>
        <w:bottom w:val="none" w:sz="0" w:space="0" w:color="auto"/>
        <w:right w:val="none" w:sz="0" w:space="0" w:color="auto"/>
      </w:divBdr>
      <w:divsChild>
        <w:div w:id="1396120498">
          <w:marLeft w:val="0"/>
          <w:marRight w:val="0"/>
          <w:marTop w:val="0"/>
          <w:marBottom w:val="0"/>
          <w:divBdr>
            <w:top w:val="none" w:sz="0" w:space="0" w:color="auto"/>
            <w:left w:val="none" w:sz="0" w:space="0" w:color="auto"/>
            <w:bottom w:val="none" w:sz="0" w:space="0" w:color="auto"/>
            <w:right w:val="none" w:sz="0" w:space="0" w:color="auto"/>
          </w:divBdr>
        </w:div>
      </w:divsChild>
    </w:div>
    <w:div w:id="323701041">
      <w:marLeft w:val="0"/>
      <w:marRight w:val="0"/>
      <w:marTop w:val="0"/>
      <w:marBottom w:val="0"/>
      <w:divBdr>
        <w:top w:val="none" w:sz="0" w:space="0" w:color="auto"/>
        <w:left w:val="none" w:sz="0" w:space="0" w:color="auto"/>
        <w:bottom w:val="none" w:sz="0" w:space="0" w:color="auto"/>
        <w:right w:val="none" w:sz="0" w:space="0" w:color="auto"/>
      </w:divBdr>
    </w:div>
    <w:div w:id="327488134">
      <w:marLeft w:val="0"/>
      <w:marRight w:val="0"/>
      <w:marTop w:val="0"/>
      <w:marBottom w:val="0"/>
      <w:divBdr>
        <w:top w:val="none" w:sz="0" w:space="0" w:color="auto"/>
        <w:left w:val="none" w:sz="0" w:space="0" w:color="auto"/>
        <w:bottom w:val="none" w:sz="0" w:space="0" w:color="auto"/>
        <w:right w:val="none" w:sz="0" w:space="0" w:color="auto"/>
      </w:divBdr>
      <w:divsChild>
        <w:div w:id="673799178">
          <w:marLeft w:val="0"/>
          <w:marRight w:val="0"/>
          <w:marTop w:val="0"/>
          <w:marBottom w:val="0"/>
          <w:divBdr>
            <w:top w:val="none" w:sz="0" w:space="0" w:color="auto"/>
            <w:left w:val="none" w:sz="0" w:space="0" w:color="auto"/>
            <w:bottom w:val="none" w:sz="0" w:space="0" w:color="auto"/>
            <w:right w:val="none" w:sz="0" w:space="0" w:color="auto"/>
          </w:divBdr>
        </w:div>
      </w:divsChild>
    </w:div>
    <w:div w:id="345249719">
      <w:marLeft w:val="0"/>
      <w:marRight w:val="0"/>
      <w:marTop w:val="0"/>
      <w:marBottom w:val="0"/>
      <w:divBdr>
        <w:top w:val="none" w:sz="0" w:space="0" w:color="auto"/>
        <w:left w:val="none" w:sz="0" w:space="0" w:color="auto"/>
        <w:bottom w:val="none" w:sz="0" w:space="0" w:color="auto"/>
        <w:right w:val="none" w:sz="0" w:space="0" w:color="auto"/>
      </w:divBdr>
      <w:divsChild>
        <w:div w:id="420565455">
          <w:marLeft w:val="0"/>
          <w:marRight w:val="0"/>
          <w:marTop w:val="0"/>
          <w:marBottom w:val="0"/>
          <w:divBdr>
            <w:top w:val="none" w:sz="0" w:space="0" w:color="auto"/>
            <w:left w:val="none" w:sz="0" w:space="0" w:color="auto"/>
            <w:bottom w:val="none" w:sz="0" w:space="0" w:color="auto"/>
            <w:right w:val="none" w:sz="0" w:space="0" w:color="auto"/>
          </w:divBdr>
        </w:div>
      </w:divsChild>
    </w:div>
    <w:div w:id="347175816">
      <w:marLeft w:val="0"/>
      <w:marRight w:val="0"/>
      <w:marTop w:val="0"/>
      <w:marBottom w:val="60"/>
      <w:divBdr>
        <w:top w:val="none" w:sz="0" w:space="0" w:color="auto"/>
        <w:left w:val="none" w:sz="0" w:space="0" w:color="auto"/>
        <w:bottom w:val="none" w:sz="0" w:space="0" w:color="auto"/>
        <w:right w:val="none" w:sz="0" w:space="0" w:color="auto"/>
      </w:divBdr>
    </w:div>
    <w:div w:id="347566681">
      <w:marLeft w:val="0"/>
      <w:marRight w:val="0"/>
      <w:marTop w:val="0"/>
      <w:marBottom w:val="60"/>
      <w:divBdr>
        <w:top w:val="none" w:sz="0" w:space="0" w:color="auto"/>
        <w:left w:val="none" w:sz="0" w:space="0" w:color="auto"/>
        <w:bottom w:val="none" w:sz="0" w:space="0" w:color="auto"/>
        <w:right w:val="none" w:sz="0" w:space="0" w:color="auto"/>
      </w:divBdr>
    </w:div>
    <w:div w:id="354429647">
      <w:marLeft w:val="0"/>
      <w:marRight w:val="0"/>
      <w:marTop w:val="0"/>
      <w:marBottom w:val="120"/>
      <w:divBdr>
        <w:top w:val="none" w:sz="0" w:space="0" w:color="auto"/>
        <w:left w:val="none" w:sz="0" w:space="0" w:color="auto"/>
        <w:bottom w:val="none" w:sz="0" w:space="0" w:color="auto"/>
        <w:right w:val="none" w:sz="0" w:space="0" w:color="auto"/>
      </w:divBdr>
    </w:div>
    <w:div w:id="361974470">
      <w:marLeft w:val="0"/>
      <w:marRight w:val="0"/>
      <w:marTop w:val="0"/>
      <w:marBottom w:val="0"/>
      <w:divBdr>
        <w:top w:val="none" w:sz="0" w:space="0" w:color="auto"/>
        <w:left w:val="none" w:sz="0" w:space="0" w:color="auto"/>
        <w:bottom w:val="none" w:sz="0" w:space="0" w:color="auto"/>
        <w:right w:val="none" w:sz="0" w:space="0" w:color="auto"/>
      </w:divBdr>
    </w:div>
    <w:div w:id="362681338">
      <w:marLeft w:val="0"/>
      <w:marRight w:val="0"/>
      <w:marTop w:val="0"/>
      <w:marBottom w:val="120"/>
      <w:divBdr>
        <w:top w:val="none" w:sz="0" w:space="0" w:color="auto"/>
        <w:left w:val="none" w:sz="0" w:space="0" w:color="auto"/>
        <w:bottom w:val="none" w:sz="0" w:space="0" w:color="auto"/>
        <w:right w:val="none" w:sz="0" w:space="0" w:color="auto"/>
      </w:divBdr>
    </w:div>
    <w:div w:id="365832242">
      <w:marLeft w:val="0"/>
      <w:marRight w:val="0"/>
      <w:marTop w:val="0"/>
      <w:marBottom w:val="0"/>
      <w:divBdr>
        <w:top w:val="none" w:sz="0" w:space="0" w:color="auto"/>
        <w:left w:val="none" w:sz="0" w:space="0" w:color="auto"/>
        <w:bottom w:val="none" w:sz="0" w:space="0" w:color="auto"/>
        <w:right w:val="none" w:sz="0" w:space="0" w:color="auto"/>
      </w:divBdr>
      <w:divsChild>
        <w:div w:id="180632340">
          <w:marLeft w:val="0"/>
          <w:marRight w:val="0"/>
          <w:marTop w:val="0"/>
          <w:marBottom w:val="0"/>
          <w:divBdr>
            <w:top w:val="none" w:sz="0" w:space="0" w:color="auto"/>
            <w:left w:val="none" w:sz="0" w:space="0" w:color="auto"/>
            <w:bottom w:val="none" w:sz="0" w:space="0" w:color="auto"/>
            <w:right w:val="none" w:sz="0" w:space="0" w:color="auto"/>
          </w:divBdr>
        </w:div>
      </w:divsChild>
    </w:div>
    <w:div w:id="371811571">
      <w:marLeft w:val="0"/>
      <w:marRight w:val="0"/>
      <w:marTop w:val="0"/>
      <w:marBottom w:val="0"/>
      <w:divBdr>
        <w:top w:val="none" w:sz="0" w:space="0" w:color="auto"/>
        <w:left w:val="none" w:sz="0" w:space="0" w:color="auto"/>
        <w:bottom w:val="none" w:sz="0" w:space="0" w:color="auto"/>
        <w:right w:val="none" w:sz="0" w:space="0" w:color="auto"/>
      </w:divBdr>
      <w:divsChild>
        <w:div w:id="2082629029">
          <w:marLeft w:val="0"/>
          <w:marRight w:val="0"/>
          <w:marTop w:val="0"/>
          <w:marBottom w:val="0"/>
          <w:divBdr>
            <w:top w:val="none" w:sz="0" w:space="0" w:color="auto"/>
            <w:left w:val="none" w:sz="0" w:space="0" w:color="auto"/>
            <w:bottom w:val="none" w:sz="0" w:space="0" w:color="auto"/>
            <w:right w:val="none" w:sz="0" w:space="0" w:color="auto"/>
          </w:divBdr>
        </w:div>
      </w:divsChild>
    </w:div>
    <w:div w:id="372654416">
      <w:marLeft w:val="0"/>
      <w:marRight w:val="0"/>
      <w:marTop w:val="300"/>
      <w:marBottom w:val="160"/>
      <w:divBdr>
        <w:top w:val="none" w:sz="0" w:space="0" w:color="auto"/>
        <w:left w:val="none" w:sz="0" w:space="0" w:color="auto"/>
        <w:bottom w:val="none" w:sz="0" w:space="0" w:color="auto"/>
        <w:right w:val="none" w:sz="0" w:space="0" w:color="auto"/>
      </w:divBdr>
    </w:div>
    <w:div w:id="372774082">
      <w:marLeft w:val="0"/>
      <w:marRight w:val="0"/>
      <w:marTop w:val="0"/>
      <w:marBottom w:val="0"/>
      <w:divBdr>
        <w:top w:val="none" w:sz="0" w:space="0" w:color="auto"/>
        <w:left w:val="none" w:sz="0" w:space="0" w:color="auto"/>
        <w:bottom w:val="none" w:sz="0" w:space="0" w:color="auto"/>
        <w:right w:val="none" w:sz="0" w:space="0" w:color="auto"/>
      </w:divBdr>
      <w:divsChild>
        <w:div w:id="293339780">
          <w:marLeft w:val="0"/>
          <w:marRight w:val="0"/>
          <w:marTop w:val="0"/>
          <w:marBottom w:val="0"/>
          <w:divBdr>
            <w:top w:val="none" w:sz="0" w:space="0" w:color="auto"/>
            <w:left w:val="none" w:sz="0" w:space="0" w:color="auto"/>
            <w:bottom w:val="none" w:sz="0" w:space="0" w:color="auto"/>
            <w:right w:val="none" w:sz="0" w:space="0" w:color="auto"/>
          </w:divBdr>
        </w:div>
      </w:divsChild>
    </w:div>
    <w:div w:id="383649870">
      <w:marLeft w:val="0"/>
      <w:marRight w:val="0"/>
      <w:marTop w:val="0"/>
      <w:marBottom w:val="0"/>
      <w:divBdr>
        <w:top w:val="none" w:sz="0" w:space="0" w:color="auto"/>
        <w:left w:val="none" w:sz="0" w:space="0" w:color="auto"/>
        <w:bottom w:val="none" w:sz="0" w:space="0" w:color="auto"/>
        <w:right w:val="none" w:sz="0" w:space="0" w:color="auto"/>
      </w:divBdr>
    </w:div>
    <w:div w:id="383677346">
      <w:marLeft w:val="0"/>
      <w:marRight w:val="0"/>
      <w:marTop w:val="0"/>
      <w:marBottom w:val="0"/>
      <w:divBdr>
        <w:top w:val="none" w:sz="0" w:space="0" w:color="auto"/>
        <w:left w:val="none" w:sz="0" w:space="0" w:color="auto"/>
        <w:bottom w:val="none" w:sz="0" w:space="0" w:color="auto"/>
        <w:right w:val="none" w:sz="0" w:space="0" w:color="auto"/>
      </w:divBdr>
      <w:divsChild>
        <w:div w:id="978875481">
          <w:marLeft w:val="0"/>
          <w:marRight w:val="0"/>
          <w:marTop w:val="0"/>
          <w:marBottom w:val="0"/>
          <w:divBdr>
            <w:top w:val="none" w:sz="0" w:space="0" w:color="auto"/>
            <w:left w:val="none" w:sz="0" w:space="0" w:color="auto"/>
            <w:bottom w:val="none" w:sz="0" w:space="0" w:color="auto"/>
            <w:right w:val="none" w:sz="0" w:space="0" w:color="auto"/>
          </w:divBdr>
        </w:div>
      </w:divsChild>
    </w:div>
    <w:div w:id="384451611">
      <w:marLeft w:val="0"/>
      <w:marRight w:val="0"/>
      <w:marTop w:val="0"/>
      <w:marBottom w:val="0"/>
      <w:divBdr>
        <w:top w:val="none" w:sz="0" w:space="0" w:color="auto"/>
        <w:left w:val="none" w:sz="0" w:space="0" w:color="auto"/>
        <w:bottom w:val="none" w:sz="0" w:space="0" w:color="auto"/>
        <w:right w:val="none" w:sz="0" w:space="0" w:color="auto"/>
      </w:divBdr>
      <w:divsChild>
        <w:div w:id="729039810">
          <w:marLeft w:val="0"/>
          <w:marRight w:val="0"/>
          <w:marTop w:val="0"/>
          <w:marBottom w:val="0"/>
          <w:divBdr>
            <w:top w:val="none" w:sz="0" w:space="0" w:color="auto"/>
            <w:left w:val="none" w:sz="0" w:space="0" w:color="auto"/>
            <w:bottom w:val="none" w:sz="0" w:space="0" w:color="auto"/>
            <w:right w:val="none" w:sz="0" w:space="0" w:color="auto"/>
          </w:divBdr>
        </w:div>
      </w:divsChild>
    </w:div>
    <w:div w:id="386805246">
      <w:marLeft w:val="0"/>
      <w:marRight w:val="0"/>
      <w:marTop w:val="0"/>
      <w:marBottom w:val="120"/>
      <w:divBdr>
        <w:top w:val="none" w:sz="0" w:space="0" w:color="auto"/>
        <w:left w:val="none" w:sz="0" w:space="0" w:color="auto"/>
        <w:bottom w:val="none" w:sz="0" w:space="0" w:color="auto"/>
        <w:right w:val="none" w:sz="0" w:space="0" w:color="auto"/>
      </w:divBdr>
    </w:div>
    <w:div w:id="391388172">
      <w:marLeft w:val="0"/>
      <w:marRight w:val="0"/>
      <w:marTop w:val="0"/>
      <w:marBottom w:val="0"/>
      <w:divBdr>
        <w:top w:val="none" w:sz="0" w:space="0" w:color="auto"/>
        <w:left w:val="none" w:sz="0" w:space="0" w:color="auto"/>
        <w:bottom w:val="none" w:sz="0" w:space="0" w:color="auto"/>
        <w:right w:val="none" w:sz="0" w:space="0" w:color="auto"/>
      </w:divBdr>
      <w:divsChild>
        <w:div w:id="5134583">
          <w:marLeft w:val="0"/>
          <w:marRight w:val="0"/>
          <w:marTop w:val="0"/>
          <w:marBottom w:val="0"/>
          <w:divBdr>
            <w:top w:val="none" w:sz="0" w:space="0" w:color="auto"/>
            <w:left w:val="none" w:sz="0" w:space="0" w:color="auto"/>
            <w:bottom w:val="none" w:sz="0" w:space="0" w:color="auto"/>
            <w:right w:val="none" w:sz="0" w:space="0" w:color="auto"/>
          </w:divBdr>
        </w:div>
      </w:divsChild>
    </w:div>
    <w:div w:id="392973896">
      <w:marLeft w:val="0"/>
      <w:marRight w:val="0"/>
      <w:marTop w:val="0"/>
      <w:marBottom w:val="120"/>
      <w:divBdr>
        <w:top w:val="none" w:sz="0" w:space="0" w:color="auto"/>
        <w:left w:val="none" w:sz="0" w:space="0" w:color="auto"/>
        <w:bottom w:val="none" w:sz="0" w:space="0" w:color="auto"/>
        <w:right w:val="none" w:sz="0" w:space="0" w:color="auto"/>
      </w:divBdr>
    </w:div>
    <w:div w:id="393355648">
      <w:marLeft w:val="0"/>
      <w:marRight w:val="0"/>
      <w:marTop w:val="0"/>
      <w:marBottom w:val="0"/>
      <w:divBdr>
        <w:top w:val="none" w:sz="0" w:space="0" w:color="auto"/>
        <w:left w:val="none" w:sz="0" w:space="0" w:color="auto"/>
        <w:bottom w:val="none" w:sz="0" w:space="0" w:color="auto"/>
        <w:right w:val="none" w:sz="0" w:space="0" w:color="auto"/>
      </w:divBdr>
    </w:div>
    <w:div w:id="397677683">
      <w:marLeft w:val="0"/>
      <w:marRight w:val="0"/>
      <w:marTop w:val="0"/>
      <w:marBottom w:val="0"/>
      <w:divBdr>
        <w:top w:val="none" w:sz="0" w:space="0" w:color="auto"/>
        <w:left w:val="none" w:sz="0" w:space="0" w:color="auto"/>
        <w:bottom w:val="none" w:sz="0" w:space="0" w:color="auto"/>
        <w:right w:val="none" w:sz="0" w:space="0" w:color="auto"/>
      </w:divBdr>
    </w:div>
    <w:div w:id="399210194">
      <w:marLeft w:val="0"/>
      <w:marRight w:val="0"/>
      <w:marTop w:val="260"/>
      <w:marBottom w:val="0"/>
      <w:divBdr>
        <w:top w:val="none" w:sz="0" w:space="0" w:color="auto"/>
        <w:left w:val="none" w:sz="0" w:space="0" w:color="auto"/>
        <w:bottom w:val="none" w:sz="0" w:space="0" w:color="auto"/>
        <w:right w:val="none" w:sz="0" w:space="0" w:color="auto"/>
      </w:divBdr>
    </w:div>
    <w:div w:id="403575881">
      <w:marLeft w:val="0"/>
      <w:marRight w:val="0"/>
      <w:marTop w:val="0"/>
      <w:marBottom w:val="0"/>
      <w:divBdr>
        <w:top w:val="none" w:sz="0" w:space="0" w:color="auto"/>
        <w:left w:val="none" w:sz="0" w:space="0" w:color="auto"/>
        <w:bottom w:val="none" w:sz="0" w:space="0" w:color="auto"/>
        <w:right w:val="none" w:sz="0" w:space="0" w:color="auto"/>
      </w:divBdr>
    </w:div>
    <w:div w:id="404038959">
      <w:marLeft w:val="0"/>
      <w:marRight w:val="0"/>
      <w:marTop w:val="0"/>
      <w:marBottom w:val="0"/>
      <w:divBdr>
        <w:top w:val="none" w:sz="0" w:space="0" w:color="auto"/>
        <w:left w:val="none" w:sz="0" w:space="0" w:color="auto"/>
        <w:bottom w:val="none" w:sz="0" w:space="0" w:color="auto"/>
        <w:right w:val="none" w:sz="0" w:space="0" w:color="auto"/>
      </w:divBdr>
      <w:divsChild>
        <w:div w:id="155651390">
          <w:marLeft w:val="0"/>
          <w:marRight w:val="0"/>
          <w:marTop w:val="0"/>
          <w:marBottom w:val="0"/>
          <w:divBdr>
            <w:top w:val="none" w:sz="0" w:space="0" w:color="auto"/>
            <w:left w:val="none" w:sz="0" w:space="0" w:color="auto"/>
            <w:bottom w:val="none" w:sz="0" w:space="0" w:color="auto"/>
            <w:right w:val="none" w:sz="0" w:space="0" w:color="auto"/>
          </w:divBdr>
        </w:div>
      </w:divsChild>
    </w:div>
    <w:div w:id="424150575">
      <w:marLeft w:val="0"/>
      <w:marRight w:val="0"/>
      <w:marTop w:val="0"/>
      <w:marBottom w:val="120"/>
      <w:divBdr>
        <w:top w:val="none" w:sz="0" w:space="0" w:color="auto"/>
        <w:left w:val="none" w:sz="0" w:space="0" w:color="auto"/>
        <w:bottom w:val="none" w:sz="0" w:space="0" w:color="auto"/>
        <w:right w:val="none" w:sz="0" w:space="0" w:color="auto"/>
      </w:divBdr>
    </w:div>
    <w:div w:id="432937957">
      <w:marLeft w:val="0"/>
      <w:marRight w:val="0"/>
      <w:marTop w:val="0"/>
      <w:marBottom w:val="120"/>
      <w:divBdr>
        <w:top w:val="none" w:sz="0" w:space="0" w:color="auto"/>
        <w:left w:val="none" w:sz="0" w:space="0" w:color="auto"/>
        <w:bottom w:val="none" w:sz="0" w:space="0" w:color="auto"/>
        <w:right w:val="none" w:sz="0" w:space="0" w:color="auto"/>
      </w:divBdr>
    </w:div>
    <w:div w:id="433744386">
      <w:marLeft w:val="0"/>
      <w:marRight w:val="0"/>
      <w:marTop w:val="0"/>
      <w:marBottom w:val="120"/>
      <w:divBdr>
        <w:top w:val="none" w:sz="0" w:space="0" w:color="auto"/>
        <w:left w:val="none" w:sz="0" w:space="0" w:color="auto"/>
        <w:bottom w:val="none" w:sz="0" w:space="0" w:color="auto"/>
        <w:right w:val="none" w:sz="0" w:space="0" w:color="auto"/>
      </w:divBdr>
    </w:div>
    <w:div w:id="433866467">
      <w:marLeft w:val="0"/>
      <w:marRight w:val="0"/>
      <w:marTop w:val="0"/>
      <w:marBottom w:val="60"/>
      <w:divBdr>
        <w:top w:val="none" w:sz="0" w:space="0" w:color="auto"/>
        <w:left w:val="none" w:sz="0" w:space="0" w:color="auto"/>
        <w:bottom w:val="none" w:sz="0" w:space="0" w:color="auto"/>
        <w:right w:val="none" w:sz="0" w:space="0" w:color="auto"/>
      </w:divBdr>
    </w:div>
    <w:div w:id="438716490">
      <w:marLeft w:val="0"/>
      <w:marRight w:val="0"/>
      <w:marTop w:val="0"/>
      <w:marBottom w:val="0"/>
      <w:divBdr>
        <w:top w:val="none" w:sz="0" w:space="0" w:color="auto"/>
        <w:left w:val="none" w:sz="0" w:space="0" w:color="auto"/>
        <w:bottom w:val="none" w:sz="0" w:space="0" w:color="auto"/>
        <w:right w:val="none" w:sz="0" w:space="0" w:color="auto"/>
      </w:divBdr>
    </w:div>
    <w:div w:id="442965291">
      <w:marLeft w:val="0"/>
      <w:marRight w:val="0"/>
      <w:marTop w:val="0"/>
      <w:marBottom w:val="60"/>
      <w:divBdr>
        <w:top w:val="none" w:sz="0" w:space="0" w:color="auto"/>
        <w:left w:val="none" w:sz="0" w:space="0" w:color="auto"/>
        <w:bottom w:val="none" w:sz="0" w:space="0" w:color="auto"/>
        <w:right w:val="none" w:sz="0" w:space="0" w:color="auto"/>
      </w:divBdr>
    </w:div>
    <w:div w:id="449133309">
      <w:marLeft w:val="0"/>
      <w:marRight w:val="0"/>
      <w:marTop w:val="0"/>
      <w:marBottom w:val="120"/>
      <w:divBdr>
        <w:top w:val="none" w:sz="0" w:space="0" w:color="auto"/>
        <w:left w:val="none" w:sz="0" w:space="0" w:color="auto"/>
        <w:bottom w:val="none" w:sz="0" w:space="0" w:color="auto"/>
        <w:right w:val="none" w:sz="0" w:space="0" w:color="auto"/>
      </w:divBdr>
    </w:div>
    <w:div w:id="449209627">
      <w:marLeft w:val="0"/>
      <w:marRight w:val="0"/>
      <w:marTop w:val="120"/>
      <w:marBottom w:val="0"/>
      <w:divBdr>
        <w:top w:val="none" w:sz="0" w:space="0" w:color="auto"/>
        <w:left w:val="none" w:sz="0" w:space="0" w:color="auto"/>
        <w:bottom w:val="none" w:sz="0" w:space="0" w:color="auto"/>
        <w:right w:val="none" w:sz="0" w:space="0" w:color="auto"/>
      </w:divBdr>
    </w:div>
    <w:div w:id="450176707">
      <w:marLeft w:val="0"/>
      <w:marRight w:val="0"/>
      <w:marTop w:val="0"/>
      <w:marBottom w:val="120"/>
      <w:divBdr>
        <w:top w:val="none" w:sz="0" w:space="0" w:color="auto"/>
        <w:left w:val="none" w:sz="0" w:space="0" w:color="auto"/>
        <w:bottom w:val="none" w:sz="0" w:space="0" w:color="auto"/>
        <w:right w:val="none" w:sz="0" w:space="0" w:color="auto"/>
      </w:divBdr>
      <w:divsChild>
        <w:div w:id="1014260609">
          <w:marLeft w:val="0"/>
          <w:marRight w:val="0"/>
          <w:marTop w:val="0"/>
          <w:marBottom w:val="0"/>
          <w:divBdr>
            <w:top w:val="none" w:sz="0" w:space="0" w:color="auto"/>
            <w:left w:val="none" w:sz="0" w:space="0" w:color="auto"/>
            <w:bottom w:val="none" w:sz="0" w:space="0" w:color="auto"/>
            <w:right w:val="none" w:sz="0" w:space="0" w:color="auto"/>
          </w:divBdr>
        </w:div>
        <w:div w:id="1602562497">
          <w:marLeft w:val="0"/>
          <w:marRight w:val="0"/>
          <w:marTop w:val="0"/>
          <w:marBottom w:val="0"/>
          <w:divBdr>
            <w:top w:val="none" w:sz="0" w:space="0" w:color="auto"/>
            <w:left w:val="none" w:sz="0" w:space="0" w:color="auto"/>
            <w:bottom w:val="none" w:sz="0" w:space="0" w:color="auto"/>
            <w:right w:val="none" w:sz="0" w:space="0" w:color="auto"/>
          </w:divBdr>
        </w:div>
        <w:div w:id="1718043152">
          <w:marLeft w:val="0"/>
          <w:marRight w:val="0"/>
          <w:marTop w:val="0"/>
          <w:marBottom w:val="0"/>
          <w:divBdr>
            <w:top w:val="none" w:sz="0" w:space="0" w:color="auto"/>
            <w:left w:val="none" w:sz="0" w:space="0" w:color="auto"/>
            <w:bottom w:val="none" w:sz="0" w:space="0" w:color="auto"/>
            <w:right w:val="none" w:sz="0" w:space="0" w:color="auto"/>
          </w:divBdr>
        </w:div>
      </w:divsChild>
    </w:div>
    <w:div w:id="455026584">
      <w:marLeft w:val="0"/>
      <w:marRight w:val="0"/>
      <w:marTop w:val="0"/>
      <w:marBottom w:val="60"/>
      <w:divBdr>
        <w:top w:val="none" w:sz="0" w:space="0" w:color="auto"/>
        <w:left w:val="none" w:sz="0" w:space="0" w:color="auto"/>
        <w:bottom w:val="none" w:sz="0" w:space="0" w:color="auto"/>
        <w:right w:val="none" w:sz="0" w:space="0" w:color="auto"/>
      </w:divBdr>
    </w:div>
    <w:div w:id="458185526">
      <w:marLeft w:val="0"/>
      <w:marRight w:val="0"/>
      <w:marTop w:val="0"/>
      <w:marBottom w:val="120"/>
      <w:divBdr>
        <w:top w:val="none" w:sz="0" w:space="0" w:color="auto"/>
        <w:left w:val="none" w:sz="0" w:space="0" w:color="auto"/>
        <w:bottom w:val="none" w:sz="0" w:space="0" w:color="auto"/>
        <w:right w:val="none" w:sz="0" w:space="0" w:color="auto"/>
      </w:divBdr>
    </w:div>
    <w:div w:id="463237779">
      <w:marLeft w:val="0"/>
      <w:marRight w:val="0"/>
      <w:marTop w:val="0"/>
      <w:marBottom w:val="60"/>
      <w:divBdr>
        <w:top w:val="none" w:sz="0" w:space="0" w:color="auto"/>
        <w:left w:val="none" w:sz="0" w:space="0" w:color="auto"/>
        <w:bottom w:val="none" w:sz="0" w:space="0" w:color="auto"/>
        <w:right w:val="none" w:sz="0" w:space="0" w:color="auto"/>
      </w:divBdr>
    </w:div>
    <w:div w:id="475414121">
      <w:marLeft w:val="0"/>
      <w:marRight w:val="0"/>
      <w:marTop w:val="0"/>
      <w:marBottom w:val="0"/>
      <w:divBdr>
        <w:top w:val="none" w:sz="0" w:space="0" w:color="auto"/>
        <w:left w:val="none" w:sz="0" w:space="0" w:color="auto"/>
        <w:bottom w:val="none" w:sz="0" w:space="0" w:color="auto"/>
        <w:right w:val="none" w:sz="0" w:space="0" w:color="auto"/>
      </w:divBdr>
      <w:divsChild>
        <w:div w:id="1898277029">
          <w:marLeft w:val="0"/>
          <w:marRight w:val="0"/>
          <w:marTop w:val="0"/>
          <w:marBottom w:val="0"/>
          <w:divBdr>
            <w:top w:val="none" w:sz="0" w:space="0" w:color="auto"/>
            <w:left w:val="none" w:sz="0" w:space="0" w:color="auto"/>
            <w:bottom w:val="none" w:sz="0" w:space="0" w:color="auto"/>
            <w:right w:val="none" w:sz="0" w:space="0" w:color="auto"/>
          </w:divBdr>
        </w:div>
      </w:divsChild>
    </w:div>
    <w:div w:id="476266589">
      <w:marLeft w:val="0"/>
      <w:marRight w:val="0"/>
      <w:marTop w:val="0"/>
      <w:marBottom w:val="0"/>
      <w:divBdr>
        <w:top w:val="none" w:sz="0" w:space="0" w:color="auto"/>
        <w:left w:val="none" w:sz="0" w:space="0" w:color="auto"/>
        <w:bottom w:val="none" w:sz="0" w:space="0" w:color="auto"/>
        <w:right w:val="none" w:sz="0" w:space="0" w:color="auto"/>
      </w:divBdr>
      <w:divsChild>
        <w:div w:id="1919751073">
          <w:marLeft w:val="0"/>
          <w:marRight w:val="0"/>
          <w:marTop w:val="0"/>
          <w:marBottom w:val="0"/>
          <w:divBdr>
            <w:top w:val="none" w:sz="0" w:space="0" w:color="auto"/>
            <w:left w:val="none" w:sz="0" w:space="0" w:color="auto"/>
            <w:bottom w:val="none" w:sz="0" w:space="0" w:color="auto"/>
            <w:right w:val="none" w:sz="0" w:space="0" w:color="auto"/>
          </w:divBdr>
        </w:div>
      </w:divsChild>
    </w:div>
    <w:div w:id="478887194">
      <w:marLeft w:val="0"/>
      <w:marRight w:val="0"/>
      <w:marTop w:val="0"/>
      <w:marBottom w:val="0"/>
      <w:divBdr>
        <w:top w:val="none" w:sz="0" w:space="0" w:color="auto"/>
        <w:left w:val="none" w:sz="0" w:space="0" w:color="auto"/>
        <w:bottom w:val="none" w:sz="0" w:space="0" w:color="auto"/>
        <w:right w:val="none" w:sz="0" w:space="0" w:color="auto"/>
      </w:divBdr>
      <w:divsChild>
        <w:div w:id="1757509941">
          <w:marLeft w:val="0"/>
          <w:marRight w:val="0"/>
          <w:marTop w:val="0"/>
          <w:marBottom w:val="0"/>
          <w:divBdr>
            <w:top w:val="none" w:sz="0" w:space="0" w:color="auto"/>
            <w:left w:val="none" w:sz="0" w:space="0" w:color="auto"/>
            <w:bottom w:val="none" w:sz="0" w:space="0" w:color="auto"/>
            <w:right w:val="none" w:sz="0" w:space="0" w:color="auto"/>
          </w:divBdr>
        </w:div>
      </w:divsChild>
    </w:div>
    <w:div w:id="481197094">
      <w:marLeft w:val="0"/>
      <w:marRight w:val="0"/>
      <w:marTop w:val="0"/>
      <w:marBottom w:val="240"/>
      <w:divBdr>
        <w:top w:val="none" w:sz="0" w:space="0" w:color="auto"/>
        <w:left w:val="none" w:sz="0" w:space="0" w:color="auto"/>
        <w:bottom w:val="none" w:sz="0" w:space="0" w:color="auto"/>
        <w:right w:val="none" w:sz="0" w:space="0" w:color="auto"/>
      </w:divBdr>
    </w:div>
    <w:div w:id="488331053">
      <w:marLeft w:val="0"/>
      <w:marRight w:val="0"/>
      <w:marTop w:val="0"/>
      <w:marBottom w:val="0"/>
      <w:divBdr>
        <w:top w:val="none" w:sz="0" w:space="0" w:color="auto"/>
        <w:left w:val="none" w:sz="0" w:space="0" w:color="auto"/>
        <w:bottom w:val="none" w:sz="0" w:space="0" w:color="auto"/>
        <w:right w:val="none" w:sz="0" w:space="0" w:color="auto"/>
      </w:divBdr>
      <w:divsChild>
        <w:div w:id="708650194">
          <w:marLeft w:val="0"/>
          <w:marRight w:val="0"/>
          <w:marTop w:val="0"/>
          <w:marBottom w:val="0"/>
          <w:divBdr>
            <w:top w:val="none" w:sz="0" w:space="0" w:color="auto"/>
            <w:left w:val="none" w:sz="0" w:space="0" w:color="auto"/>
            <w:bottom w:val="none" w:sz="0" w:space="0" w:color="auto"/>
            <w:right w:val="none" w:sz="0" w:space="0" w:color="auto"/>
          </w:divBdr>
        </w:div>
      </w:divsChild>
    </w:div>
    <w:div w:id="495535438">
      <w:marLeft w:val="0"/>
      <w:marRight w:val="0"/>
      <w:marTop w:val="0"/>
      <w:marBottom w:val="60"/>
      <w:divBdr>
        <w:top w:val="none" w:sz="0" w:space="0" w:color="auto"/>
        <w:left w:val="none" w:sz="0" w:space="0" w:color="auto"/>
        <w:bottom w:val="none" w:sz="0" w:space="0" w:color="auto"/>
        <w:right w:val="none" w:sz="0" w:space="0" w:color="auto"/>
      </w:divBdr>
    </w:div>
    <w:div w:id="510798388">
      <w:marLeft w:val="0"/>
      <w:marRight w:val="0"/>
      <w:marTop w:val="0"/>
      <w:marBottom w:val="0"/>
      <w:divBdr>
        <w:top w:val="none" w:sz="0" w:space="0" w:color="auto"/>
        <w:left w:val="none" w:sz="0" w:space="0" w:color="auto"/>
        <w:bottom w:val="none" w:sz="0" w:space="0" w:color="auto"/>
        <w:right w:val="none" w:sz="0" w:space="0" w:color="auto"/>
      </w:divBdr>
      <w:divsChild>
        <w:div w:id="1666124875">
          <w:marLeft w:val="0"/>
          <w:marRight w:val="0"/>
          <w:marTop w:val="0"/>
          <w:marBottom w:val="0"/>
          <w:divBdr>
            <w:top w:val="none" w:sz="0" w:space="0" w:color="auto"/>
            <w:left w:val="none" w:sz="0" w:space="0" w:color="auto"/>
            <w:bottom w:val="none" w:sz="0" w:space="0" w:color="auto"/>
            <w:right w:val="none" w:sz="0" w:space="0" w:color="auto"/>
          </w:divBdr>
        </w:div>
      </w:divsChild>
    </w:div>
    <w:div w:id="515995475">
      <w:marLeft w:val="0"/>
      <w:marRight w:val="0"/>
      <w:marTop w:val="0"/>
      <w:marBottom w:val="0"/>
      <w:divBdr>
        <w:top w:val="none" w:sz="0" w:space="0" w:color="auto"/>
        <w:left w:val="none" w:sz="0" w:space="0" w:color="auto"/>
        <w:bottom w:val="none" w:sz="0" w:space="0" w:color="auto"/>
        <w:right w:val="none" w:sz="0" w:space="0" w:color="auto"/>
      </w:divBdr>
      <w:divsChild>
        <w:div w:id="1721899521">
          <w:marLeft w:val="0"/>
          <w:marRight w:val="0"/>
          <w:marTop w:val="0"/>
          <w:marBottom w:val="0"/>
          <w:divBdr>
            <w:top w:val="none" w:sz="0" w:space="0" w:color="auto"/>
            <w:left w:val="none" w:sz="0" w:space="0" w:color="auto"/>
            <w:bottom w:val="none" w:sz="0" w:space="0" w:color="auto"/>
            <w:right w:val="none" w:sz="0" w:space="0" w:color="auto"/>
          </w:divBdr>
        </w:div>
      </w:divsChild>
    </w:div>
    <w:div w:id="517424801">
      <w:marLeft w:val="0"/>
      <w:marRight w:val="0"/>
      <w:marTop w:val="0"/>
      <w:marBottom w:val="240"/>
      <w:divBdr>
        <w:top w:val="none" w:sz="0" w:space="0" w:color="auto"/>
        <w:left w:val="none" w:sz="0" w:space="0" w:color="auto"/>
        <w:bottom w:val="none" w:sz="0" w:space="0" w:color="auto"/>
        <w:right w:val="none" w:sz="0" w:space="0" w:color="auto"/>
      </w:divBdr>
    </w:div>
    <w:div w:id="537473392">
      <w:marLeft w:val="0"/>
      <w:marRight w:val="0"/>
      <w:marTop w:val="0"/>
      <w:marBottom w:val="120"/>
      <w:divBdr>
        <w:top w:val="none" w:sz="0" w:space="0" w:color="auto"/>
        <w:left w:val="none" w:sz="0" w:space="0" w:color="auto"/>
        <w:bottom w:val="none" w:sz="0" w:space="0" w:color="auto"/>
        <w:right w:val="none" w:sz="0" w:space="0" w:color="auto"/>
      </w:divBdr>
    </w:div>
    <w:div w:id="539174206">
      <w:marLeft w:val="0"/>
      <w:marRight w:val="0"/>
      <w:marTop w:val="0"/>
      <w:marBottom w:val="240"/>
      <w:divBdr>
        <w:top w:val="none" w:sz="0" w:space="0" w:color="auto"/>
        <w:left w:val="none" w:sz="0" w:space="0" w:color="auto"/>
        <w:bottom w:val="none" w:sz="0" w:space="0" w:color="auto"/>
        <w:right w:val="none" w:sz="0" w:space="0" w:color="auto"/>
      </w:divBdr>
    </w:div>
    <w:div w:id="539900441">
      <w:marLeft w:val="0"/>
      <w:marRight w:val="0"/>
      <w:marTop w:val="0"/>
      <w:marBottom w:val="0"/>
      <w:divBdr>
        <w:top w:val="none" w:sz="0" w:space="0" w:color="auto"/>
        <w:left w:val="none" w:sz="0" w:space="0" w:color="auto"/>
        <w:bottom w:val="none" w:sz="0" w:space="0" w:color="auto"/>
        <w:right w:val="none" w:sz="0" w:space="0" w:color="auto"/>
      </w:divBdr>
    </w:div>
    <w:div w:id="546263809">
      <w:marLeft w:val="0"/>
      <w:marRight w:val="0"/>
      <w:marTop w:val="0"/>
      <w:marBottom w:val="0"/>
      <w:divBdr>
        <w:top w:val="none" w:sz="0" w:space="0" w:color="auto"/>
        <w:left w:val="none" w:sz="0" w:space="0" w:color="auto"/>
        <w:bottom w:val="none" w:sz="0" w:space="0" w:color="auto"/>
        <w:right w:val="none" w:sz="0" w:space="0" w:color="auto"/>
      </w:divBdr>
      <w:divsChild>
        <w:div w:id="239951139">
          <w:marLeft w:val="0"/>
          <w:marRight w:val="0"/>
          <w:marTop w:val="0"/>
          <w:marBottom w:val="0"/>
          <w:divBdr>
            <w:top w:val="none" w:sz="0" w:space="0" w:color="auto"/>
            <w:left w:val="none" w:sz="0" w:space="0" w:color="auto"/>
            <w:bottom w:val="none" w:sz="0" w:space="0" w:color="auto"/>
            <w:right w:val="none" w:sz="0" w:space="0" w:color="auto"/>
          </w:divBdr>
          <w:divsChild>
            <w:div w:id="12082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139">
      <w:marLeft w:val="0"/>
      <w:marRight w:val="0"/>
      <w:marTop w:val="0"/>
      <w:marBottom w:val="0"/>
      <w:divBdr>
        <w:top w:val="none" w:sz="0" w:space="0" w:color="auto"/>
        <w:left w:val="none" w:sz="0" w:space="0" w:color="auto"/>
        <w:bottom w:val="none" w:sz="0" w:space="0" w:color="auto"/>
        <w:right w:val="none" w:sz="0" w:space="0" w:color="auto"/>
      </w:divBdr>
    </w:div>
    <w:div w:id="557664769">
      <w:marLeft w:val="0"/>
      <w:marRight w:val="0"/>
      <w:marTop w:val="0"/>
      <w:marBottom w:val="240"/>
      <w:divBdr>
        <w:top w:val="none" w:sz="0" w:space="0" w:color="auto"/>
        <w:left w:val="none" w:sz="0" w:space="0" w:color="auto"/>
        <w:bottom w:val="none" w:sz="0" w:space="0" w:color="auto"/>
        <w:right w:val="none" w:sz="0" w:space="0" w:color="auto"/>
      </w:divBdr>
    </w:div>
    <w:div w:id="581834406">
      <w:marLeft w:val="0"/>
      <w:marRight w:val="0"/>
      <w:marTop w:val="0"/>
      <w:marBottom w:val="120"/>
      <w:divBdr>
        <w:top w:val="none" w:sz="0" w:space="0" w:color="auto"/>
        <w:left w:val="none" w:sz="0" w:space="0" w:color="auto"/>
        <w:bottom w:val="none" w:sz="0" w:space="0" w:color="auto"/>
        <w:right w:val="none" w:sz="0" w:space="0" w:color="auto"/>
      </w:divBdr>
    </w:div>
    <w:div w:id="583341085">
      <w:marLeft w:val="0"/>
      <w:marRight w:val="0"/>
      <w:marTop w:val="0"/>
      <w:marBottom w:val="200"/>
      <w:divBdr>
        <w:top w:val="none" w:sz="0" w:space="0" w:color="auto"/>
        <w:left w:val="none" w:sz="0" w:space="0" w:color="auto"/>
        <w:bottom w:val="none" w:sz="0" w:space="0" w:color="auto"/>
        <w:right w:val="none" w:sz="0" w:space="0" w:color="auto"/>
      </w:divBdr>
    </w:div>
    <w:div w:id="585304869">
      <w:marLeft w:val="0"/>
      <w:marRight w:val="0"/>
      <w:marTop w:val="0"/>
      <w:marBottom w:val="0"/>
      <w:divBdr>
        <w:top w:val="none" w:sz="0" w:space="0" w:color="auto"/>
        <w:left w:val="none" w:sz="0" w:space="0" w:color="auto"/>
        <w:bottom w:val="none" w:sz="0" w:space="0" w:color="auto"/>
        <w:right w:val="none" w:sz="0" w:space="0" w:color="auto"/>
      </w:divBdr>
      <w:divsChild>
        <w:div w:id="1272860335">
          <w:marLeft w:val="0"/>
          <w:marRight w:val="0"/>
          <w:marTop w:val="0"/>
          <w:marBottom w:val="0"/>
          <w:divBdr>
            <w:top w:val="none" w:sz="0" w:space="0" w:color="auto"/>
            <w:left w:val="none" w:sz="0" w:space="0" w:color="auto"/>
            <w:bottom w:val="none" w:sz="0" w:space="0" w:color="auto"/>
            <w:right w:val="none" w:sz="0" w:space="0" w:color="auto"/>
          </w:divBdr>
        </w:div>
      </w:divsChild>
    </w:div>
    <w:div w:id="587419769">
      <w:marLeft w:val="0"/>
      <w:marRight w:val="0"/>
      <w:marTop w:val="240"/>
      <w:marBottom w:val="0"/>
      <w:divBdr>
        <w:top w:val="none" w:sz="0" w:space="0" w:color="auto"/>
        <w:left w:val="none" w:sz="0" w:space="0" w:color="auto"/>
        <w:bottom w:val="none" w:sz="0" w:space="0" w:color="auto"/>
        <w:right w:val="none" w:sz="0" w:space="0" w:color="auto"/>
      </w:divBdr>
    </w:div>
    <w:div w:id="595136722">
      <w:marLeft w:val="0"/>
      <w:marRight w:val="0"/>
      <w:marTop w:val="0"/>
      <w:marBottom w:val="120"/>
      <w:divBdr>
        <w:top w:val="none" w:sz="0" w:space="0" w:color="auto"/>
        <w:left w:val="none" w:sz="0" w:space="0" w:color="auto"/>
        <w:bottom w:val="none" w:sz="0" w:space="0" w:color="auto"/>
        <w:right w:val="none" w:sz="0" w:space="0" w:color="auto"/>
      </w:divBdr>
    </w:div>
    <w:div w:id="602539380">
      <w:marLeft w:val="0"/>
      <w:marRight w:val="0"/>
      <w:marTop w:val="0"/>
      <w:marBottom w:val="160"/>
      <w:divBdr>
        <w:top w:val="none" w:sz="0" w:space="0" w:color="auto"/>
        <w:left w:val="none" w:sz="0" w:space="0" w:color="auto"/>
        <w:bottom w:val="none" w:sz="0" w:space="0" w:color="auto"/>
        <w:right w:val="none" w:sz="0" w:space="0" w:color="auto"/>
      </w:divBdr>
    </w:div>
    <w:div w:id="606157076">
      <w:marLeft w:val="0"/>
      <w:marRight w:val="0"/>
      <w:marTop w:val="0"/>
      <w:marBottom w:val="0"/>
      <w:divBdr>
        <w:top w:val="none" w:sz="0" w:space="0" w:color="auto"/>
        <w:left w:val="none" w:sz="0" w:space="0" w:color="auto"/>
        <w:bottom w:val="none" w:sz="0" w:space="0" w:color="auto"/>
        <w:right w:val="none" w:sz="0" w:space="0" w:color="auto"/>
      </w:divBdr>
      <w:divsChild>
        <w:div w:id="1084183375">
          <w:marLeft w:val="0"/>
          <w:marRight w:val="0"/>
          <w:marTop w:val="0"/>
          <w:marBottom w:val="0"/>
          <w:divBdr>
            <w:top w:val="none" w:sz="0" w:space="0" w:color="auto"/>
            <w:left w:val="none" w:sz="0" w:space="0" w:color="auto"/>
            <w:bottom w:val="none" w:sz="0" w:space="0" w:color="auto"/>
            <w:right w:val="none" w:sz="0" w:space="0" w:color="auto"/>
          </w:divBdr>
        </w:div>
      </w:divsChild>
    </w:div>
    <w:div w:id="647442760">
      <w:marLeft w:val="0"/>
      <w:marRight w:val="0"/>
      <w:marTop w:val="0"/>
      <w:marBottom w:val="120"/>
      <w:divBdr>
        <w:top w:val="none" w:sz="0" w:space="0" w:color="auto"/>
        <w:left w:val="none" w:sz="0" w:space="0" w:color="auto"/>
        <w:bottom w:val="none" w:sz="0" w:space="0" w:color="auto"/>
        <w:right w:val="none" w:sz="0" w:space="0" w:color="auto"/>
      </w:divBdr>
    </w:div>
    <w:div w:id="647902366">
      <w:marLeft w:val="0"/>
      <w:marRight w:val="0"/>
      <w:marTop w:val="0"/>
      <w:marBottom w:val="160"/>
      <w:divBdr>
        <w:top w:val="none" w:sz="0" w:space="0" w:color="auto"/>
        <w:left w:val="none" w:sz="0" w:space="0" w:color="auto"/>
        <w:bottom w:val="none" w:sz="0" w:space="0" w:color="auto"/>
        <w:right w:val="none" w:sz="0" w:space="0" w:color="auto"/>
      </w:divBdr>
    </w:div>
    <w:div w:id="651328980">
      <w:marLeft w:val="0"/>
      <w:marRight w:val="0"/>
      <w:marTop w:val="0"/>
      <w:marBottom w:val="0"/>
      <w:divBdr>
        <w:top w:val="none" w:sz="0" w:space="0" w:color="auto"/>
        <w:left w:val="none" w:sz="0" w:space="0" w:color="auto"/>
        <w:bottom w:val="none" w:sz="0" w:space="0" w:color="auto"/>
        <w:right w:val="none" w:sz="0" w:space="0" w:color="auto"/>
      </w:divBdr>
    </w:div>
    <w:div w:id="651912743">
      <w:marLeft w:val="0"/>
      <w:marRight w:val="0"/>
      <w:marTop w:val="0"/>
      <w:marBottom w:val="120"/>
      <w:divBdr>
        <w:top w:val="none" w:sz="0" w:space="0" w:color="auto"/>
        <w:left w:val="none" w:sz="0" w:space="0" w:color="auto"/>
        <w:bottom w:val="none" w:sz="0" w:space="0" w:color="auto"/>
        <w:right w:val="none" w:sz="0" w:space="0" w:color="auto"/>
      </w:divBdr>
    </w:div>
    <w:div w:id="670259708">
      <w:marLeft w:val="0"/>
      <w:marRight w:val="0"/>
      <w:marTop w:val="0"/>
      <w:marBottom w:val="200"/>
      <w:divBdr>
        <w:top w:val="none" w:sz="0" w:space="0" w:color="auto"/>
        <w:left w:val="none" w:sz="0" w:space="0" w:color="auto"/>
        <w:bottom w:val="none" w:sz="0" w:space="0" w:color="auto"/>
        <w:right w:val="none" w:sz="0" w:space="0" w:color="auto"/>
      </w:divBdr>
    </w:div>
    <w:div w:id="672949883">
      <w:marLeft w:val="0"/>
      <w:marRight w:val="0"/>
      <w:marTop w:val="0"/>
      <w:marBottom w:val="0"/>
      <w:divBdr>
        <w:top w:val="none" w:sz="0" w:space="0" w:color="auto"/>
        <w:left w:val="none" w:sz="0" w:space="0" w:color="auto"/>
        <w:bottom w:val="none" w:sz="0" w:space="0" w:color="auto"/>
        <w:right w:val="none" w:sz="0" w:space="0" w:color="auto"/>
      </w:divBdr>
      <w:divsChild>
        <w:div w:id="907767984">
          <w:marLeft w:val="0"/>
          <w:marRight w:val="0"/>
          <w:marTop w:val="0"/>
          <w:marBottom w:val="0"/>
          <w:divBdr>
            <w:top w:val="none" w:sz="0" w:space="0" w:color="auto"/>
            <w:left w:val="none" w:sz="0" w:space="0" w:color="auto"/>
            <w:bottom w:val="none" w:sz="0" w:space="0" w:color="auto"/>
            <w:right w:val="none" w:sz="0" w:space="0" w:color="auto"/>
          </w:divBdr>
        </w:div>
      </w:divsChild>
    </w:div>
    <w:div w:id="678581945">
      <w:marLeft w:val="0"/>
      <w:marRight w:val="0"/>
      <w:marTop w:val="0"/>
      <w:marBottom w:val="0"/>
      <w:divBdr>
        <w:top w:val="none" w:sz="0" w:space="0" w:color="auto"/>
        <w:left w:val="none" w:sz="0" w:space="0" w:color="auto"/>
        <w:bottom w:val="none" w:sz="0" w:space="0" w:color="auto"/>
        <w:right w:val="none" w:sz="0" w:space="0" w:color="auto"/>
      </w:divBdr>
      <w:divsChild>
        <w:div w:id="238904368">
          <w:marLeft w:val="0"/>
          <w:marRight w:val="0"/>
          <w:marTop w:val="0"/>
          <w:marBottom w:val="0"/>
          <w:divBdr>
            <w:top w:val="none" w:sz="0" w:space="0" w:color="auto"/>
            <w:left w:val="none" w:sz="0" w:space="0" w:color="auto"/>
            <w:bottom w:val="none" w:sz="0" w:space="0" w:color="auto"/>
            <w:right w:val="none" w:sz="0" w:space="0" w:color="auto"/>
          </w:divBdr>
          <w:divsChild>
            <w:div w:id="3006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2945">
      <w:marLeft w:val="0"/>
      <w:marRight w:val="0"/>
      <w:marTop w:val="240"/>
      <w:marBottom w:val="0"/>
      <w:divBdr>
        <w:top w:val="none" w:sz="0" w:space="0" w:color="auto"/>
        <w:left w:val="none" w:sz="0" w:space="0" w:color="auto"/>
        <w:bottom w:val="none" w:sz="0" w:space="0" w:color="auto"/>
        <w:right w:val="none" w:sz="0" w:space="0" w:color="auto"/>
      </w:divBdr>
    </w:div>
    <w:div w:id="693581917">
      <w:marLeft w:val="0"/>
      <w:marRight w:val="0"/>
      <w:marTop w:val="240"/>
      <w:marBottom w:val="120"/>
      <w:divBdr>
        <w:top w:val="none" w:sz="0" w:space="0" w:color="auto"/>
        <w:left w:val="none" w:sz="0" w:space="0" w:color="auto"/>
        <w:bottom w:val="none" w:sz="0" w:space="0" w:color="auto"/>
        <w:right w:val="none" w:sz="0" w:space="0" w:color="auto"/>
      </w:divBdr>
    </w:div>
    <w:div w:id="697507746">
      <w:marLeft w:val="0"/>
      <w:marRight w:val="0"/>
      <w:marTop w:val="0"/>
      <w:marBottom w:val="160"/>
      <w:divBdr>
        <w:top w:val="none" w:sz="0" w:space="0" w:color="auto"/>
        <w:left w:val="none" w:sz="0" w:space="0" w:color="auto"/>
        <w:bottom w:val="none" w:sz="0" w:space="0" w:color="auto"/>
        <w:right w:val="none" w:sz="0" w:space="0" w:color="auto"/>
      </w:divBdr>
    </w:div>
    <w:div w:id="699935313">
      <w:marLeft w:val="0"/>
      <w:marRight w:val="0"/>
      <w:marTop w:val="0"/>
      <w:marBottom w:val="120"/>
      <w:divBdr>
        <w:top w:val="none" w:sz="0" w:space="0" w:color="auto"/>
        <w:left w:val="none" w:sz="0" w:space="0" w:color="auto"/>
        <w:bottom w:val="none" w:sz="0" w:space="0" w:color="auto"/>
        <w:right w:val="none" w:sz="0" w:space="0" w:color="auto"/>
      </w:divBdr>
    </w:div>
    <w:div w:id="710764688">
      <w:marLeft w:val="0"/>
      <w:marRight w:val="0"/>
      <w:marTop w:val="0"/>
      <w:marBottom w:val="0"/>
      <w:divBdr>
        <w:top w:val="none" w:sz="0" w:space="0" w:color="auto"/>
        <w:left w:val="none" w:sz="0" w:space="0" w:color="auto"/>
        <w:bottom w:val="none" w:sz="0" w:space="0" w:color="auto"/>
        <w:right w:val="none" w:sz="0" w:space="0" w:color="auto"/>
      </w:divBdr>
      <w:divsChild>
        <w:div w:id="1773433685">
          <w:marLeft w:val="0"/>
          <w:marRight w:val="0"/>
          <w:marTop w:val="0"/>
          <w:marBottom w:val="0"/>
          <w:divBdr>
            <w:top w:val="none" w:sz="0" w:space="0" w:color="auto"/>
            <w:left w:val="none" w:sz="0" w:space="0" w:color="auto"/>
            <w:bottom w:val="none" w:sz="0" w:space="0" w:color="auto"/>
            <w:right w:val="none" w:sz="0" w:space="0" w:color="auto"/>
          </w:divBdr>
        </w:div>
      </w:divsChild>
    </w:div>
    <w:div w:id="712539913">
      <w:marLeft w:val="0"/>
      <w:marRight w:val="0"/>
      <w:marTop w:val="0"/>
      <w:marBottom w:val="0"/>
      <w:divBdr>
        <w:top w:val="none" w:sz="0" w:space="0" w:color="auto"/>
        <w:left w:val="none" w:sz="0" w:space="0" w:color="auto"/>
        <w:bottom w:val="none" w:sz="0" w:space="0" w:color="auto"/>
        <w:right w:val="none" w:sz="0" w:space="0" w:color="auto"/>
      </w:divBdr>
      <w:divsChild>
        <w:div w:id="167407615">
          <w:marLeft w:val="0"/>
          <w:marRight w:val="0"/>
          <w:marTop w:val="0"/>
          <w:marBottom w:val="0"/>
          <w:divBdr>
            <w:top w:val="none" w:sz="0" w:space="0" w:color="auto"/>
            <w:left w:val="none" w:sz="0" w:space="0" w:color="auto"/>
            <w:bottom w:val="none" w:sz="0" w:space="0" w:color="auto"/>
            <w:right w:val="none" w:sz="0" w:space="0" w:color="auto"/>
          </w:divBdr>
        </w:div>
      </w:divsChild>
    </w:div>
    <w:div w:id="712582091">
      <w:marLeft w:val="0"/>
      <w:marRight w:val="0"/>
      <w:marTop w:val="0"/>
      <w:marBottom w:val="120"/>
      <w:divBdr>
        <w:top w:val="none" w:sz="0" w:space="0" w:color="auto"/>
        <w:left w:val="none" w:sz="0" w:space="0" w:color="auto"/>
        <w:bottom w:val="none" w:sz="0" w:space="0" w:color="auto"/>
        <w:right w:val="none" w:sz="0" w:space="0" w:color="auto"/>
      </w:divBdr>
    </w:div>
    <w:div w:id="722676002">
      <w:marLeft w:val="0"/>
      <w:marRight w:val="0"/>
      <w:marTop w:val="0"/>
      <w:marBottom w:val="0"/>
      <w:divBdr>
        <w:top w:val="none" w:sz="0" w:space="0" w:color="auto"/>
        <w:left w:val="none" w:sz="0" w:space="0" w:color="auto"/>
        <w:bottom w:val="none" w:sz="0" w:space="0" w:color="auto"/>
        <w:right w:val="none" w:sz="0" w:space="0" w:color="auto"/>
      </w:divBdr>
    </w:div>
    <w:div w:id="730153830">
      <w:marLeft w:val="0"/>
      <w:marRight w:val="0"/>
      <w:marTop w:val="0"/>
      <w:marBottom w:val="0"/>
      <w:divBdr>
        <w:top w:val="none" w:sz="0" w:space="0" w:color="auto"/>
        <w:left w:val="none" w:sz="0" w:space="0" w:color="auto"/>
        <w:bottom w:val="none" w:sz="0" w:space="0" w:color="auto"/>
        <w:right w:val="none" w:sz="0" w:space="0" w:color="auto"/>
      </w:divBdr>
    </w:div>
    <w:div w:id="731853485">
      <w:marLeft w:val="0"/>
      <w:marRight w:val="0"/>
      <w:marTop w:val="0"/>
      <w:marBottom w:val="240"/>
      <w:divBdr>
        <w:top w:val="none" w:sz="0" w:space="0" w:color="auto"/>
        <w:left w:val="none" w:sz="0" w:space="0" w:color="auto"/>
        <w:bottom w:val="none" w:sz="0" w:space="0" w:color="auto"/>
        <w:right w:val="none" w:sz="0" w:space="0" w:color="auto"/>
      </w:divBdr>
    </w:div>
    <w:div w:id="739063227">
      <w:marLeft w:val="0"/>
      <w:marRight w:val="0"/>
      <w:marTop w:val="0"/>
      <w:marBottom w:val="60"/>
      <w:divBdr>
        <w:top w:val="none" w:sz="0" w:space="0" w:color="auto"/>
        <w:left w:val="none" w:sz="0" w:space="0" w:color="auto"/>
        <w:bottom w:val="none" w:sz="0" w:space="0" w:color="auto"/>
        <w:right w:val="none" w:sz="0" w:space="0" w:color="auto"/>
      </w:divBdr>
    </w:div>
    <w:div w:id="741292864">
      <w:marLeft w:val="0"/>
      <w:marRight w:val="0"/>
      <w:marTop w:val="0"/>
      <w:marBottom w:val="60"/>
      <w:divBdr>
        <w:top w:val="none" w:sz="0" w:space="0" w:color="auto"/>
        <w:left w:val="none" w:sz="0" w:space="0" w:color="auto"/>
        <w:bottom w:val="none" w:sz="0" w:space="0" w:color="auto"/>
        <w:right w:val="none" w:sz="0" w:space="0" w:color="auto"/>
      </w:divBdr>
    </w:div>
    <w:div w:id="763694223">
      <w:marLeft w:val="0"/>
      <w:marRight w:val="0"/>
      <w:marTop w:val="0"/>
      <w:marBottom w:val="0"/>
      <w:divBdr>
        <w:top w:val="none" w:sz="0" w:space="0" w:color="auto"/>
        <w:left w:val="none" w:sz="0" w:space="0" w:color="auto"/>
        <w:bottom w:val="none" w:sz="0" w:space="0" w:color="auto"/>
        <w:right w:val="none" w:sz="0" w:space="0" w:color="auto"/>
      </w:divBdr>
      <w:divsChild>
        <w:div w:id="478694867">
          <w:marLeft w:val="0"/>
          <w:marRight w:val="0"/>
          <w:marTop w:val="0"/>
          <w:marBottom w:val="0"/>
          <w:divBdr>
            <w:top w:val="none" w:sz="0" w:space="0" w:color="auto"/>
            <w:left w:val="none" w:sz="0" w:space="0" w:color="auto"/>
            <w:bottom w:val="none" w:sz="0" w:space="0" w:color="auto"/>
            <w:right w:val="none" w:sz="0" w:space="0" w:color="auto"/>
          </w:divBdr>
        </w:div>
      </w:divsChild>
    </w:div>
    <w:div w:id="768740109">
      <w:marLeft w:val="0"/>
      <w:marRight w:val="0"/>
      <w:marTop w:val="0"/>
      <w:marBottom w:val="160"/>
      <w:divBdr>
        <w:top w:val="none" w:sz="0" w:space="0" w:color="auto"/>
        <w:left w:val="none" w:sz="0" w:space="0" w:color="auto"/>
        <w:bottom w:val="none" w:sz="0" w:space="0" w:color="auto"/>
        <w:right w:val="none" w:sz="0" w:space="0" w:color="auto"/>
      </w:divBdr>
    </w:div>
    <w:div w:id="773673732">
      <w:marLeft w:val="0"/>
      <w:marRight w:val="0"/>
      <w:marTop w:val="0"/>
      <w:marBottom w:val="0"/>
      <w:divBdr>
        <w:top w:val="none" w:sz="0" w:space="0" w:color="auto"/>
        <w:left w:val="none" w:sz="0" w:space="0" w:color="auto"/>
        <w:bottom w:val="none" w:sz="0" w:space="0" w:color="auto"/>
        <w:right w:val="none" w:sz="0" w:space="0" w:color="auto"/>
      </w:divBdr>
      <w:divsChild>
        <w:div w:id="341587986">
          <w:marLeft w:val="0"/>
          <w:marRight w:val="0"/>
          <w:marTop w:val="0"/>
          <w:marBottom w:val="0"/>
          <w:divBdr>
            <w:top w:val="none" w:sz="0" w:space="0" w:color="auto"/>
            <w:left w:val="none" w:sz="0" w:space="0" w:color="auto"/>
            <w:bottom w:val="none" w:sz="0" w:space="0" w:color="auto"/>
            <w:right w:val="none" w:sz="0" w:space="0" w:color="auto"/>
          </w:divBdr>
          <w:divsChild>
            <w:div w:id="11360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4751">
      <w:marLeft w:val="0"/>
      <w:marRight w:val="0"/>
      <w:marTop w:val="0"/>
      <w:marBottom w:val="120"/>
      <w:divBdr>
        <w:top w:val="none" w:sz="0" w:space="0" w:color="auto"/>
        <w:left w:val="none" w:sz="0" w:space="0" w:color="auto"/>
        <w:bottom w:val="none" w:sz="0" w:space="0" w:color="auto"/>
        <w:right w:val="none" w:sz="0" w:space="0" w:color="auto"/>
      </w:divBdr>
    </w:div>
    <w:div w:id="780107063">
      <w:marLeft w:val="0"/>
      <w:marRight w:val="0"/>
      <w:marTop w:val="0"/>
      <w:marBottom w:val="0"/>
      <w:divBdr>
        <w:top w:val="none" w:sz="0" w:space="0" w:color="auto"/>
        <w:left w:val="none" w:sz="0" w:space="0" w:color="auto"/>
        <w:bottom w:val="none" w:sz="0" w:space="0" w:color="auto"/>
        <w:right w:val="none" w:sz="0" w:space="0" w:color="auto"/>
      </w:divBdr>
      <w:divsChild>
        <w:div w:id="1997222963">
          <w:marLeft w:val="0"/>
          <w:marRight w:val="0"/>
          <w:marTop w:val="0"/>
          <w:marBottom w:val="0"/>
          <w:divBdr>
            <w:top w:val="none" w:sz="0" w:space="0" w:color="auto"/>
            <w:left w:val="none" w:sz="0" w:space="0" w:color="auto"/>
            <w:bottom w:val="none" w:sz="0" w:space="0" w:color="auto"/>
            <w:right w:val="none" w:sz="0" w:space="0" w:color="auto"/>
          </w:divBdr>
        </w:div>
      </w:divsChild>
    </w:div>
    <w:div w:id="792602383">
      <w:marLeft w:val="0"/>
      <w:marRight w:val="0"/>
      <w:marTop w:val="300"/>
      <w:marBottom w:val="160"/>
      <w:divBdr>
        <w:top w:val="none" w:sz="0" w:space="0" w:color="auto"/>
        <w:left w:val="none" w:sz="0" w:space="0" w:color="auto"/>
        <w:bottom w:val="none" w:sz="0" w:space="0" w:color="auto"/>
        <w:right w:val="none" w:sz="0" w:space="0" w:color="auto"/>
      </w:divBdr>
    </w:div>
    <w:div w:id="815416822">
      <w:marLeft w:val="0"/>
      <w:marRight w:val="0"/>
      <w:marTop w:val="0"/>
      <w:marBottom w:val="120"/>
      <w:divBdr>
        <w:top w:val="none" w:sz="0" w:space="0" w:color="auto"/>
        <w:left w:val="none" w:sz="0" w:space="0" w:color="auto"/>
        <w:bottom w:val="none" w:sz="0" w:space="0" w:color="auto"/>
        <w:right w:val="none" w:sz="0" w:space="0" w:color="auto"/>
      </w:divBdr>
    </w:div>
    <w:div w:id="823816553">
      <w:marLeft w:val="0"/>
      <w:marRight w:val="0"/>
      <w:marTop w:val="0"/>
      <w:marBottom w:val="0"/>
      <w:divBdr>
        <w:top w:val="none" w:sz="0" w:space="0" w:color="auto"/>
        <w:left w:val="none" w:sz="0" w:space="0" w:color="auto"/>
        <w:bottom w:val="none" w:sz="0" w:space="0" w:color="auto"/>
        <w:right w:val="none" w:sz="0" w:space="0" w:color="auto"/>
      </w:divBdr>
      <w:divsChild>
        <w:div w:id="234975488">
          <w:marLeft w:val="0"/>
          <w:marRight w:val="0"/>
          <w:marTop w:val="0"/>
          <w:marBottom w:val="0"/>
          <w:divBdr>
            <w:top w:val="none" w:sz="0" w:space="0" w:color="auto"/>
            <w:left w:val="none" w:sz="0" w:space="0" w:color="auto"/>
            <w:bottom w:val="none" w:sz="0" w:space="0" w:color="auto"/>
            <w:right w:val="none" w:sz="0" w:space="0" w:color="auto"/>
          </w:divBdr>
        </w:div>
      </w:divsChild>
    </w:div>
    <w:div w:id="825828908">
      <w:marLeft w:val="0"/>
      <w:marRight w:val="0"/>
      <w:marTop w:val="0"/>
      <w:marBottom w:val="60"/>
      <w:divBdr>
        <w:top w:val="none" w:sz="0" w:space="0" w:color="auto"/>
        <w:left w:val="none" w:sz="0" w:space="0" w:color="auto"/>
        <w:bottom w:val="none" w:sz="0" w:space="0" w:color="auto"/>
        <w:right w:val="none" w:sz="0" w:space="0" w:color="auto"/>
      </w:divBdr>
    </w:div>
    <w:div w:id="846360892">
      <w:marLeft w:val="0"/>
      <w:marRight w:val="0"/>
      <w:marTop w:val="0"/>
      <w:marBottom w:val="0"/>
      <w:divBdr>
        <w:top w:val="none" w:sz="0" w:space="0" w:color="auto"/>
        <w:left w:val="none" w:sz="0" w:space="0" w:color="auto"/>
        <w:bottom w:val="none" w:sz="0" w:space="0" w:color="auto"/>
        <w:right w:val="none" w:sz="0" w:space="0" w:color="auto"/>
      </w:divBdr>
    </w:div>
    <w:div w:id="849414182">
      <w:marLeft w:val="0"/>
      <w:marRight w:val="0"/>
      <w:marTop w:val="0"/>
      <w:marBottom w:val="240"/>
      <w:divBdr>
        <w:top w:val="none" w:sz="0" w:space="0" w:color="auto"/>
        <w:left w:val="none" w:sz="0" w:space="0" w:color="auto"/>
        <w:bottom w:val="none" w:sz="0" w:space="0" w:color="auto"/>
        <w:right w:val="none" w:sz="0" w:space="0" w:color="auto"/>
      </w:divBdr>
    </w:div>
    <w:div w:id="855270661">
      <w:marLeft w:val="0"/>
      <w:marRight w:val="0"/>
      <w:marTop w:val="0"/>
      <w:marBottom w:val="0"/>
      <w:divBdr>
        <w:top w:val="none" w:sz="0" w:space="0" w:color="auto"/>
        <w:left w:val="none" w:sz="0" w:space="0" w:color="auto"/>
        <w:bottom w:val="none" w:sz="0" w:space="0" w:color="auto"/>
        <w:right w:val="none" w:sz="0" w:space="0" w:color="auto"/>
      </w:divBdr>
      <w:divsChild>
        <w:div w:id="1588154712">
          <w:marLeft w:val="0"/>
          <w:marRight w:val="0"/>
          <w:marTop w:val="0"/>
          <w:marBottom w:val="0"/>
          <w:divBdr>
            <w:top w:val="none" w:sz="0" w:space="0" w:color="auto"/>
            <w:left w:val="none" w:sz="0" w:space="0" w:color="auto"/>
            <w:bottom w:val="none" w:sz="0" w:space="0" w:color="auto"/>
            <w:right w:val="none" w:sz="0" w:space="0" w:color="auto"/>
          </w:divBdr>
        </w:div>
      </w:divsChild>
    </w:div>
    <w:div w:id="866409491">
      <w:marLeft w:val="0"/>
      <w:marRight w:val="0"/>
      <w:marTop w:val="0"/>
      <w:marBottom w:val="60"/>
      <w:divBdr>
        <w:top w:val="none" w:sz="0" w:space="0" w:color="auto"/>
        <w:left w:val="none" w:sz="0" w:space="0" w:color="auto"/>
        <w:bottom w:val="none" w:sz="0" w:space="0" w:color="auto"/>
        <w:right w:val="none" w:sz="0" w:space="0" w:color="auto"/>
      </w:divBdr>
    </w:div>
    <w:div w:id="873544251">
      <w:marLeft w:val="0"/>
      <w:marRight w:val="0"/>
      <w:marTop w:val="0"/>
      <w:marBottom w:val="0"/>
      <w:divBdr>
        <w:top w:val="none" w:sz="0" w:space="0" w:color="auto"/>
        <w:left w:val="none" w:sz="0" w:space="0" w:color="auto"/>
        <w:bottom w:val="none" w:sz="0" w:space="0" w:color="auto"/>
        <w:right w:val="none" w:sz="0" w:space="0" w:color="auto"/>
      </w:divBdr>
      <w:divsChild>
        <w:div w:id="575164436">
          <w:marLeft w:val="0"/>
          <w:marRight w:val="0"/>
          <w:marTop w:val="0"/>
          <w:marBottom w:val="0"/>
          <w:divBdr>
            <w:top w:val="none" w:sz="0" w:space="0" w:color="auto"/>
            <w:left w:val="none" w:sz="0" w:space="0" w:color="auto"/>
            <w:bottom w:val="none" w:sz="0" w:space="0" w:color="auto"/>
            <w:right w:val="none" w:sz="0" w:space="0" w:color="auto"/>
          </w:divBdr>
        </w:div>
      </w:divsChild>
    </w:div>
    <w:div w:id="877855371">
      <w:marLeft w:val="0"/>
      <w:marRight w:val="0"/>
      <w:marTop w:val="0"/>
      <w:marBottom w:val="0"/>
      <w:divBdr>
        <w:top w:val="none" w:sz="0" w:space="0" w:color="auto"/>
        <w:left w:val="none" w:sz="0" w:space="0" w:color="auto"/>
        <w:bottom w:val="none" w:sz="0" w:space="0" w:color="auto"/>
        <w:right w:val="none" w:sz="0" w:space="0" w:color="auto"/>
      </w:divBdr>
    </w:div>
    <w:div w:id="879898074">
      <w:marLeft w:val="0"/>
      <w:marRight w:val="0"/>
      <w:marTop w:val="0"/>
      <w:marBottom w:val="0"/>
      <w:divBdr>
        <w:top w:val="none" w:sz="0" w:space="0" w:color="auto"/>
        <w:left w:val="none" w:sz="0" w:space="0" w:color="auto"/>
        <w:bottom w:val="none" w:sz="0" w:space="0" w:color="auto"/>
        <w:right w:val="none" w:sz="0" w:space="0" w:color="auto"/>
      </w:divBdr>
      <w:divsChild>
        <w:div w:id="1761632901">
          <w:marLeft w:val="0"/>
          <w:marRight w:val="0"/>
          <w:marTop w:val="0"/>
          <w:marBottom w:val="0"/>
          <w:divBdr>
            <w:top w:val="none" w:sz="0" w:space="0" w:color="auto"/>
            <w:left w:val="none" w:sz="0" w:space="0" w:color="auto"/>
            <w:bottom w:val="none" w:sz="0" w:space="0" w:color="auto"/>
            <w:right w:val="none" w:sz="0" w:space="0" w:color="auto"/>
          </w:divBdr>
        </w:div>
      </w:divsChild>
    </w:div>
    <w:div w:id="892425538">
      <w:marLeft w:val="0"/>
      <w:marRight w:val="0"/>
      <w:marTop w:val="0"/>
      <w:marBottom w:val="240"/>
      <w:divBdr>
        <w:top w:val="none" w:sz="0" w:space="0" w:color="auto"/>
        <w:left w:val="none" w:sz="0" w:space="0" w:color="auto"/>
        <w:bottom w:val="none" w:sz="0" w:space="0" w:color="auto"/>
        <w:right w:val="none" w:sz="0" w:space="0" w:color="auto"/>
      </w:divBdr>
    </w:div>
    <w:div w:id="898629996">
      <w:marLeft w:val="0"/>
      <w:marRight w:val="0"/>
      <w:marTop w:val="0"/>
      <w:marBottom w:val="0"/>
      <w:divBdr>
        <w:top w:val="none" w:sz="0" w:space="0" w:color="auto"/>
        <w:left w:val="none" w:sz="0" w:space="0" w:color="auto"/>
        <w:bottom w:val="none" w:sz="0" w:space="0" w:color="auto"/>
        <w:right w:val="none" w:sz="0" w:space="0" w:color="auto"/>
      </w:divBdr>
      <w:divsChild>
        <w:div w:id="2044938346">
          <w:marLeft w:val="0"/>
          <w:marRight w:val="0"/>
          <w:marTop w:val="0"/>
          <w:marBottom w:val="0"/>
          <w:divBdr>
            <w:top w:val="none" w:sz="0" w:space="0" w:color="auto"/>
            <w:left w:val="none" w:sz="0" w:space="0" w:color="auto"/>
            <w:bottom w:val="none" w:sz="0" w:space="0" w:color="auto"/>
            <w:right w:val="none" w:sz="0" w:space="0" w:color="auto"/>
          </w:divBdr>
        </w:div>
      </w:divsChild>
    </w:div>
    <w:div w:id="903564459">
      <w:marLeft w:val="0"/>
      <w:marRight w:val="0"/>
      <w:marTop w:val="0"/>
      <w:marBottom w:val="0"/>
      <w:divBdr>
        <w:top w:val="none" w:sz="0" w:space="0" w:color="auto"/>
        <w:left w:val="none" w:sz="0" w:space="0" w:color="auto"/>
        <w:bottom w:val="none" w:sz="0" w:space="0" w:color="auto"/>
        <w:right w:val="none" w:sz="0" w:space="0" w:color="auto"/>
      </w:divBdr>
      <w:divsChild>
        <w:div w:id="321782779">
          <w:marLeft w:val="0"/>
          <w:marRight w:val="0"/>
          <w:marTop w:val="0"/>
          <w:marBottom w:val="0"/>
          <w:divBdr>
            <w:top w:val="none" w:sz="0" w:space="0" w:color="auto"/>
            <w:left w:val="none" w:sz="0" w:space="0" w:color="auto"/>
            <w:bottom w:val="none" w:sz="0" w:space="0" w:color="auto"/>
            <w:right w:val="none" w:sz="0" w:space="0" w:color="auto"/>
          </w:divBdr>
        </w:div>
      </w:divsChild>
    </w:div>
    <w:div w:id="905187852">
      <w:marLeft w:val="0"/>
      <w:marRight w:val="0"/>
      <w:marTop w:val="0"/>
      <w:marBottom w:val="0"/>
      <w:divBdr>
        <w:top w:val="none" w:sz="0" w:space="0" w:color="auto"/>
        <w:left w:val="none" w:sz="0" w:space="0" w:color="auto"/>
        <w:bottom w:val="none" w:sz="0" w:space="0" w:color="auto"/>
        <w:right w:val="none" w:sz="0" w:space="0" w:color="auto"/>
      </w:divBdr>
      <w:divsChild>
        <w:div w:id="1194658017">
          <w:marLeft w:val="0"/>
          <w:marRight w:val="0"/>
          <w:marTop w:val="0"/>
          <w:marBottom w:val="0"/>
          <w:divBdr>
            <w:top w:val="none" w:sz="0" w:space="0" w:color="auto"/>
            <w:left w:val="none" w:sz="0" w:space="0" w:color="auto"/>
            <w:bottom w:val="none" w:sz="0" w:space="0" w:color="auto"/>
            <w:right w:val="none" w:sz="0" w:space="0" w:color="auto"/>
          </w:divBdr>
        </w:div>
      </w:divsChild>
    </w:div>
    <w:div w:id="909465694">
      <w:marLeft w:val="0"/>
      <w:marRight w:val="0"/>
      <w:marTop w:val="0"/>
      <w:marBottom w:val="120"/>
      <w:divBdr>
        <w:top w:val="none" w:sz="0" w:space="0" w:color="auto"/>
        <w:left w:val="none" w:sz="0" w:space="0" w:color="auto"/>
        <w:bottom w:val="none" w:sz="0" w:space="0" w:color="auto"/>
        <w:right w:val="none" w:sz="0" w:space="0" w:color="auto"/>
      </w:divBdr>
    </w:div>
    <w:div w:id="916325924">
      <w:marLeft w:val="0"/>
      <w:marRight w:val="0"/>
      <w:marTop w:val="240"/>
      <w:marBottom w:val="0"/>
      <w:divBdr>
        <w:top w:val="none" w:sz="0" w:space="0" w:color="auto"/>
        <w:left w:val="none" w:sz="0" w:space="0" w:color="auto"/>
        <w:bottom w:val="none" w:sz="0" w:space="0" w:color="auto"/>
        <w:right w:val="none" w:sz="0" w:space="0" w:color="auto"/>
      </w:divBdr>
    </w:div>
    <w:div w:id="919607708">
      <w:marLeft w:val="0"/>
      <w:marRight w:val="0"/>
      <w:marTop w:val="0"/>
      <w:marBottom w:val="0"/>
      <w:divBdr>
        <w:top w:val="none" w:sz="0" w:space="0" w:color="auto"/>
        <w:left w:val="none" w:sz="0" w:space="0" w:color="auto"/>
        <w:bottom w:val="none" w:sz="0" w:space="0" w:color="auto"/>
        <w:right w:val="none" w:sz="0" w:space="0" w:color="auto"/>
      </w:divBdr>
      <w:divsChild>
        <w:div w:id="131212729">
          <w:marLeft w:val="0"/>
          <w:marRight w:val="0"/>
          <w:marTop w:val="0"/>
          <w:marBottom w:val="0"/>
          <w:divBdr>
            <w:top w:val="none" w:sz="0" w:space="0" w:color="auto"/>
            <w:left w:val="none" w:sz="0" w:space="0" w:color="auto"/>
            <w:bottom w:val="none" w:sz="0" w:space="0" w:color="auto"/>
            <w:right w:val="none" w:sz="0" w:space="0" w:color="auto"/>
          </w:divBdr>
          <w:divsChild>
            <w:div w:id="3483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0658">
      <w:marLeft w:val="0"/>
      <w:marRight w:val="0"/>
      <w:marTop w:val="0"/>
      <w:marBottom w:val="0"/>
      <w:divBdr>
        <w:top w:val="none" w:sz="0" w:space="0" w:color="auto"/>
        <w:left w:val="none" w:sz="0" w:space="0" w:color="auto"/>
        <w:bottom w:val="none" w:sz="0" w:space="0" w:color="auto"/>
        <w:right w:val="none" w:sz="0" w:space="0" w:color="auto"/>
      </w:divBdr>
    </w:div>
    <w:div w:id="927424116">
      <w:marLeft w:val="0"/>
      <w:marRight w:val="0"/>
      <w:marTop w:val="0"/>
      <w:marBottom w:val="0"/>
      <w:divBdr>
        <w:top w:val="none" w:sz="0" w:space="0" w:color="auto"/>
        <w:left w:val="none" w:sz="0" w:space="0" w:color="auto"/>
        <w:bottom w:val="none" w:sz="0" w:space="0" w:color="auto"/>
        <w:right w:val="none" w:sz="0" w:space="0" w:color="auto"/>
      </w:divBdr>
    </w:div>
    <w:div w:id="927807743">
      <w:marLeft w:val="0"/>
      <w:marRight w:val="0"/>
      <w:marTop w:val="0"/>
      <w:marBottom w:val="120"/>
      <w:divBdr>
        <w:top w:val="none" w:sz="0" w:space="0" w:color="auto"/>
        <w:left w:val="none" w:sz="0" w:space="0" w:color="auto"/>
        <w:bottom w:val="none" w:sz="0" w:space="0" w:color="auto"/>
        <w:right w:val="none" w:sz="0" w:space="0" w:color="auto"/>
      </w:divBdr>
    </w:div>
    <w:div w:id="931665354">
      <w:marLeft w:val="0"/>
      <w:marRight w:val="0"/>
      <w:marTop w:val="0"/>
      <w:marBottom w:val="0"/>
      <w:divBdr>
        <w:top w:val="none" w:sz="0" w:space="0" w:color="auto"/>
        <w:left w:val="none" w:sz="0" w:space="0" w:color="auto"/>
        <w:bottom w:val="none" w:sz="0" w:space="0" w:color="auto"/>
        <w:right w:val="none" w:sz="0" w:space="0" w:color="auto"/>
      </w:divBdr>
    </w:div>
    <w:div w:id="940914622">
      <w:marLeft w:val="0"/>
      <w:marRight w:val="0"/>
      <w:marTop w:val="0"/>
      <w:marBottom w:val="0"/>
      <w:divBdr>
        <w:top w:val="none" w:sz="0" w:space="0" w:color="auto"/>
        <w:left w:val="none" w:sz="0" w:space="0" w:color="auto"/>
        <w:bottom w:val="none" w:sz="0" w:space="0" w:color="auto"/>
        <w:right w:val="none" w:sz="0" w:space="0" w:color="auto"/>
      </w:divBdr>
      <w:divsChild>
        <w:div w:id="1408113447">
          <w:marLeft w:val="0"/>
          <w:marRight w:val="0"/>
          <w:marTop w:val="0"/>
          <w:marBottom w:val="0"/>
          <w:divBdr>
            <w:top w:val="none" w:sz="0" w:space="0" w:color="auto"/>
            <w:left w:val="none" w:sz="0" w:space="0" w:color="auto"/>
            <w:bottom w:val="none" w:sz="0" w:space="0" w:color="auto"/>
            <w:right w:val="none" w:sz="0" w:space="0" w:color="auto"/>
          </w:divBdr>
        </w:div>
      </w:divsChild>
    </w:div>
    <w:div w:id="941646328">
      <w:marLeft w:val="0"/>
      <w:marRight w:val="0"/>
      <w:marTop w:val="0"/>
      <w:marBottom w:val="120"/>
      <w:divBdr>
        <w:top w:val="none" w:sz="0" w:space="0" w:color="auto"/>
        <w:left w:val="none" w:sz="0" w:space="0" w:color="auto"/>
        <w:bottom w:val="none" w:sz="0" w:space="0" w:color="auto"/>
        <w:right w:val="none" w:sz="0" w:space="0" w:color="auto"/>
      </w:divBdr>
    </w:div>
    <w:div w:id="968365545">
      <w:marLeft w:val="0"/>
      <w:marRight w:val="0"/>
      <w:marTop w:val="0"/>
      <w:marBottom w:val="0"/>
      <w:divBdr>
        <w:top w:val="none" w:sz="0" w:space="0" w:color="auto"/>
        <w:left w:val="none" w:sz="0" w:space="0" w:color="auto"/>
        <w:bottom w:val="none" w:sz="0" w:space="0" w:color="auto"/>
        <w:right w:val="none" w:sz="0" w:space="0" w:color="auto"/>
      </w:divBdr>
      <w:divsChild>
        <w:div w:id="576287507">
          <w:marLeft w:val="0"/>
          <w:marRight w:val="0"/>
          <w:marTop w:val="0"/>
          <w:marBottom w:val="0"/>
          <w:divBdr>
            <w:top w:val="none" w:sz="0" w:space="0" w:color="auto"/>
            <w:left w:val="none" w:sz="0" w:space="0" w:color="auto"/>
            <w:bottom w:val="none" w:sz="0" w:space="0" w:color="auto"/>
            <w:right w:val="none" w:sz="0" w:space="0" w:color="auto"/>
          </w:divBdr>
        </w:div>
      </w:divsChild>
    </w:div>
    <w:div w:id="996228086">
      <w:marLeft w:val="0"/>
      <w:marRight w:val="0"/>
      <w:marTop w:val="0"/>
      <w:marBottom w:val="240"/>
      <w:divBdr>
        <w:top w:val="none" w:sz="0" w:space="0" w:color="auto"/>
        <w:left w:val="none" w:sz="0" w:space="0" w:color="auto"/>
        <w:bottom w:val="none" w:sz="0" w:space="0" w:color="auto"/>
        <w:right w:val="none" w:sz="0" w:space="0" w:color="auto"/>
      </w:divBdr>
    </w:div>
    <w:div w:id="1000422724">
      <w:marLeft w:val="0"/>
      <w:marRight w:val="0"/>
      <w:marTop w:val="0"/>
      <w:marBottom w:val="120"/>
      <w:divBdr>
        <w:top w:val="none" w:sz="0" w:space="0" w:color="auto"/>
        <w:left w:val="none" w:sz="0" w:space="0" w:color="auto"/>
        <w:bottom w:val="none" w:sz="0" w:space="0" w:color="auto"/>
        <w:right w:val="none" w:sz="0" w:space="0" w:color="auto"/>
      </w:divBdr>
    </w:div>
    <w:div w:id="1003164371">
      <w:marLeft w:val="0"/>
      <w:marRight w:val="0"/>
      <w:marTop w:val="0"/>
      <w:marBottom w:val="0"/>
      <w:divBdr>
        <w:top w:val="none" w:sz="0" w:space="0" w:color="auto"/>
        <w:left w:val="none" w:sz="0" w:space="0" w:color="auto"/>
        <w:bottom w:val="none" w:sz="0" w:space="0" w:color="auto"/>
        <w:right w:val="none" w:sz="0" w:space="0" w:color="auto"/>
      </w:divBdr>
    </w:div>
    <w:div w:id="1003362268">
      <w:marLeft w:val="0"/>
      <w:marRight w:val="0"/>
      <w:marTop w:val="120"/>
      <w:marBottom w:val="0"/>
      <w:divBdr>
        <w:top w:val="none" w:sz="0" w:space="0" w:color="auto"/>
        <w:left w:val="none" w:sz="0" w:space="0" w:color="auto"/>
        <w:bottom w:val="none" w:sz="0" w:space="0" w:color="auto"/>
        <w:right w:val="none" w:sz="0" w:space="0" w:color="auto"/>
      </w:divBdr>
    </w:div>
    <w:div w:id="1005401231">
      <w:marLeft w:val="0"/>
      <w:marRight w:val="0"/>
      <w:marTop w:val="0"/>
      <w:marBottom w:val="0"/>
      <w:divBdr>
        <w:top w:val="none" w:sz="0" w:space="0" w:color="auto"/>
        <w:left w:val="none" w:sz="0" w:space="0" w:color="auto"/>
        <w:bottom w:val="none" w:sz="0" w:space="0" w:color="auto"/>
        <w:right w:val="none" w:sz="0" w:space="0" w:color="auto"/>
      </w:divBdr>
    </w:div>
    <w:div w:id="1010529305">
      <w:marLeft w:val="0"/>
      <w:marRight w:val="0"/>
      <w:marTop w:val="0"/>
      <w:marBottom w:val="60"/>
      <w:divBdr>
        <w:top w:val="none" w:sz="0" w:space="0" w:color="auto"/>
        <w:left w:val="none" w:sz="0" w:space="0" w:color="auto"/>
        <w:bottom w:val="none" w:sz="0" w:space="0" w:color="auto"/>
        <w:right w:val="none" w:sz="0" w:space="0" w:color="auto"/>
      </w:divBdr>
    </w:div>
    <w:div w:id="1011180934">
      <w:marLeft w:val="0"/>
      <w:marRight w:val="0"/>
      <w:marTop w:val="0"/>
      <w:marBottom w:val="0"/>
      <w:divBdr>
        <w:top w:val="none" w:sz="0" w:space="0" w:color="auto"/>
        <w:left w:val="none" w:sz="0" w:space="0" w:color="auto"/>
        <w:bottom w:val="none" w:sz="0" w:space="0" w:color="auto"/>
        <w:right w:val="none" w:sz="0" w:space="0" w:color="auto"/>
      </w:divBdr>
    </w:div>
    <w:div w:id="1011491146">
      <w:marLeft w:val="0"/>
      <w:marRight w:val="0"/>
      <w:marTop w:val="0"/>
      <w:marBottom w:val="0"/>
      <w:divBdr>
        <w:top w:val="none" w:sz="0" w:space="0" w:color="auto"/>
        <w:left w:val="none" w:sz="0" w:space="0" w:color="auto"/>
        <w:bottom w:val="none" w:sz="0" w:space="0" w:color="auto"/>
        <w:right w:val="none" w:sz="0" w:space="0" w:color="auto"/>
      </w:divBdr>
    </w:div>
    <w:div w:id="1015887483">
      <w:marLeft w:val="0"/>
      <w:marRight w:val="0"/>
      <w:marTop w:val="0"/>
      <w:marBottom w:val="0"/>
      <w:divBdr>
        <w:top w:val="none" w:sz="0" w:space="0" w:color="auto"/>
        <w:left w:val="none" w:sz="0" w:space="0" w:color="auto"/>
        <w:bottom w:val="none" w:sz="0" w:space="0" w:color="auto"/>
        <w:right w:val="none" w:sz="0" w:space="0" w:color="auto"/>
      </w:divBdr>
    </w:div>
    <w:div w:id="1021278694">
      <w:marLeft w:val="0"/>
      <w:marRight w:val="0"/>
      <w:marTop w:val="0"/>
      <w:marBottom w:val="0"/>
      <w:divBdr>
        <w:top w:val="none" w:sz="0" w:space="0" w:color="auto"/>
        <w:left w:val="none" w:sz="0" w:space="0" w:color="auto"/>
        <w:bottom w:val="none" w:sz="0" w:space="0" w:color="auto"/>
        <w:right w:val="none" w:sz="0" w:space="0" w:color="auto"/>
      </w:divBdr>
      <w:divsChild>
        <w:div w:id="1354378758">
          <w:marLeft w:val="0"/>
          <w:marRight w:val="0"/>
          <w:marTop w:val="0"/>
          <w:marBottom w:val="0"/>
          <w:divBdr>
            <w:top w:val="none" w:sz="0" w:space="0" w:color="auto"/>
            <w:left w:val="none" w:sz="0" w:space="0" w:color="auto"/>
            <w:bottom w:val="none" w:sz="0" w:space="0" w:color="auto"/>
            <w:right w:val="none" w:sz="0" w:space="0" w:color="auto"/>
          </w:divBdr>
        </w:div>
      </w:divsChild>
    </w:div>
    <w:div w:id="1022896236">
      <w:marLeft w:val="0"/>
      <w:marRight w:val="0"/>
      <w:marTop w:val="0"/>
      <w:marBottom w:val="0"/>
      <w:divBdr>
        <w:top w:val="none" w:sz="0" w:space="0" w:color="auto"/>
        <w:left w:val="none" w:sz="0" w:space="0" w:color="auto"/>
        <w:bottom w:val="none" w:sz="0" w:space="0" w:color="auto"/>
        <w:right w:val="none" w:sz="0" w:space="0" w:color="auto"/>
      </w:divBdr>
      <w:divsChild>
        <w:div w:id="32463299">
          <w:marLeft w:val="0"/>
          <w:marRight w:val="0"/>
          <w:marTop w:val="0"/>
          <w:marBottom w:val="0"/>
          <w:divBdr>
            <w:top w:val="none" w:sz="0" w:space="0" w:color="auto"/>
            <w:left w:val="none" w:sz="0" w:space="0" w:color="auto"/>
            <w:bottom w:val="none" w:sz="0" w:space="0" w:color="auto"/>
            <w:right w:val="none" w:sz="0" w:space="0" w:color="auto"/>
          </w:divBdr>
        </w:div>
      </w:divsChild>
    </w:div>
    <w:div w:id="1023896762">
      <w:marLeft w:val="0"/>
      <w:marRight w:val="0"/>
      <w:marTop w:val="0"/>
      <w:marBottom w:val="240"/>
      <w:divBdr>
        <w:top w:val="none" w:sz="0" w:space="0" w:color="auto"/>
        <w:left w:val="none" w:sz="0" w:space="0" w:color="auto"/>
        <w:bottom w:val="none" w:sz="0" w:space="0" w:color="auto"/>
        <w:right w:val="none" w:sz="0" w:space="0" w:color="auto"/>
      </w:divBdr>
    </w:div>
    <w:div w:id="1026176049">
      <w:marLeft w:val="0"/>
      <w:marRight w:val="0"/>
      <w:marTop w:val="0"/>
      <w:marBottom w:val="120"/>
      <w:divBdr>
        <w:top w:val="none" w:sz="0" w:space="0" w:color="auto"/>
        <w:left w:val="none" w:sz="0" w:space="0" w:color="auto"/>
        <w:bottom w:val="none" w:sz="0" w:space="0" w:color="auto"/>
        <w:right w:val="none" w:sz="0" w:space="0" w:color="auto"/>
      </w:divBdr>
    </w:div>
    <w:div w:id="1034499400">
      <w:marLeft w:val="0"/>
      <w:marRight w:val="0"/>
      <w:marTop w:val="0"/>
      <w:marBottom w:val="0"/>
      <w:divBdr>
        <w:top w:val="none" w:sz="0" w:space="0" w:color="auto"/>
        <w:left w:val="none" w:sz="0" w:space="0" w:color="auto"/>
        <w:bottom w:val="none" w:sz="0" w:space="0" w:color="auto"/>
        <w:right w:val="none" w:sz="0" w:space="0" w:color="auto"/>
      </w:divBdr>
      <w:divsChild>
        <w:div w:id="737703983">
          <w:marLeft w:val="0"/>
          <w:marRight w:val="0"/>
          <w:marTop w:val="0"/>
          <w:marBottom w:val="0"/>
          <w:divBdr>
            <w:top w:val="none" w:sz="0" w:space="0" w:color="auto"/>
            <w:left w:val="none" w:sz="0" w:space="0" w:color="auto"/>
            <w:bottom w:val="none" w:sz="0" w:space="0" w:color="auto"/>
            <w:right w:val="none" w:sz="0" w:space="0" w:color="auto"/>
          </w:divBdr>
        </w:div>
      </w:divsChild>
    </w:div>
    <w:div w:id="1035538465">
      <w:marLeft w:val="0"/>
      <w:marRight w:val="0"/>
      <w:marTop w:val="0"/>
      <w:marBottom w:val="0"/>
      <w:divBdr>
        <w:top w:val="none" w:sz="0" w:space="0" w:color="auto"/>
        <w:left w:val="none" w:sz="0" w:space="0" w:color="auto"/>
        <w:bottom w:val="none" w:sz="0" w:space="0" w:color="auto"/>
        <w:right w:val="none" w:sz="0" w:space="0" w:color="auto"/>
      </w:divBdr>
      <w:divsChild>
        <w:div w:id="1014695985">
          <w:marLeft w:val="0"/>
          <w:marRight w:val="0"/>
          <w:marTop w:val="0"/>
          <w:marBottom w:val="0"/>
          <w:divBdr>
            <w:top w:val="none" w:sz="0" w:space="0" w:color="auto"/>
            <w:left w:val="none" w:sz="0" w:space="0" w:color="auto"/>
            <w:bottom w:val="none" w:sz="0" w:space="0" w:color="auto"/>
            <w:right w:val="none" w:sz="0" w:space="0" w:color="auto"/>
          </w:divBdr>
        </w:div>
      </w:divsChild>
    </w:div>
    <w:div w:id="1059355059">
      <w:marLeft w:val="0"/>
      <w:marRight w:val="0"/>
      <w:marTop w:val="0"/>
      <w:marBottom w:val="0"/>
      <w:divBdr>
        <w:top w:val="none" w:sz="0" w:space="0" w:color="auto"/>
        <w:left w:val="none" w:sz="0" w:space="0" w:color="auto"/>
        <w:bottom w:val="none" w:sz="0" w:space="0" w:color="auto"/>
        <w:right w:val="none" w:sz="0" w:space="0" w:color="auto"/>
      </w:divBdr>
    </w:div>
    <w:div w:id="1069421746">
      <w:marLeft w:val="0"/>
      <w:marRight w:val="0"/>
      <w:marTop w:val="0"/>
      <w:marBottom w:val="240"/>
      <w:divBdr>
        <w:top w:val="none" w:sz="0" w:space="0" w:color="auto"/>
        <w:left w:val="none" w:sz="0" w:space="0" w:color="auto"/>
        <w:bottom w:val="none" w:sz="0" w:space="0" w:color="auto"/>
        <w:right w:val="none" w:sz="0" w:space="0" w:color="auto"/>
      </w:divBdr>
    </w:div>
    <w:div w:id="1069617954">
      <w:marLeft w:val="0"/>
      <w:marRight w:val="0"/>
      <w:marTop w:val="0"/>
      <w:marBottom w:val="0"/>
      <w:divBdr>
        <w:top w:val="none" w:sz="0" w:space="0" w:color="auto"/>
        <w:left w:val="none" w:sz="0" w:space="0" w:color="auto"/>
        <w:bottom w:val="none" w:sz="0" w:space="0" w:color="auto"/>
        <w:right w:val="none" w:sz="0" w:space="0" w:color="auto"/>
      </w:divBdr>
    </w:div>
    <w:div w:id="1077171393">
      <w:marLeft w:val="0"/>
      <w:marRight w:val="0"/>
      <w:marTop w:val="0"/>
      <w:marBottom w:val="60"/>
      <w:divBdr>
        <w:top w:val="none" w:sz="0" w:space="0" w:color="auto"/>
        <w:left w:val="none" w:sz="0" w:space="0" w:color="auto"/>
        <w:bottom w:val="none" w:sz="0" w:space="0" w:color="auto"/>
        <w:right w:val="none" w:sz="0" w:space="0" w:color="auto"/>
      </w:divBdr>
    </w:div>
    <w:div w:id="1081677368">
      <w:marLeft w:val="0"/>
      <w:marRight w:val="0"/>
      <w:marTop w:val="0"/>
      <w:marBottom w:val="0"/>
      <w:divBdr>
        <w:top w:val="none" w:sz="0" w:space="0" w:color="auto"/>
        <w:left w:val="none" w:sz="0" w:space="0" w:color="auto"/>
        <w:bottom w:val="none" w:sz="0" w:space="0" w:color="auto"/>
        <w:right w:val="none" w:sz="0" w:space="0" w:color="auto"/>
      </w:divBdr>
      <w:divsChild>
        <w:div w:id="341006420">
          <w:marLeft w:val="0"/>
          <w:marRight w:val="0"/>
          <w:marTop w:val="0"/>
          <w:marBottom w:val="0"/>
          <w:divBdr>
            <w:top w:val="none" w:sz="0" w:space="0" w:color="auto"/>
            <w:left w:val="none" w:sz="0" w:space="0" w:color="auto"/>
            <w:bottom w:val="none" w:sz="0" w:space="0" w:color="auto"/>
            <w:right w:val="none" w:sz="0" w:space="0" w:color="auto"/>
          </w:divBdr>
        </w:div>
      </w:divsChild>
    </w:div>
    <w:div w:id="1108893015">
      <w:marLeft w:val="0"/>
      <w:marRight w:val="0"/>
      <w:marTop w:val="0"/>
      <w:marBottom w:val="0"/>
      <w:divBdr>
        <w:top w:val="none" w:sz="0" w:space="0" w:color="auto"/>
        <w:left w:val="none" w:sz="0" w:space="0" w:color="auto"/>
        <w:bottom w:val="none" w:sz="0" w:space="0" w:color="auto"/>
        <w:right w:val="none" w:sz="0" w:space="0" w:color="auto"/>
      </w:divBdr>
      <w:divsChild>
        <w:div w:id="765929563">
          <w:marLeft w:val="0"/>
          <w:marRight w:val="0"/>
          <w:marTop w:val="0"/>
          <w:marBottom w:val="0"/>
          <w:divBdr>
            <w:top w:val="none" w:sz="0" w:space="0" w:color="auto"/>
            <w:left w:val="none" w:sz="0" w:space="0" w:color="auto"/>
            <w:bottom w:val="none" w:sz="0" w:space="0" w:color="auto"/>
            <w:right w:val="none" w:sz="0" w:space="0" w:color="auto"/>
          </w:divBdr>
        </w:div>
      </w:divsChild>
    </w:div>
    <w:div w:id="1109550520">
      <w:marLeft w:val="0"/>
      <w:marRight w:val="0"/>
      <w:marTop w:val="300"/>
      <w:marBottom w:val="0"/>
      <w:divBdr>
        <w:top w:val="none" w:sz="0" w:space="0" w:color="auto"/>
        <w:left w:val="none" w:sz="0" w:space="0" w:color="auto"/>
        <w:bottom w:val="none" w:sz="0" w:space="0" w:color="auto"/>
        <w:right w:val="none" w:sz="0" w:space="0" w:color="auto"/>
      </w:divBdr>
    </w:div>
    <w:div w:id="1122385169">
      <w:marLeft w:val="0"/>
      <w:marRight w:val="0"/>
      <w:marTop w:val="0"/>
      <w:marBottom w:val="240"/>
      <w:divBdr>
        <w:top w:val="none" w:sz="0" w:space="0" w:color="auto"/>
        <w:left w:val="none" w:sz="0" w:space="0" w:color="auto"/>
        <w:bottom w:val="none" w:sz="0" w:space="0" w:color="auto"/>
        <w:right w:val="none" w:sz="0" w:space="0" w:color="auto"/>
      </w:divBdr>
    </w:div>
    <w:div w:id="1126049571">
      <w:marLeft w:val="0"/>
      <w:marRight w:val="0"/>
      <w:marTop w:val="0"/>
      <w:marBottom w:val="0"/>
      <w:divBdr>
        <w:top w:val="none" w:sz="0" w:space="0" w:color="auto"/>
        <w:left w:val="none" w:sz="0" w:space="0" w:color="auto"/>
        <w:bottom w:val="none" w:sz="0" w:space="0" w:color="auto"/>
        <w:right w:val="none" w:sz="0" w:space="0" w:color="auto"/>
      </w:divBdr>
      <w:divsChild>
        <w:div w:id="1157720313">
          <w:marLeft w:val="0"/>
          <w:marRight w:val="0"/>
          <w:marTop w:val="0"/>
          <w:marBottom w:val="0"/>
          <w:divBdr>
            <w:top w:val="none" w:sz="0" w:space="0" w:color="auto"/>
            <w:left w:val="none" w:sz="0" w:space="0" w:color="auto"/>
            <w:bottom w:val="none" w:sz="0" w:space="0" w:color="auto"/>
            <w:right w:val="none" w:sz="0" w:space="0" w:color="auto"/>
          </w:divBdr>
        </w:div>
      </w:divsChild>
    </w:div>
    <w:div w:id="1137260989">
      <w:marLeft w:val="0"/>
      <w:marRight w:val="0"/>
      <w:marTop w:val="0"/>
      <w:marBottom w:val="0"/>
      <w:divBdr>
        <w:top w:val="none" w:sz="0" w:space="0" w:color="auto"/>
        <w:left w:val="none" w:sz="0" w:space="0" w:color="auto"/>
        <w:bottom w:val="none" w:sz="0" w:space="0" w:color="auto"/>
        <w:right w:val="none" w:sz="0" w:space="0" w:color="auto"/>
      </w:divBdr>
      <w:divsChild>
        <w:div w:id="1165709319">
          <w:marLeft w:val="0"/>
          <w:marRight w:val="0"/>
          <w:marTop w:val="0"/>
          <w:marBottom w:val="0"/>
          <w:divBdr>
            <w:top w:val="none" w:sz="0" w:space="0" w:color="auto"/>
            <w:left w:val="none" w:sz="0" w:space="0" w:color="auto"/>
            <w:bottom w:val="none" w:sz="0" w:space="0" w:color="auto"/>
            <w:right w:val="none" w:sz="0" w:space="0" w:color="auto"/>
          </w:divBdr>
        </w:div>
      </w:divsChild>
    </w:div>
    <w:div w:id="1160541295">
      <w:marLeft w:val="0"/>
      <w:marRight w:val="0"/>
      <w:marTop w:val="0"/>
      <w:marBottom w:val="0"/>
      <w:divBdr>
        <w:top w:val="none" w:sz="0" w:space="0" w:color="auto"/>
        <w:left w:val="none" w:sz="0" w:space="0" w:color="auto"/>
        <w:bottom w:val="none" w:sz="0" w:space="0" w:color="auto"/>
        <w:right w:val="none" w:sz="0" w:space="0" w:color="auto"/>
      </w:divBdr>
      <w:divsChild>
        <w:div w:id="9450995">
          <w:marLeft w:val="0"/>
          <w:marRight w:val="0"/>
          <w:marTop w:val="0"/>
          <w:marBottom w:val="0"/>
          <w:divBdr>
            <w:top w:val="none" w:sz="0" w:space="0" w:color="auto"/>
            <w:left w:val="none" w:sz="0" w:space="0" w:color="auto"/>
            <w:bottom w:val="none" w:sz="0" w:space="0" w:color="auto"/>
            <w:right w:val="none" w:sz="0" w:space="0" w:color="auto"/>
          </w:divBdr>
        </w:div>
      </w:divsChild>
    </w:div>
    <w:div w:id="1185248974">
      <w:marLeft w:val="0"/>
      <w:marRight w:val="0"/>
      <w:marTop w:val="0"/>
      <w:marBottom w:val="0"/>
      <w:divBdr>
        <w:top w:val="none" w:sz="0" w:space="0" w:color="auto"/>
        <w:left w:val="none" w:sz="0" w:space="0" w:color="auto"/>
        <w:bottom w:val="none" w:sz="0" w:space="0" w:color="auto"/>
        <w:right w:val="none" w:sz="0" w:space="0" w:color="auto"/>
      </w:divBdr>
      <w:divsChild>
        <w:div w:id="421923622">
          <w:marLeft w:val="0"/>
          <w:marRight w:val="0"/>
          <w:marTop w:val="0"/>
          <w:marBottom w:val="0"/>
          <w:divBdr>
            <w:top w:val="none" w:sz="0" w:space="0" w:color="auto"/>
            <w:left w:val="none" w:sz="0" w:space="0" w:color="auto"/>
            <w:bottom w:val="none" w:sz="0" w:space="0" w:color="auto"/>
            <w:right w:val="none" w:sz="0" w:space="0" w:color="auto"/>
          </w:divBdr>
        </w:div>
      </w:divsChild>
    </w:div>
    <w:div w:id="1188446042">
      <w:marLeft w:val="0"/>
      <w:marRight w:val="0"/>
      <w:marTop w:val="0"/>
      <w:marBottom w:val="0"/>
      <w:divBdr>
        <w:top w:val="none" w:sz="0" w:space="0" w:color="auto"/>
        <w:left w:val="none" w:sz="0" w:space="0" w:color="auto"/>
        <w:bottom w:val="none" w:sz="0" w:space="0" w:color="auto"/>
        <w:right w:val="none" w:sz="0" w:space="0" w:color="auto"/>
      </w:divBdr>
      <w:divsChild>
        <w:div w:id="1774547624">
          <w:marLeft w:val="0"/>
          <w:marRight w:val="0"/>
          <w:marTop w:val="0"/>
          <w:marBottom w:val="0"/>
          <w:divBdr>
            <w:top w:val="none" w:sz="0" w:space="0" w:color="auto"/>
            <w:left w:val="none" w:sz="0" w:space="0" w:color="auto"/>
            <w:bottom w:val="none" w:sz="0" w:space="0" w:color="auto"/>
            <w:right w:val="none" w:sz="0" w:space="0" w:color="auto"/>
          </w:divBdr>
        </w:div>
      </w:divsChild>
    </w:div>
    <w:div w:id="1200050459">
      <w:marLeft w:val="0"/>
      <w:marRight w:val="0"/>
      <w:marTop w:val="240"/>
      <w:marBottom w:val="0"/>
      <w:divBdr>
        <w:top w:val="none" w:sz="0" w:space="0" w:color="auto"/>
        <w:left w:val="none" w:sz="0" w:space="0" w:color="auto"/>
        <w:bottom w:val="none" w:sz="0" w:space="0" w:color="auto"/>
        <w:right w:val="none" w:sz="0" w:space="0" w:color="auto"/>
      </w:divBdr>
    </w:div>
    <w:div w:id="1210919437">
      <w:marLeft w:val="0"/>
      <w:marRight w:val="0"/>
      <w:marTop w:val="0"/>
      <w:marBottom w:val="0"/>
      <w:divBdr>
        <w:top w:val="none" w:sz="0" w:space="0" w:color="auto"/>
        <w:left w:val="none" w:sz="0" w:space="0" w:color="auto"/>
        <w:bottom w:val="none" w:sz="0" w:space="0" w:color="auto"/>
        <w:right w:val="none" w:sz="0" w:space="0" w:color="auto"/>
      </w:divBdr>
    </w:div>
    <w:div w:id="1213538562">
      <w:marLeft w:val="0"/>
      <w:marRight w:val="0"/>
      <w:marTop w:val="0"/>
      <w:marBottom w:val="60"/>
      <w:divBdr>
        <w:top w:val="none" w:sz="0" w:space="0" w:color="auto"/>
        <w:left w:val="none" w:sz="0" w:space="0" w:color="auto"/>
        <w:bottom w:val="none" w:sz="0" w:space="0" w:color="auto"/>
        <w:right w:val="none" w:sz="0" w:space="0" w:color="auto"/>
      </w:divBdr>
    </w:div>
    <w:div w:id="1217620085">
      <w:marLeft w:val="0"/>
      <w:marRight w:val="0"/>
      <w:marTop w:val="0"/>
      <w:marBottom w:val="200"/>
      <w:divBdr>
        <w:top w:val="none" w:sz="0" w:space="0" w:color="auto"/>
        <w:left w:val="none" w:sz="0" w:space="0" w:color="auto"/>
        <w:bottom w:val="none" w:sz="0" w:space="0" w:color="auto"/>
        <w:right w:val="none" w:sz="0" w:space="0" w:color="auto"/>
      </w:divBdr>
    </w:div>
    <w:div w:id="1222524045">
      <w:marLeft w:val="0"/>
      <w:marRight w:val="0"/>
      <w:marTop w:val="0"/>
      <w:marBottom w:val="240"/>
      <w:divBdr>
        <w:top w:val="none" w:sz="0" w:space="0" w:color="auto"/>
        <w:left w:val="none" w:sz="0" w:space="0" w:color="auto"/>
        <w:bottom w:val="none" w:sz="0" w:space="0" w:color="auto"/>
        <w:right w:val="none" w:sz="0" w:space="0" w:color="auto"/>
      </w:divBdr>
    </w:div>
    <w:div w:id="1222793202">
      <w:marLeft w:val="0"/>
      <w:marRight w:val="0"/>
      <w:marTop w:val="0"/>
      <w:marBottom w:val="240"/>
      <w:divBdr>
        <w:top w:val="none" w:sz="0" w:space="0" w:color="auto"/>
        <w:left w:val="none" w:sz="0" w:space="0" w:color="auto"/>
        <w:bottom w:val="none" w:sz="0" w:space="0" w:color="auto"/>
        <w:right w:val="none" w:sz="0" w:space="0" w:color="auto"/>
      </w:divBdr>
    </w:div>
    <w:div w:id="1232080290">
      <w:marLeft w:val="0"/>
      <w:marRight w:val="0"/>
      <w:marTop w:val="0"/>
      <w:marBottom w:val="0"/>
      <w:divBdr>
        <w:top w:val="none" w:sz="0" w:space="0" w:color="auto"/>
        <w:left w:val="none" w:sz="0" w:space="0" w:color="auto"/>
        <w:bottom w:val="none" w:sz="0" w:space="0" w:color="auto"/>
        <w:right w:val="none" w:sz="0" w:space="0" w:color="auto"/>
      </w:divBdr>
    </w:div>
    <w:div w:id="1234778658">
      <w:marLeft w:val="0"/>
      <w:marRight w:val="0"/>
      <w:marTop w:val="0"/>
      <w:marBottom w:val="200"/>
      <w:divBdr>
        <w:top w:val="none" w:sz="0" w:space="0" w:color="auto"/>
        <w:left w:val="none" w:sz="0" w:space="0" w:color="auto"/>
        <w:bottom w:val="none" w:sz="0" w:space="0" w:color="auto"/>
        <w:right w:val="none" w:sz="0" w:space="0" w:color="auto"/>
      </w:divBdr>
    </w:div>
    <w:div w:id="1237982948">
      <w:marLeft w:val="0"/>
      <w:marRight w:val="0"/>
      <w:marTop w:val="0"/>
      <w:marBottom w:val="0"/>
      <w:divBdr>
        <w:top w:val="none" w:sz="0" w:space="0" w:color="auto"/>
        <w:left w:val="none" w:sz="0" w:space="0" w:color="auto"/>
        <w:bottom w:val="none" w:sz="0" w:space="0" w:color="auto"/>
        <w:right w:val="none" w:sz="0" w:space="0" w:color="auto"/>
      </w:divBdr>
    </w:div>
    <w:div w:id="1241598527">
      <w:marLeft w:val="0"/>
      <w:marRight w:val="0"/>
      <w:marTop w:val="0"/>
      <w:marBottom w:val="240"/>
      <w:divBdr>
        <w:top w:val="none" w:sz="0" w:space="0" w:color="auto"/>
        <w:left w:val="none" w:sz="0" w:space="0" w:color="auto"/>
        <w:bottom w:val="none" w:sz="0" w:space="0" w:color="auto"/>
        <w:right w:val="none" w:sz="0" w:space="0" w:color="auto"/>
      </w:divBdr>
    </w:div>
    <w:div w:id="1253007145">
      <w:marLeft w:val="0"/>
      <w:marRight w:val="0"/>
      <w:marTop w:val="0"/>
      <w:marBottom w:val="0"/>
      <w:divBdr>
        <w:top w:val="none" w:sz="0" w:space="0" w:color="auto"/>
        <w:left w:val="none" w:sz="0" w:space="0" w:color="auto"/>
        <w:bottom w:val="none" w:sz="0" w:space="0" w:color="auto"/>
        <w:right w:val="none" w:sz="0" w:space="0" w:color="auto"/>
      </w:divBdr>
    </w:div>
    <w:div w:id="1262299582">
      <w:marLeft w:val="0"/>
      <w:marRight w:val="0"/>
      <w:marTop w:val="0"/>
      <w:marBottom w:val="240"/>
      <w:divBdr>
        <w:top w:val="none" w:sz="0" w:space="0" w:color="auto"/>
        <w:left w:val="none" w:sz="0" w:space="0" w:color="auto"/>
        <w:bottom w:val="none" w:sz="0" w:space="0" w:color="auto"/>
        <w:right w:val="none" w:sz="0" w:space="0" w:color="auto"/>
      </w:divBdr>
    </w:div>
    <w:div w:id="1262956782">
      <w:marLeft w:val="0"/>
      <w:marRight w:val="0"/>
      <w:marTop w:val="200"/>
      <w:marBottom w:val="0"/>
      <w:divBdr>
        <w:top w:val="none" w:sz="0" w:space="0" w:color="auto"/>
        <w:left w:val="none" w:sz="0" w:space="0" w:color="auto"/>
        <w:bottom w:val="none" w:sz="0" w:space="0" w:color="auto"/>
        <w:right w:val="none" w:sz="0" w:space="0" w:color="auto"/>
      </w:divBdr>
    </w:div>
    <w:div w:id="1269972765">
      <w:marLeft w:val="0"/>
      <w:marRight w:val="0"/>
      <w:marTop w:val="0"/>
      <w:marBottom w:val="60"/>
      <w:divBdr>
        <w:top w:val="none" w:sz="0" w:space="0" w:color="auto"/>
        <w:left w:val="none" w:sz="0" w:space="0" w:color="auto"/>
        <w:bottom w:val="none" w:sz="0" w:space="0" w:color="auto"/>
        <w:right w:val="none" w:sz="0" w:space="0" w:color="auto"/>
      </w:divBdr>
    </w:div>
    <w:div w:id="1270354628">
      <w:marLeft w:val="0"/>
      <w:marRight w:val="0"/>
      <w:marTop w:val="0"/>
      <w:marBottom w:val="0"/>
      <w:divBdr>
        <w:top w:val="none" w:sz="0" w:space="0" w:color="auto"/>
        <w:left w:val="none" w:sz="0" w:space="0" w:color="auto"/>
        <w:bottom w:val="none" w:sz="0" w:space="0" w:color="auto"/>
        <w:right w:val="none" w:sz="0" w:space="0" w:color="auto"/>
      </w:divBdr>
    </w:div>
    <w:div w:id="1276912212">
      <w:marLeft w:val="0"/>
      <w:marRight w:val="0"/>
      <w:marTop w:val="0"/>
      <w:marBottom w:val="240"/>
      <w:divBdr>
        <w:top w:val="none" w:sz="0" w:space="0" w:color="auto"/>
        <w:left w:val="none" w:sz="0" w:space="0" w:color="auto"/>
        <w:bottom w:val="none" w:sz="0" w:space="0" w:color="auto"/>
        <w:right w:val="none" w:sz="0" w:space="0" w:color="auto"/>
      </w:divBdr>
    </w:div>
    <w:div w:id="1282881306">
      <w:marLeft w:val="0"/>
      <w:marRight w:val="0"/>
      <w:marTop w:val="0"/>
      <w:marBottom w:val="0"/>
      <w:divBdr>
        <w:top w:val="none" w:sz="0" w:space="0" w:color="auto"/>
        <w:left w:val="none" w:sz="0" w:space="0" w:color="auto"/>
        <w:bottom w:val="none" w:sz="0" w:space="0" w:color="auto"/>
        <w:right w:val="none" w:sz="0" w:space="0" w:color="auto"/>
      </w:divBdr>
    </w:div>
    <w:div w:id="1289050575">
      <w:marLeft w:val="0"/>
      <w:marRight w:val="0"/>
      <w:marTop w:val="0"/>
      <w:marBottom w:val="0"/>
      <w:divBdr>
        <w:top w:val="none" w:sz="0" w:space="0" w:color="auto"/>
        <w:left w:val="none" w:sz="0" w:space="0" w:color="auto"/>
        <w:bottom w:val="none" w:sz="0" w:space="0" w:color="auto"/>
        <w:right w:val="none" w:sz="0" w:space="0" w:color="auto"/>
      </w:divBdr>
      <w:divsChild>
        <w:div w:id="2066054421">
          <w:marLeft w:val="0"/>
          <w:marRight w:val="0"/>
          <w:marTop w:val="0"/>
          <w:marBottom w:val="0"/>
          <w:divBdr>
            <w:top w:val="none" w:sz="0" w:space="0" w:color="auto"/>
            <w:left w:val="none" w:sz="0" w:space="0" w:color="auto"/>
            <w:bottom w:val="none" w:sz="0" w:space="0" w:color="auto"/>
            <w:right w:val="none" w:sz="0" w:space="0" w:color="auto"/>
          </w:divBdr>
          <w:divsChild>
            <w:div w:id="9273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1032">
      <w:marLeft w:val="0"/>
      <w:marRight w:val="0"/>
      <w:marTop w:val="0"/>
      <w:marBottom w:val="0"/>
      <w:divBdr>
        <w:top w:val="none" w:sz="0" w:space="0" w:color="auto"/>
        <w:left w:val="none" w:sz="0" w:space="0" w:color="auto"/>
        <w:bottom w:val="none" w:sz="0" w:space="0" w:color="auto"/>
        <w:right w:val="none" w:sz="0" w:space="0" w:color="auto"/>
      </w:divBdr>
      <w:divsChild>
        <w:div w:id="155803330">
          <w:marLeft w:val="0"/>
          <w:marRight w:val="0"/>
          <w:marTop w:val="0"/>
          <w:marBottom w:val="0"/>
          <w:divBdr>
            <w:top w:val="none" w:sz="0" w:space="0" w:color="auto"/>
            <w:left w:val="none" w:sz="0" w:space="0" w:color="auto"/>
            <w:bottom w:val="none" w:sz="0" w:space="0" w:color="auto"/>
            <w:right w:val="none" w:sz="0" w:space="0" w:color="auto"/>
          </w:divBdr>
        </w:div>
      </w:divsChild>
    </w:div>
    <w:div w:id="1297446463">
      <w:marLeft w:val="0"/>
      <w:marRight w:val="0"/>
      <w:marTop w:val="0"/>
      <w:marBottom w:val="0"/>
      <w:divBdr>
        <w:top w:val="none" w:sz="0" w:space="0" w:color="auto"/>
        <w:left w:val="none" w:sz="0" w:space="0" w:color="auto"/>
        <w:bottom w:val="none" w:sz="0" w:space="0" w:color="auto"/>
        <w:right w:val="none" w:sz="0" w:space="0" w:color="auto"/>
      </w:divBdr>
    </w:div>
    <w:div w:id="1304577747">
      <w:marLeft w:val="0"/>
      <w:marRight w:val="0"/>
      <w:marTop w:val="0"/>
      <w:marBottom w:val="120"/>
      <w:divBdr>
        <w:top w:val="none" w:sz="0" w:space="0" w:color="auto"/>
        <w:left w:val="none" w:sz="0" w:space="0" w:color="auto"/>
        <w:bottom w:val="none" w:sz="0" w:space="0" w:color="auto"/>
        <w:right w:val="none" w:sz="0" w:space="0" w:color="auto"/>
      </w:divBdr>
    </w:div>
    <w:div w:id="1319577510">
      <w:marLeft w:val="0"/>
      <w:marRight w:val="0"/>
      <w:marTop w:val="0"/>
      <w:marBottom w:val="0"/>
      <w:divBdr>
        <w:top w:val="none" w:sz="0" w:space="0" w:color="auto"/>
        <w:left w:val="none" w:sz="0" w:space="0" w:color="auto"/>
        <w:bottom w:val="none" w:sz="0" w:space="0" w:color="auto"/>
        <w:right w:val="none" w:sz="0" w:space="0" w:color="auto"/>
      </w:divBdr>
    </w:div>
    <w:div w:id="1321928255">
      <w:marLeft w:val="0"/>
      <w:marRight w:val="0"/>
      <w:marTop w:val="0"/>
      <w:marBottom w:val="120"/>
      <w:divBdr>
        <w:top w:val="none" w:sz="0" w:space="0" w:color="auto"/>
        <w:left w:val="none" w:sz="0" w:space="0" w:color="auto"/>
        <w:bottom w:val="none" w:sz="0" w:space="0" w:color="auto"/>
        <w:right w:val="none" w:sz="0" w:space="0" w:color="auto"/>
      </w:divBdr>
    </w:div>
    <w:div w:id="1322779201">
      <w:marLeft w:val="0"/>
      <w:marRight w:val="0"/>
      <w:marTop w:val="0"/>
      <w:marBottom w:val="120"/>
      <w:divBdr>
        <w:top w:val="none" w:sz="0" w:space="0" w:color="auto"/>
        <w:left w:val="none" w:sz="0" w:space="0" w:color="auto"/>
        <w:bottom w:val="none" w:sz="0" w:space="0" w:color="auto"/>
        <w:right w:val="none" w:sz="0" w:space="0" w:color="auto"/>
      </w:divBdr>
      <w:divsChild>
        <w:div w:id="212696547">
          <w:marLeft w:val="0"/>
          <w:marRight w:val="0"/>
          <w:marTop w:val="0"/>
          <w:marBottom w:val="0"/>
          <w:divBdr>
            <w:top w:val="none" w:sz="0" w:space="0" w:color="auto"/>
            <w:left w:val="none" w:sz="0" w:space="0" w:color="auto"/>
            <w:bottom w:val="none" w:sz="0" w:space="0" w:color="auto"/>
            <w:right w:val="none" w:sz="0" w:space="0" w:color="auto"/>
          </w:divBdr>
        </w:div>
      </w:divsChild>
    </w:div>
    <w:div w:id="1323391705">
      <w:marLeft w:val="0"/>
      <w:marRight w:val="0"/>
      <w:marTop w:val="120"/>
      <w:marBottom w:val="0"/>
      <w:divBdr>
        <w:top w:val="none" w:sz="0" w:space="0" w:color="auto"/>
        <w:left w:val="none" w:sz="0" w:space="0" w:color="auto"/>
        <w:bottom w:val="none" w:sz="0" w:space="0" w:color="auto"/>
        <w:right w:val="none" w:sz="0" w:space="0" w:color="auto"/>
      </w:divBdr>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811440886">
          <w:marLeft w:val="0"/>
          <w:marRight w:val="0"/>
          <w:marTop w:val="0"/>
          <w:marBottom w:val="0"/>
          <w:divBdr>
            <w:top w:val="none" w:sz="0" w:space="0" w:color="auto"/>
            <w:left w:val="none" w:sz="0" w:space="0" w:color="auto"/>
            <w:bottom w:val="none" w:sz="0" w:space="0" w:color="auto"/>
            <w:right w:val="none" w:sz="0" w:space="0" w:color="auto"/>
          </w:divBdr>
        </w:div>
      </w:divsChild>
    </w:div>
    <w:div w:id="1359043591">
      <w:marLeft w:val="0"/>
      <w:marRight w:val="0"/>
      <w:marTop w:val="0"/>
      <w:marBottom w:val="0"/>
      <w:divBdr>
        <w:top w:val="none" w:sz="0" w:space="0" w:color="auto"/>
        <w:left w:val="none" w:sz="0" w:space="0" w:color="auto"/>
        <w:bottom w:val="none" w:sz="0" w:space="0" w:color="auto"/>
        <w:right w:val="none" w:sz="0" w:space="0" w:color="auto"/>
      </w:divBdr>
    </w:div>
    <w:div w:id="1367027953">
      <w:marLeft w:val="0"/>
      <w:marRight w:val="0"/>
      <w:marTop w:val="0"/>
      <w:marBottom w:val="0"/>
      <w:divBdr>
        <w:top w:val="none" w:sz="0" w:space="0" w:color="auto"/>
        <w:left w:val="none" w:sz="0" w:space="0" w:color="auto"/>
        <w:bottom w:val="none" w:sz="0" w:space="0" w:color="auto"/>
        <w:right w:val="none" w:sz="0" w:space="0" w:color="auto"/>
      </w:divBdr>
      <w:divsChild>
        <w:div w:id="1228111516">
          <w:marLeft w:val="0"/>
          <w:marRight w:val="0"/>
          <w:marTop w:val="0"/>
          <w:marBottom w:val="0"/>
          <w:divBdr>
            <w:top w:val="none" w:sz="0" w:space="0" w:color="auto"/>
            <w:left w:val="none" w:sz="0" w:space="0" w:color="auto"/>
            <w:bottom w:val="none" w:sz="0" w:space="0" w:color="auto"/>
            <w:right w:val="none" w:sz="0" w:space="0" w:color="auto"/>
          </w:divBdr>
        </w:div>
      </w:divsChild>
    </w:div>
    <w:div w:id="1368801260">
      <w:marLeft w:val="0"/>
      <w:marRight w:val="0"/>
      <w:marTop w:val="0"/>
      <w:marBottom w:val="0"/>
      <w:divBdr>
        <w:top w:val="none" w:sz="0" w:space="0" w:color="auto"/>
        <w:left w:val="none" w:sz="0" w:space="0" w:color="auto"/>
        <w:bottom w:val="none" w:sz="0" w:space="0" w:color="auto"/>
        <w:right w:val="none" w:sz="0" w:space="0" w:color="auto"/>
      </w:divBdr>
      <w:divsChild>
        <w:div w:id="974606771">
          <w:marLeft w:val="0"/>
          <w:marRight w:val="0"/>
          <w:marTop w:val="0"/>
          <w:marBottom w:val="0"/>
          <w:divBdr>
            <w:top w:val="none" w:sz="0" w:space="0" w:color="auto"/>
            <w:left w:val="none" w:sz="0" w:space="0" w:color="auto"/>
            <w:bottom w:val="none" w:sz="0" w:space="0" w:color="auto"/>
            <w:right w:val="none" w:sz="0" w:space="0" w:color="auto"/>
          </w:divBdr>
        </w:div>
      </w:divsChild>
    </w:div>
    <w:div w:id="1376467588">
      <w:marLeft w:val="0"/>
      <w:marRight w:val="0"/>
      <w:marTop w:val="0"/>
      <w:marBottom w:val="120"/>
      <w:divBdr>
        <w:top w:val="none" w:sz="0" w:space="0" w:color="auto"/>
        <w:left w:val="none" w:sz="0" w:space="0" w:color="auto"/>
        <w:bottom w:val="none" w:sz="0" w:space="0" w:color="auto"/>
        <w:right w:val="none" w:sz="0" w:space="0" w:color="auto"/>
      </w:divBdr>
    </w:div>
    <w:div w:id="1380938045">
      <w:marLeft w:val="0"/>
      <w:marRight w:val="0"/>
      <w:marTop w:val="120"/>
      <w:marBottom w:val="0"/>
      <w:divBdr>
        <w:top w:val="none" w:sz="0" w:space="0" w:color="auto"/>
        <w:left w:val="none" w:sz="0" w:space="0" w:color="auto"/>
        <w:bottom w:val="none" w:sz="0" w:space="0" w:color="auto"/>
        <w:right w:val="none" w:sz="0" w:space="0" w:color="auto"/>
      </w:divBdr>
    </w:div>
    <w:div w:id="1415855305">
      <w:marLeft w:val="0"/>
      <w:marRight w:val="0"/>
      <w:marTop w:val="0"/>
      <w:marBottom w:val="120"/>
      <w:divBdr>
        <w:top w:val="none" w:sz="0" w:space="0" w:color="auto"/>
        <w:left w:val="none" w:sz="0" w:space="0" w:color="auto"/>
        <w:bottom w:val="none" w:sz="0" w:space="0" w:color="auto"/>
        <w:right w:val="none" w:sz="0" w:space="0" w:color="auto"/>
      </w:divBdr>
    </w:div>
    <w:div w:id="1415937678">
      <w:marLeft w:val="0"/>
      <w:marRight w:val="0"/>
      <w:marTop w:val="0"/>
      <w:marBottom w:val="0"/>
      <w:divBdr>
        <w:top w:val="none" w:sz="0" w:space="0" w:color="auto"/>
        <w:left w:val="none" w:sz="0" w:space="0" w:color="auto"/>
        <w:bottom w:val="none" w:sz="0" w:space="0" w:color="auto"/>
        <w:right w:val="none" w:sz="0" w:space="0" w:color="auto"/>
      </w:divBdr>
    </w:div>
    <w:div w:id="1418792990">
      <w:marLeft w:val="0"/>
      <w:marRight w:val="0"/>
      <w:marTop w:val="0"/>
      <w:marBottom w:val="0"/>
      <w:divBdr>
        <w:top w:val="none" w:sz="0" w:space="0" w:color="auto"/>
        <w:left w:val="none" w:sz="0" w:space="0" w:color="auto"/>
        <w:bottom w:val="none" w:sz="0" w:space="0" w:color="auto"/>
        <w:right w:val="none" w:sz="0" w:space="0" w:color="auto"/>
      </w:divBdr>
    </w:div>
    <w:div w:id="1420639009">
      <w:marLeft w:val="0"/>
      <w:marRight w:val="0"/>
      <w:marTop w:val="0"/>
      <w:marBottom w:val="0"/>
      <w:divBdr>
        <w:top w:val="none" w:sz="0" w:space="0" w:color="auto"/>
        <w:left w:val="none" w:sz="0" w:space="0" w:color="auto"/>
        <w:bottom w:val="none" w:sz="0" w:space="0" w:color="auto"/>
        <w:right w:val="none" w:sz="0" w:space="0" w:color="auto"/>
      </w:divBdr>
      <w:divsChild>
        <w:div w:id="1968003043">
          <w:marLeft w:val="0"/>
          <w:marRight w:val="0"/>
          <w:marTop w:val="0"/>
          <w:marBottom w:val="0"/>
          <w:divBdr>
            <w:top w:val="none" w:sz="0" w:space="0" w:color="auto"/>
            <w:left w:val="none" w:sz="0" w:space="0" w:color="auto"/>
            <w:bottom w:val="none" w:sz="0" w:space="0" w:color="auto"/>
            <w:right w:val="none" w:sz="0" w:space="0" w:color="auto"/>
          </w:divBdr>
        </w:div>
      </w:divsChild>
    </w:div>
    <w:div w:id="1429886281">
      <w:marLeft w:val="0"/>
      <w:marRight w:val="0"/>
      <w:marTop w:val="0"/>
      <w:marBottom w:val="0"/>
      <w:divBdr>
        <w:top w:val="none" w:sz="0" w:space="0" w:color="auto"/>
        <w:left w:val="none" w:sz="0" w:space="0" w:color="auto"/>
        <w:bottom w:val="none" w:sz="0" w:space="0" w:color="auto"/>
        <w:right w:val="none" w:sz="0" w:space="0" w:color="auto"/>
      </w:divBdr>
      <w:divsChild>
        <w:div w:id="300352468">
          <w:marLeft w:val="0"/>
          <w:marRight w:val="0"/>
          <w:marTop w:val="0"/>
          <w:marBottom w:val="0"/>
          <w:divBdr>
            <w:top w:val="none" w:sz="0" w:space="0" w:color="auto"/>
            <w:left w:val="none" w:sz="0" w:space="0" w:color="auto"/>
            <w:bottom w:val="none" w:sz="0" w:space="0" w:color="auto"/>
            <w:right w:val="none" w:sz="0" w:space="0" w:color="auto"/>
          </w:divBdr>
        </w:div>
      </w:divsChild>
    </w:div>
    <w:div w:id="1431313389">
      <w:marLeft w:val="0"/>
      <w:marRight w:val="0"/>
      <w:marTop w:val="0"/>
      <w:marBottom w:val="0"/>
      <w:divBdr>
        <w:top w:val="none" w:sz="0" w:space="0" w:color="auto"/>
        <w:left w:val="none" w:sz="0" w:space="0" w:color="auto"/>
        <w:bottom w:val="none" w:sz="0" w:space="0" w:color="auto"/>
        <w:right w:val="none" w:sz="0" w:space="0" w:color="auto"/>
      </w:divBdr>
    </w:div>
    <w:div w:id="1438910479">
      <w:marLeft w:val="0"/>
      <w:marRight w:val="0"/>
      <w:marTop w:val="0"/>
      <w:marBottom w:val="0"/>
      <w:divBdr>
        <w:top w:val="none" w:sz="0" w:space="0" w:color="auto"/>
        <w:left w:val="none" w:sz="0" w:space="0" w:color="auto"/>
        <w:bottom w:val="none" w:sz="0" w:space="0" w:color="auto"/>
        <w:right w:val="none" w:sz="0" w:space="0" w:color="auto"/>
      </w:divBdr>
      <w:divsChild>
        <w:div w:id="1960182102">
          <w:marLeft w:val="0"/>
          <w:marRight w:val="0"/>
          <w:marTop w:val="0"/>
          <w:marBottom w:val="0"/>
          <w:divBdr>
            <w:top w:val="none" w:sz="0" w:space="0" w:color="auto"/>
            <w:left w:val="none" w:sz="0" w:space="0" w:color="auto"/>
            <w:bottom w:val="none" w:sz="0" w:space="0" w:color="auto"/>
            <w:right w:val="none" w:sz="0" w:space="0" w:color="auto"/>
          </w:divBdr>
        </w:div>
      </w:divsChild>
    </w:div>
    <w:div w:id="1446659772">
      <w:marLeft w:val="0"/>
      <w:marRight w:val="0"/>
      <w:marTop w:val="0"/>
      <w:marBottom w:val="0"/>
      <w:divBdr>
        <w:top w:val="none" w:sz="0" w:space="0" w:color="auto"/>
        <w:left w:val="none" w:sz="0" w:space="0" w:color="auto"/>
        <w:bottom w:val="none" w:sz="0" w:space="0" w:color="auto"/>
        <w:right w:val="none" w:sz="0" w:space="0" w:color="auto"/>
      </w:divBdr>
      <w:divsChild>
        <w:div w:id="124199490">
          <w:marLeft w:val="0"/>
          <w:marRight w:val="0"/>
          <w:marTop w:val="0"/>
          <w:marBottom w:val="0"/>
          <w:divBdr>
            <w:top w:val="none" w:sz="0" w:space="0" w:color="auto"/>
            <w:left w:val="none" w:sz="0" w:space="0" w:color="auto"/>
            <w:bottom w:val="none" w:sz="0" w:space="0" w:color="auto"/>
            <w:right w:val="none" w:sz="0" w:space="0" w:color="auto"/>
          </w:divBdr>
        </w:div>
      </w:divsChild>
    </w:div>
    <w:div w:id="1447627193">
      <w:marLeft w:val="0"/>
      <w:marRight w:val="0"/>
      <w:marTop w:val="0"/>
      <w:marBottom w:val="60"/>
      <w:divBdr>
        <w:top w:val="none" w:sz="0" w:space="0" w:color="auto"/>
        <w:left w:val="none" w:sz="0" w:space="0" w:color="auto"/>
        <w:bottom w:val="none" w:sz="0" w:space="0" w:color="auto"/>
        <w:right w:val="none" w:sz="0" w:space="0" w:color="auto"/>
      </w:divBdr>
    </w:div>
    <w:div w:id="1466196212">
      <w:marLeft w:val="0"/>
      <w:marRight w:val="0"/>
      <w:marTop w:val="0"/>
      <w:marBottom w:val="60"/>
      <w:divBdr>
        <w:top w:val="none" w:sz="0" w:space="0" w:color="auto"/>
        <w:left w:val="none" w:sz="0" w:space="0" w:color="auto"/>
        <w:bottom w:val="none" w:sz="0" w:space="0" w:color="auto"/>
        <w:right w:val="none" w:sz="0" w:space="0" w:color="auto"/>
      </w:divBdr>
    </w:div>
    <w:div w:id="1470124592">
      <w:marLeft w:val="0"/>
      <w:marRight w:val="0"/>
      <w:marTop w:val="0"/>
      <w:marBottom w:val="0"/>
      <w:divBdr>
        <w:top w:val="none" w:sz="0" w:space="0" w:color="auto"/>
        <w:left w:val="none" w:sz="0" w:space="0" w:color="auto"/>
        <w:bottom w:val="none" w:sz="0" w:space="0" w:color="auto"/>
        <w:right w:val="none" w:sz="0" w:space="0" w:color="auto"/>
      </w:divBdr>
    </w:div>
    <w:div w:id="1481578638">
      <w:marLeft w:val="0"/>
      <w:marRight w:val="0"/>
      <w:marTop w:val="0"/>
      <w:marBottom w:val="120"/>
      <w:divBdr>
        <w:top w:val="none" w:sz="0" w:space="0" w:color="auto"/>
        <w:left w:val="none" w:sz="0" w:space="0" w:color="auto"/>
        <w:bottom w:val="none" w:sz="0" w:space="0" w:color="auto"/>
        <w:right w:val="none" w:sz="0" w:space="0" w:color="auto"/>
      </w:divBdr>
    </w:div>
    <w:div w:id="1481848427">
      <w:marLeft w:val="0"/>
      <w:marRight w:val="0"/>
      <w:marTop w:val="0"/>
      <w:marBottom w:val="60"/>
      <w:divBdr>
        <w:top w:val="none" w:sz="0" w:space="0" w:color="auto"/>
        <w:left w:val="none" w:sz="0" w:space="0" w:color="auto"/>
        <w:bottom w:val="none" w:sz="0" w:space="0" w:color="auto"/>
        <w:right w:val="none" w:sz="0" w:space="0" w:color="auto"/>
      </w:divBdr>
    </w:div>
    <w:div w:id="1485732382">
      <w:marLeft w:val="0"/>
      <w:marRight w:val="0"/>
      <w:marTop w:val="0"/>
      <w:marBottom w:val="0"/>
      <w:divBdr>
        <w:top w:val="none" w:sz="0" w:space="0" w:color="auto"/>
        <w:left w:val="none" w:sz="0" w:space="0" w:color="auto"/>
        <w:bottom w:val="none" w:sz="0" w:space="0" w:color="auto"/>
        <w:right w:val="none" w:sz="0" w:space="0" w:color="auto"/>
      </w:divBdr>
    </w:div>
    <w:div w:id="1494028172">
      <w:marLeft w:val="0"/>
      <w:marRight w:val="0"/>
      <w:marTop w:val="0"/>
      <w:marBottom w:val="120"/>
      <w:divBdr>
        <w:top w:val="none" w:sz="0" w:space="0" w:color="auto"/>
        <w:left w:val="none" w:sz="0" w:space="0" w:color="auto"/>
        <w:bottom w:val="none" w:sz="0" w:space="0" w:color="auto"/>
        <w:right w:val="none" w:sz="0" w:space="0" w:color="auto"/>
      </w:divBdr>
    </w:div>
    <w:div w:id="1494950590">
      <w:marLeft w:val="0"/>
      <w:marRight w:val="0"/>
      <w:marTop w:val="0"/>
      <w:marBottom w:val="120"/>
      <w:divBdr>
        <w:top w:val="none" w:sz="0" w:space="0" w:color="auto"/>
        <w:left w:val="none" w:sz="0" w:space="0" w:color="auto"/>
        <w:bottom w:val="none" w:sz="0" w:space="0" w:color="auto"/>
        <w:right w:val="none" w:sz="0" w:space="0" w:color="auto"/>
      </w:divBdr>
    </w:div>
    <w:div w:id="1497308864">
      <w:marLeft w:val="0"/>
      <w:marRight w:val="0"/>
      <w:marTop w:val="0"/>
      <w:marBottom w:val="0"/>
      <w:divBdr>
        <w:top w:val="none" w:sz="0" w:space="0" w:color="auto"/>
        <w:left w:val="none" w:sz="0" w:space="0" w:color="auto"/>
        <w:bottom w:val="none" w:sz="0" w:space="0" w:color="auto"/>
        <w:right w:val="none" w:sz="0" w:space="0" w:color="auto"/>
      </w:divBdr>
      <w:divsChild>
        <w:div w:id="173881634">
          <w:marLeft w:val="0"/>
          <w:marRight w:val="0"/>
          <w:marTop w:val="0"/>
          <w:marBottom w:val="0"/>
          <w:divBdr>
            <w:top w:val="none" w:sz="0" w:space="0" w:color="auto"/>
            <w:left w:val="none" w:sz="0" w:space="0" w:color="auto"/>
            <w:bottom w:val="none" w:sz="0" w:space="0" w:color="auto"/>
            <w:right w:val="none" w:sz="0" w:space="0" w:color="auto"/>
          </w:divBdr>
        </w:div>
      </w:divsChild>
    </w:div>
    <w:div w:id="1498425892">
      <w:marLeft w:val="0"/>
      <w:marRight w:val="0"/>
      <w:marTop w:val="0"/>
      <w:marBottom w:val="0"/>
      <w:divBdr>
        <w:top w:val="none" w:sz="0" w:space="0" w:color="auto"/>
        <w:left w:val="none" w:sz="0" w:space="0" w:color="auto"/>
        <w:bottom w:val="none" w:sz="0" w:space="0" w:color="auto"/>
        <w:right w:val="none" w:sz="0" w:space="0" w:color="auto"/>
      </w:divBdr>
      <w:divsChild>
        <w:div w:id="1751850312">
          <w:marLeft w:val="0"/>
          <w:marRight w:val="0"/>
          <w:marTop w:val="0"/>
          <w:marBottom w:val="0"/>
          <w:divBdr>
            <w:top w:val="none" w:sz="0" w:space="0" w:color="auto"/>
            <w:left w:val="none" w:sz="0" w:space="0" w:color="auto"/>
            <w:bottom w:val="none" w:sz="0" w:space="0" w:color="auto"/>
            <w:right w:val="none" w:sz="0" w:space="0" w:color="auto"/>
          </w:divBdr>
        </w:div>
      </w:divsChild>
    </w:div>
    <w:div w:id="1500342096">
      <w:marLeft w:val="0"/>
      <w:marRight w:val="0"/>
      <w:marTop w:val="0"/>
      <w:marBottom w:val="120"/>
      <w:divBdr>
        <w:top w:val="none" w:sz="0" w:space="0" w:color="auto"/>
        <w:left w:val="none" w:sz="0" w:space="0" w:color="auto"/>
        <w:bottom w:val="none" w:sz="0" w:space="0" w:color="auto"/>
        <w:right w:val="none" w:sz="0" w:space="0" w:color="auto"/>
      </w:divBdr>
    </w:div>
    <w:div w:id="1510872486">
      <w:marLeft w:val="0"/>
      <w:marRight w:val="0"/>
      <w:marTop w:val="0"/>
      <w:marBottom w:val="0"/>
      <w:divBdr>
        <w:top w:val="none" w:sz="0" w:space="0" w:color="auto"/>
        <w:left w:val="none" w:sz="0" w:space="0" w:color="auto"/>
        <w:bottom w:val="none" w:sz="0" w:space="0" w:color="auto"/>
        <w:right w:val="none" w:sz="0" w:space="0" w:color="auto"/>
      </w:divBdr>
    </w:div>
    <w:div w:id="1520005996">
      <w:marLeft w:val="0"/>
      <w:marRight w:val="0"/>
      <w:marTop w:val="0"/>
      <w:marBottom w:val="120"/>
      <w:divBdr>
        <w:top w:val="none" w:sz="0" w:space="0" w:color="auto"/>
        <w:left w:val="none" w:sz="0" w:space="0" w:color="auto"/>
        <w:bottom w:val="none" w:sz="0" w:space="0" w:color="auto"/>
        <w:right w:val="none" w:sz="0" w:space="0" w:color="auto"/>
      </w:divBdr>
    </w:div>
    <w:div w:id="1542011728">
      <w:marLeft w:val="0"/>
      <w:marRight w:val="0"/>
      <w:marTop w:val="0"/>
      <w:marBottom w:val="60"/>
      <w:divBdr>
        <w:top w:val="none" w:sz="0" w:space="0" w:color="auto"/>
        <w:left w:val="none" w:sz="0" w:space="0" w:color="auto"/>
        <w:bottom w:val="none" w:sz="0" w:space="0" w:color="auto"/>
        <w:right w:val="none" w:sz="0" w:space="0" w:color="auto"/>
      </w:divBdr>
    </w:div>
    <w:div w:id="1543446952">
      <w:marLeft w:val="0"/>
      <w:marRight w:val="0"/>
      <w:marTop w:val="0"/>
      <w:marBottom w:val="0"/>
      <w:divBdr>
        <w:top w:val="none" w:sz="0" w:space="0" w:color="auto"/>
        <w:left w:val="none" w:sz="0" w:space="0" w:color="auto"/>
        <w:bottom w:val="none" w:sz="0" w:space="0" w:color="auto"/>
        <w:right w:val="none" w:sz="0" w:space="0" w:color="auto"/>
      </w:divBdr>
    </w:div>
    <w:div w:id="1547449512">
      <w:marLeft w:val="0"/>
      <w:marRight w:val="0"/>
      <w:marTop w:val="0"/>
      <w:marBottom w:val="0"/>
      <w:divBdr>
        <w:top w:val="none" w:sz="0" w:space="0" w:color="auto"/>
        <w:left w:val="none" w:sz="0" w:space="0" w:color="auto"/>
        <w:bottom w:val="none" w:sz="0" w:space="0" w:color="auto"/>
        <w:right w:val="none" w:sz="0" w:space="0" w:color="auto"/>
      </w:divBdr>
    </w:div>
    <w:div w:id="1552768278">
      <w:marLeft w:val="0"/>
      <w:marRight w:val="0"/>
      <w:marTop w:val="0"/>
      <w:marBottom w:val="0"/>
      <w:divBdr>
        <w:top w:val="none" w:sz="0" w:space="0" w:color="auto"/>
        <w:left w:val="none" w:sz="0" w:space="0" w:color="auto"/>
        <w:bottom w:val="none" w:sz="0" w:space="0" w:color="auto"/>
        <w:right w:val="none" w:sz="0" w:space="0" w:color="auto"/>
      </w:divBdr>
      <w:divsChild>
        <w:div w:id="375393784">
          <w:marLeft w:val="0"/>
          <w:marRight w:val="0"/>
          <w:marTop w:val="0"/>
          <w:marBottom w:val="0"/>
          <w:divBdr>
            <w:top w:val="none" w:sz="0" w:space="0" w:color="auto"/>
            <w:left w:val="none" w:sz="0" w:space="0" w:color="auto"/>
            <w:bottom w:val="none" w:sz="0" w:space="0" w:color="auto"/>
            <w:right w:val="none" w:sz="0" w:space="0" w:color="auto"/>
          </w:divBdr>
        </w:div>
      </w:divsChild>
    </w:div>
    <w:div w:id="1559126079">
      <w:marLeft w:val="0"/>
      <w:marRight w:val="0"/>
      <w:marTop w:val="0"/>
      <w:marBottom w:val="240"/>
      <w:divBdr>
        <w:top w:val="none" w:sz="0" w:space="0" w:color="auto"/>
        <w:left w:val="none" w:sz="0" w:space="0" w:color="auto"/>
        <w:bottom w:val="none" w:sz="0" w:space="0" w:color="auto"/>
        <w:right w:val="none" w:sz="0" w:space="0" w:color="auto"/>
      </w:divBdr>
    </w:div>
    <w:div w:id="1577400218">
      <w:marLeft w:val="0"/>
      <w:marRight w:val="0"/>
      <w:marTop w:val="0"/>
      <w:marBottom w:val="0"/>
      <w:divBdr>
        <w:top w:val="none" w:sz="0" w:space="0" w:color="auto"/>
        <w:left w:val="none" w:sz="0" w:space="0" w:color="auto"/>
        <w:bottom w:val="none" w:sz="0" w:space="0" w:color="auto"/>
        <w:right w:val="none" w:sz="0" w:space="0" w:color="auto"/>
      </w:divBdr>
      <w:divsChild>
        <w:div w:id="1196696634">
          <w:marLeft w:val="0"/>
          <w:marRight w:val="0"/>
          <w:marTop w:val="0"/>
          <w:marBottom w:val="0"/>
          <w:divBdr>
            <w:top w:val="none" w:sz="0" w:space="0" w:color="auto"/>
            <w:left w:val="none" w:sz="0" w:space="0" w:color="auto"/>
            <w:bottom w:val="none" w:sz="0" w:space="0" w:color="auto"/>
            <w:right w:val="none" w:sz="0" w:space="0" w:color="auto"/>
          </w:divBdr>
        </w:div>
      </w:divsChild>
    </w:div>
    <w:div w:id="1594127261">
      <w:marLeft w:val="0"/>
      <w:marRight w:val="0"/>
      <w:marTop w:val="0"/>
      <w:marBottom w:val="0"/>
      <w:divBdr>
        <w:top w:val="none" w:sz="0" w:space="0" w:color="auto"/>
        <w:left w:val="none" w:sz="0" w:space="0" w:color="auto"/>
        <w:bottom w:val="none" w:sz="0" w:space="0" w:color="auto"/>
        <w:right w:val="none" w:sz="0" w:space="0" w:color="auto"/>
      </w:divBdr>
    </w:div>
    <w:div w:id="1594511133">
      <w:marLeft w:val="0"/>
      <w:marRight w:val="0"/>
      <w:marTop w:val="0"/>
      <w:marBottom w:val="240"/>
      <w:divBdr>
        <w:top w:val="none" w:sz="0" w:space="0" w:color="auto"/>
        <w:left w:val="none" w:sz="0" w:space="0" w:color="auto"/>
        <w:bottom w:val="none" w:sz="0" w:space="0" w:color="auto"/>
        <w:right w:val="none" w:sz="0" w:space="0" w:color="auto"/>
      </w:divBdr>
    </w:div>
    <w:div w:id="1612055693">
      <w:marLeft w:val="0"/>
      <w:marRight w:val="0"/>
      <w:marTop w:val="0"/>
      <w:marBottom w:val="0"/>
      <w:divBdr>
        <w:top w:val="none" w:sz="0" w:space="0" w:color="auto"/>
        <w:left w:val="none" w:sz="0" w:space="0" w:color="auto"/>
        <w:bottom w:val="none" w:sz="0" w:space="0" w:color="auto"/>
        <w:right w:val="none" w:sz="0" w:space="0" w:color="auto"/>
      </w:divBdr>
      <w:divsChild>
        <w:div w:id="284890780">
          <w:marLeft w:val="0"/>
          <w:marRight w:val="0"/>
          <w:marTop w:val="0"/>
          <w:marBottom w:val="0"/>
          <w:divBdr>
            <w:top w:val="none" w:sz="0" w:space="0" w:color="auto"/>
            <w:left w:val="none" w:sz="0" w:space="0" w:color="auto"/>
            <w:bottom w:val="none" w:sz="0" w:space="0" w:color="auto"/>
            <w:right w:val="none" w:sz="0" w:space="0" w:color="auto"/>
          </w:divBdr>
        </w:div>
      </w:divsChild>
    </w:div>
    <w:div w:id="1633249265">
      <w:marLeft w:val="0"/>
      <w:marRight w:val="0"/>
      <w:marTop w:val="0"/>
      <w:marBottom w:val="0"/>
      <w:divBdr>
        <w:top w:val="none" w:sz="0" w:space="0" w:color="auto"/>
        <w:left w:val="none" w:sz="0" w:space="0" w:color="auto"/>
        <w:bottom w:val="none" w:sz="0" w:space="0" w:color="auto"/>
        <w:right w:val="none" w:sz="0" w:space="0" w:color="auto"/>
      </w:divBdr>
    </w:div>
    <w:div w:id="1635604141">
      <w:marLeft w:val="0"/>
      <w:marRight w:val="0"/>
      <w:marTop w:val="0"/>
      <w:marBottom w:val="0"/>
      <w:divBdr>
        <w:top w:val="none" w:sz="0" w:space="0" w:color="auto"/>
        <w:left w:val="none" w:sz="0" w:space="0" w:color="auto"/>
        <w:bottom w:val="none" w:sz="0" w:space="0" w:color="auto"/>
        <w:right w:val="none" w:sz="0" w:space="0" w:color="auto"/>
      </w:divBdr>
      <w:divsChild>
        <w:div w:id="564070717">
          <w:marLeft w:val="0"/>
          <w:marRight w:val="0"/>
          <w:marTop w:val="0"/>
          <w:marBottom w:val="0"/>
          <w:divBdr>
            <w:top w:val="none" w:sz="0" w:space="0" w:color="auto"/>
            <w:left w:val="none" w:sz="0" w:space="0" w:color="auto"/>
            <w:bottom w:val="none" w:sz="0" w:space="0" w:color="auto"/>
            <w:right w:val="none" w:sz="0" w:space="0" w:color="auto"/>
          </w:divBdr>
        </w:div>
      </w:divsChild>
    </w:div>
    <w:div w:id="1636906719">
      <w:marLeft w:val="0"/>
      <w:marRight w:val="0"/>
      <w:marTop w:val="0"/>
      <w:marBottom w:val="0"/>
      <w:divBdr>
        <w:top w:val="none" w:sz="0" w:space="0" w:color="auto"/>
        <w:left w:val="none" w:sz="0" w:space="0" w:color="auto"/>
        <w:bottom w:val="none" w:sz="0" w:space="0" w:color="auto"/>
        <w:right w:val="none" w:sz="0" w:space="0" w:color="auto"/>
      </w:divBdr>
    </w:div>
    <w:div w:id="1645163805">
      <w:marLeft w:val="0"/>
      <w:marRight w:val="0"/>
      <w:marTop w:val="0"/>
      <w:marBottom w:val="240"/>
      <w:divBdr>
        <w:top w:val="none" w:sz="0" w:space="0" w:color="auto"/>
        <w:left w:val="none" w:sz="0" w:space="0" w:color="auto"/>
        <w:bottom w:val="none" w:sz="0" w:space="0" w:color="auto"/>
        <w:right w:val="none" w:sz="0" w:space="0" w:color="auto"/>
      </w:divBdr>
    </w:div>
    <w:div w:id="1646398095">
      <w:marLeft w:val="0"/>
      <w:marRight w:val="0"/>
      <w:marTop w:val="0"/>
      <w:marBottom w:val="0"/>
      <w:divBdr>
        <w:top w:val="none" w:sz="0" w:space="0" w:color="auto"/>
        <w:left w:val="none" w:sz="0" w:space="0" w:color="auto"/>
        <w:bottom w:val="none" w:sz="0" w:space="0" w:color="auto"/>
        <w:right w:val="none" w:sz="0" w:space="0" w:color="auto"/>
      </w:divBdr>
      <w:divsChild>
        <w:div w:id="874467049">
          <w:marLeft w:val="0"/>
          <w:marRight w:val="0"/>
          <w:marTop w:val="0"/>
          <w:marBottom w:val="0"/>
          <w:divBdr>
            <w:top w:val="none" w:sz="0" w:space="0" w:color="auto"/>
            <w:left w:val="none" w:sz="0" w:space="0" w:color="auto"/>
            <w:bottom w:val="none" w:sz="0" w:space="0" w:color="auto"/>
            <w:right w:val="none" w:sz="0" w:space="0" w:color="auto"/>
          </w:divBdr>
        </w:div>
      </w:divsChild>
    </w:div>
    <w:div w:id="1653562351">
      <w:marLeft w:val="0"/>
      <w:marRight w:val="0"/>
      <w:marTop w:val="0"/>
      <w:marBottom w:val="60"/>
      <w:divBdr>
        <w:top w:val="none" w:sz="0" w:space="0" w:color="auto"/>
        <w:left w:val="none" w:sz="0" w:space="0" w:color="auto"/>
        <w:bottom w:val="none" w:sz="0" w:space="0" w:color="auto"/>
        <w:right w:val="none" w:sz="0" w:space="0" w:color="auto"/>
      </w:divBdr>
    </w:div>
    <w:div w:id="1659502855">
      <w:marLeft w:val="0"/>
      <w:marRight w:val="0"/>
      <w:marTop w:val="0"/>
      <w:marBottom w:val="0"/>
      <w:divBdr>
        <w:top w:val="none" w:sz="0" w:space="0" w:color="auto"/>
        <w:left w:val="none" w:sz="0" w:space="0" w:color="auto"/>
        <w:bottom w:val="none" w:sz="0" w:space="0" w:color="auto"/>
        <w:right w:val="none" w:sz="0" w:space="0" w:color="auto"/>
      </w:divBdr>
      <w:divsChild>
        <w:div w:id="556864339">
          <w:marLeft w:val="0"/>
          <w:marRight w:val="0"/>
          <w:marTop w:val="0"/>
          <w:marBottom w:val="0"/>
          <w:divBdr>
            <w:top w:val="none" w:sz="0" w:space="0" w:color="auto"/>
            <w:left w:val="none" w:sz="0" w:space="0" w:color="auto"/>
            <w:bottom w:val="none" w:sz="0" w:space="0" w:color="auto"/>
            <w:right w:val="none" w:sz="0" w:space="0" w:color="auto"/>
          </w:divBdr>
        </w:div>
      </w:divsChild>
    </w:div>
    <w:div w:id="1674138361">
      <w:marLeft w:val="0"/>
      <w:marRight w:val="0"/>
      <w:marTop w:val="0"/>
      <w:marBottom w:val="0"/>
      <w:divBdr>
        <w:top w:val="none" w:sz="0" w:space="0" w:color="auto"/>
        <w:left w:val="none" w:sz="0" w:space="0" w:color="auto"/>
        <w:bottom w:val="none" w:sz="0" w:space="0" w:color="auto"/>
        <w:right w:val="none" w:sz="0" w:space="0" w:color="auto"/>
      </w:divBdr>
    </w:div>
    <w:div w:id="1678650232">
      <w:marLeft w:val="0"/>
      <w:marRight w:val="0"/>
      <w:marTop w:val="0"/>
      <w:marBottom w:val="0"/>
      <w:divBdr>
        <w:top w:val="none" w:sz="0" w:space="0" w:color="auto"/>
        <w:left w:val="none" w:sz="0" w:space="0" w:color="auto"/>
        <w:bottom w:val="none" w:sz="0" w:space="0" w:color="auto"/>
        <w:right w:val="none" w:sz="0" w:space="0" w:color="auto"/>
      </w:divBdr>
    </w:div>
    <w:div w:id="1692291845">
      <w:marLeft w:val="0"/>
      <w:marRight w:val="0"/>
      <w:marTop w:val="0"/>
      <w:marBottom w:val="120"/>
      <w:divBdr>
        <w:top w:val="none" w:sz="0" w:space="0" w:color="auto"/>
        <w:left w:val="none" w:sz="0" w:space="0" w:color="auto"/>
        <w:bottom w:val="none" w:sz="0" w:space="0" w:color="auto"/>
        <w:right w:val="none" w:sz="0" w:space="0" w:color="auto"/>
      </w:divBdr>
    </w:div>
    <w:div w:id="1696152729">
      <w:marLeft w:val="0"/>
      <w:marRight w:val="0"/>
      <w:marTop w:val="0"/>
      <w:marBottom w:val="60"/>
      <w:divBdr>
        <w:top w:val="none" w:sz="0" w:space="0" w:color="auto"/>
        <w:left w:val="none" w:sz="0" w:space="0" w:color="auto"/>
        <w:bottom w:val="none" w:sz="0" w:space="0" w:color="auto"/>
        <w:right w:val="none" w:sz="0" w:space="0" w:color="auto"/>
      </w:divBdr>
    </w:div>
    <w:div w:id="1697660003">
      <w:marLeft w:val="0"/>
      <w:marRight w:val="0"/>
      <w:marTop w:val="0"/>
      <w:marBottom w:val="120"/>
      <w:divBdr>
        <w:top w:val="none" w:sz="0" w:space="0" w:color="auto"/>
        <w:left w:val="none" w:sz="0" w:space="0" w:color="auto"/>
        <w:bottom w:val="none" w:sz="0" w:space="0" w:color="auto"/>
        <w:right w:val="none" w:sz="0" w:space="0" w:color="auto"/>
      </w:divBdr>
    </w:div>
    <w:div w:id="1700084991">
      <w:marLeft w:val="0"/>
      <w:marRight w:val="0"/>
      <w:marTop w:val="0"/>
      <w:marBottom w:val="0"/>
      <w:divBdr>
        <w:top w:val="none" w:sz="0" w:space="0" w:color="auto"/>
        <w:left w:val="none" w:sz="0" w:space="0" w:color="auto"/>
        <w:bottom w:val="none" w:sz="0" w:space="0" w:color="auto"/>
        <w:right w:val="none" w:sz="0" w:space="0" w:color="auto"/>
      </w:divBdr>
      <w:divsChild>
        <w:div w:id="2039693676">
          <w:marLeft w:val="0"/>
          <w:marRight w:val="0"/>
          <w:marTop w:val="0"/>
          <w:marBottom w:val="0"/>
          <w:divBdr>
            <w:top w:val="none" w:sz="0" w:space="0" w:color="auto"/>
            <w:left w:val="none" w:sz="0" w:space="0" w:color="auto"/>
            <w:bottom w:val="none" w:sz="0" w:space="0" w:color="auto"/>
            <w:right w:val="none" w:sz="0" w:space="0" w:color="auto"/>
          </w:divBdr>
        </w:div>
      </w:divsChild>
    </w:div>
    <w:div w:id="1706557965">
      <w:marLeft w:val="0"/>
      <w:marRight w:val="0"/>
      <w:marTop w:val="0"/>
      <w:marBottom w:val="120"/>
      <w:divBdr>
        <w:top w:val="none" w:sz="0" w:space="0" w:color="auto"/>
        <w:left w:val="none" w:sz="0" w:space="0" w:color="auto"/>
        <w:bottom w:val="none" w:sz="0" w:space="0" w:color="auto"/>
        <w:right w:val="none" w:sz="0" w:space="0" w:color="auto"/>
      </w:divBdr>
    </w:div>
    <w:div w:id="1707945948">
      <w:marLeft w:val="0"/>
      <w:marRight w:val="0"/>
      <w:marTop w:val="0"/>
      <w:marBottom w:val="120"/>
      <w:divBdr>
        <w:top w:val="none" w:sz="0" w:space="0" w:color="auto"/>
        <w:left w:val="none" w:sz="0" w:space="0" w:color="auto"/>
        <w:bottom w:val="none" w:sz="0" w:space="0" w:color="auto"/>
        <w:right w:val="none" w:sz="0" w:space="0" w:color="auto"/>
      </w:divBdr>
    </w:div>
    <w:div w:id="1713922980">
      <w:marLeft w:val="0"/>
      <w:marRight w:val="0"/>
      <w:marTop w:val="0"/>
      <w:marBottom w:val="60"/>
      <w:divBdr>
        <w:top w:val="none" w:sz="0" w:space="0" w:color="auto"/>
        <w:left w:val="none" w:sz="0" w:space="0" w:color="auto"/>
        <w:bottom w:val="none" w:sz="0" w:space="0" w:color="auto"/>
        <w:right w:val="none" w:sz="0" w:space="0" w:color="auto"/>
      </w:divBdr>
    </w:div>
    <w:div w:id="1718581011">
      <w:marLeft w:val="0"/>
      <w:marRight w:val="0"/>
      <w:marTop w:val="120"/>
      <w:marBottom w:val="0"/>
      <w:divBdr>
        <w:top w:val="none" w:sz="0" w:space="0" w:color="auto"/>
        <w:left w:val="none" w:sz="0" w:space="0" w:color="auto"/>
        <w:bottom w:val="none" w:sz="0" w:space="0" w:color="auto"/>
        <w:right w:val="none" w:sz="0" w:space="0" w:color="auto"/>
      </w:divBdr>
    </w:div>
    <w:div w:id="1723946989">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726442177">
      <w:marLeft w:val="0"/>
      <w:marRight w:val="0"/>
      <w:marTop w:val="0"/>
      <w:marBottom w:val="0"/>
      <w:divBdr>
        <w:top w:val="none" w:sz="0" w:space="0" w:color="auto"/>
        <w:left w:val="none" w:sz="0" w:space="0" w:color="auto"/>
        <w:bottom w:val="none" w:sz="0" w:space="0" w:color="auto"/>
        <w:right w:val="none" w:sz="0" w:space="0" w:color="auto"/>
      </w:divBdr>
      <w:divsChild>
        <w:div w:id="752319870">
          <w:marLeft w:val="0"/>
          <w:marRight w:val="0"/>
          <w:marTop w:val="0"/>
          <w:marBottom w:val="0"/>
          <w:divBdr>
            <w:top w:val="none" w:sz="0" w:space="0" w:color="auto"/>
            <w:left w:val="none" w:sz="0" w:space="0" w:color="auto"/>
            <w:bottom w:val="none" w:sz="0" w:space="0" w:color="auto"/>
            <w:right w:val="none" w:sz="0" w:space="0" w:color="auto"/>
          </w:divBdr>
        </w:div>
      </w:divsChild>
    </w:div>
    <w:div w:id="1728453581">
      <w:marLeft w:val="0"/>
      <w:marRight w:val="0"/>
      <w:marTop w:val="0"/>
      <w:marBottom w:val="120"/>
      <w:divBdr>
        <w:top w:val="none" w:sz="0" w:space="0" w:color="auto"/>
        <w:left w:val="none" w:sz="0" w:space="0" w:color="auto"/>
        <w:bottom w:val="none" w:sz="0" w:space="0" w:color="auto"/>
        <w:right w:val="none" w:sz="0" w:space="0" w:color="auto"/>
      </w:divBdr>
      <w:divsChild>
        <w:div w:id="87311395">
          <w:marLeft w:val="0"/>
          <w:marRight w:val="0"/>
          <w:marTop w:val="0"/>
          <w:marBottom w:val="0"/>
          <w:divBdr>
            <w:top w:val="none" w:sz="0" w:space="0" w:color="auto"/>
            <w:left w:val="none" w:sz="0" w:space="0" w:color="auto"/>
            <w:bottom w:val="none" w:sz="0" w:space="0" w:color="auto"/>
            <w:right w:val="none" w:sz="0" w:space="0" w:color="auto"/>
          </w:divBdr>
        </w:div>
        <w:div w:id="322590656">
          <w:marLeft w:val="0"/>
          <w:marRight w:val="0"/>
          <w:marTop w:val="0"/>
          <w:marBottom w:val="0"/>
          <w:divBdr>
            <w:top w:val="none" w:sz="0" w:space="0" w:color="auto"/>
            <w:left w:val="none" w:sz="0" w:space="0" w:color="auto"/>
            <w:bottom w:val="none" w:sz="0" w:space="0" w:color="auto"/>
            <w:right w:val="none" w:sz="0" w:space="0" w:color="auto"/>
          </w:divBdr>
        </w:div>
      </w:divsChild>
    </w:div>
    <w:div w:id="1733232458">
      <w:marLeft w:val="0"/>
      <w:marRight w:val="0"/>
      <w:marTop w:val="0"/>
      <w:marBottom w:val="0"/>
      <w:divBdr>
        <w:top w:val="none" w:sz="0" w:space="0" w:color="auto"/>
        <w:left w:val="none" w:sz="0" w:space="0" w:color="auto"/>
        <w:bottom w:val="none" w:sz="0" w:space="0" w:color="auto"/>
        <w:right w:val="none" w:sz="0" w:space="0" w:color="auto"/>
      </w:divBdr>
    </w:div>
    <w:div w:id="1734353305">
      <w:marLeft w:val="0"/>
      <w:marRight w:val="0"/>
      <w:marTop w:val="0"/>
      <w:marBottom w:val="0"/>
      <w:divBdr>
        <w:top w:val="none" w:sz="0" w:space="0" w:color="auto"/>
        <w:left w:val="none" w:sz="0" w:space="0" w:color="auto"/>
        <w:bottom w:val="none" w:sz="0" w:space="0" w:color="auto"/>
        <w:right w:val="none" w:sz="0" w:space="0" w:color="auto"/>
      </w:divBdr>
    </w:div>
    <w:div w:id="1738549326">
      <w:marLeft w:val="0"/>
      <w:marRight w:val="0"/>
      <w:marTop w:val="0"/>
      <w:marBottom w:val="0"/>
      <w:divBdr>
        <w:top w:val="none" w:sz="0" w:space="0" w:color="auto"/>
        <w:left w:val="none" w:sz="0" w:space="0" w:color="auto"/>
        <w:bottom w:val="none" w:sz="0" w:space="0" w:color="auto"/>
        <w:right w:val="none" w:sz="0" w:space="0" w:color="auto"/>
      </w:divBdr>
    </w:div>
    <w:div w:id="1757555363">
      <w:marLeft w:val="0"/>
      <w:marRight w:val="0"/>
      <w:marTop w:val="0"/>
      <w:marBottom w:val="0"/>
      <w:divBdr>
        <w:top w:val="none" w:sz="0" w:space="0" w:color="auto"/>
        <w:left w:val="none" w:sz="0" w:space="0" w:color="auto"/>
        <w:bottom w:val="none" w:sz="0" w:space="0" w:color="auto"/>
        <w:right w:val="none" w:sz="0" w:space="0" w:color="auto"/>
      </w:divBdr>
      <w:divsChild>
        <w:div w:id="1288197052">
          <w:marLeft w:val="0"/>
          <w:marRight w:val="0"/>
          <w:marTop w:val="0"/>
          <w:marBottom w:val="0"/>
          <w:divBdr>
            <w:top w:val="none" w:sz="0" w:space="0" w:color="auto"/>
            <w:left w:val="none" w:sz="0" w:space="0" w:color="auto"/>
            <w:bottom w:val="none" w:sz="0" w:space="0" w:color="auto"/>
            <w:right w:val="none" w:sz="0" w:space="0" w:color="auto"/>
          </w:divBdr>
        </w:div>
      </w:divsChild>
    </w:div>
    <w:div w:id="1767265202">
      <w:marLeft w:val="0"/>
      <w:marRight w:val="0"/>
      <w:marTop w:val="0"/>
      <w:marBottom w:val="0"/>
      <w:divBdr>
        <w:top w:val="none" w:sz="0" w:space="0" w:color="auto"/>
        <w:left w:val="none" w:sz="0" w:space="0" w:color="auto"/>
        <w:bottom w:val="none" w:sz="0" w:space="0" w:color="auto"/>
        <w:right w:val="none" w:sz="0" w:space="0" w:color="auto"/>
      </w:divBdr>
    </w:div>
    <w:div w:id="1767993149">
      <w:marLeft w:val="0"/>
      <w:marRight w:val="0"/>
      <w:marTop w:val="0"/>
      <w:marBottom w:val="0"/>
      <w:divBdr>
        <w:top w:val="none" w:sz="0" w:space="0" w:color="auto"/>
        <w:left w:val="none" w:sz="0" w:space="0" w:color="auto"/>
        <w:bottom w:val="none" w:sz="0" w:space="0" w:color="auto"/>
        <w:right w:val="none" w:sz="0" w:space="0" w:color="auto"/>
      </w:divBdr>
      <w:divsChild>
        <w:div w:id="1440370079">
          <w:marLeft w:val="0"/>
          <w:marRight w:val="0"/>
          <w:marTop w:val="0"/>
          <w:marBottom w:val="0"/>
          <w:divBdr>
            <w:top w:val="none" w:sz="0" w:space="0" w:color="auto"/>
            <w:left w:val="none" w:sz="0" w:space="0" w:color="auto"/>
            <w:bottom w:val="none" w:sz="0" w:space="0" w:color="auto"/>
            <w:right w:val="none" w:sz="0" w:space="0" w:color="auto"/>
          </w:divBdr>
        </w:div>
      </w:divsChild>
    </w:div>
    <w:div w:id="1773741967">
      <w:marLeft w:val="0"/>
      <w:marRight w:val="0"/>
      <w:marTop w:val="240"/>
      <w:marBottom w:val="120"/>
      <w:divBdr>
        <w:top w:val="none" w:sz="0" w:space="0" w:color="auto"/>
        <w:left w:val="none" w:sz="0" w:space="0" w:color="auto"/>
        <w:bottom w:val="none" w:sz="0" w:space="0" w:color="auto"/>
        <w:right w:val="none" w:sz="0" w:space="0" w:color="auto"/>
      </w:divBdr>
    </w:div>
    <w:div w:id="1779517977">
      <w:marLeft w:val="0"/>
      <w:marRight w:val="0"/>
      <w:marTop w:val="0"/>
      <w:marBottom w:val="120"/>
      <w:divBdr>
        <w:top w:val="none" w:sz="0" w:space="0" w:color="auto"/>
        <w:left w:val="none" w:sz="0" w:space="0" w:color="auto"/>
        <w:bottom w:val="none" w:sz="0" w:space="0" w:color="auto"/>
        <w:right w:val="none" w:sz="0" w:space="0" w:color="auto"/>
      </w:divBdr>
    </w:div>
    <w:div w:id="1780757458">
      <w:marLeft w:val="0"/>
      <w:marRight w:val="0"/>
      <w:marTop w:val="0"/>
      <w:marBottom w:val="0"/>
      <w:divBdr>
        <w:top w:val="none" w:sz="0" w:space="0" w:color="auto"/>
        <w:left w:val="none" w:sz="0" w:space="0" w:color="auto"/>
        <w:bottom w:val="none" w:sz="0" w:space="0" w:color="auto"/>
        <w:right w:val="none" w:sz="0" w:space="0" w:color="auto"/>
      </w:divBdr>
    </w:div>
    <w:div w:id="1783576822">
      <w:marLeft w:val="0"/>
      <w:marRight w:val="0"/>
      <w:marTop w:val="0"/>
      <w:marBottom w:val="120"/>
      <w:divBdr>
        <w:top w:val="none" w:sz="0" w:space="0" w:color="auto"/>
        <w:left w:val="none" w:sz="0" w:space="0" w:color="auto"/>
        <w:bottom w:val="none" w:sz="0" w:space="0" w:color="auto"/>
        <w:right w:val="none" w:sz="0" w:space="0" w:color="auto"/>
      </w:divBdr>
    </w:div>
    <w:div w:id="1796866320">
      <w:marLeft w:val="0"/>
      <w:marRight w:val="0"/>
      <w:marTop w:val="200"/>
      <w:marBottom w:val="0"/>
      <w:divBdr>
        <w:top w:val="none" w:sz="0" w:space="0" w:color="auto"/>
        <w:left w:val="none" w:sz="0" w:space="0" w:color="auto"/>
        <w:bottom w:val="none" w:sz="0" w:space="0" w:color="auto"/>
        <w:right w:val="none" w:sz="0" w:space="0" w:color="auto"/>
      </w:divBdr>
    </w:div>
    <w:div w:id="1800414610">
      <w:marLeft w:val="0"/>
      <w:marRight w:val="0"/>
      <w:marTop w:val="240"/>
      <w:marBottom w:val="0"/>
      <w:divBdr>
        <w:top w:val="none" w:sz="0" w:space="0" w:color="auto"/>
        <w:left w:val="none" w:sz="0" w:space="0" w:color="auto"/>
        <w:bottom w:val="none" w:sz="0" w:space="0" w:color="auto"/>
        <w:right w:val="none" w:sz="0" w:space="0" w:color="auto"/>
      </w:divBdr>
    </w:div>
    <w:div w:id="1807551065">
      <w:marLeft w:val="0"/>
      <w:marRight w:val="0"/>
      <w:marTop w:val="0"/>
      <w:marBottom w:val="0"/>
      <w:divBdr>
        <w:top w:val="none" w:sz="0" w:space="0" w:color="auto"/>
        <w:left w:val="none" w:sz="0" w:space="0" w:color="auto"/>
        <w:bottom w:val="none" w:sz="0" w:space="0" w:color="auto"/>
        <w:right w:val="none" w:sz="0" w:space="0" w:color="auto"/>
      </w:divBdr>
    </w:div>
    <w:div w:id="1809086303">
      <w:marLeft w:val="0"/>
      <w:marRight w:val="0"/>
      <w:marTop w:val="0"/>
      <w:marBottom w:val="120"/>
      <w:divBdr>
        <w:top w:val="none" w:sz="0" w:space="0" w:color="auto"/>
        <w:left w:val="none" w:sz="0" w:space="0" w:color="auto"/>
        <w:bottom w:val="none" w:sz="0" w:space="0" w:color="auto"/>
        <w:right w:val="none" w:sz="0" w:space="0" w:color="auto"/>
      </w:divBdr>
    </w:div>
    <w:div w:id="1842618467">
      <w:marLeft w:val="0"/>
      <w:marRight w:val="0"/>
      <w:marTop w:val="0"/>
      <w:marBottom w:val="0"/>
      <w:divBdr>
        <w:top w:val="none" w:sz="0" w:space="0" w:color="auto"/>
        <w:left w:val="none" w:sz="0" w:space="0" w:color="auto"/>
        <w:bottom w:val="none" w:sz="0" w:space="0" w:color="auto"/>
        <w:right w:val="none" w:sz="0" w:space="0" w:color="auto"/>
      </w:divBdr>
    </w:div>
    <w:div w:id="1854954836">
      <w:marLeft w:val="0"/>
      <w:marRight w:val="0"/>
      <w:marTop w:val="0"/>
      <w:marBottom w:val="0"/>
      <w:divBdr>
        <w:top w:val="none" w:sz="0" w:space="0" w:color="auto"/>
        <w:left w:val="none" w:sz="0" w:space="0" w:color="auto"/>
        <w:bottom w:val="none" w:sz="0" w:space="0" w:color="auto"/>
        <w:right w:val="none" w:sz="0" w:space="0" w:color="auto"/>
      </w:divBdr>
    </w:div>
    <w:div w:id="1870487233">
      <w:marLeft w:val="0"/>
      <w:marRight w:val="0"/>
      <w:marTop w:val="0"/>
      <w:marBottom w:val="0"/>
      <w:divBdr>
        <w:top w:val="none" w:sz="0" w:space="0" w:color="auto"/>
        <w:left w:val="none" w:sz="0" w:space="0" w:color="auto"/>
        <w:bottom w:val="none" w:sz="0" w:space="0" w:color="auto"/>
        <w:right w:val="none" w:sz="0" w:space="0" w:color="auto"/>
      </w:divBdr>
    </w:div>
    <w:div w:id="1877042328">
      <w:marLeft w:val="0"/>
      <w:marRight w:val="0"/>
      <w:marTop w:val="0"/>
      <w:marBottom w:val="120"/>
      <w:divBdr>
        <w:top w:val="none" w:sz="0" w:space="0" w:color="auto"/>
        <w:left w:val="none" w:sz="0" w:space="0" w:color="auto"/>
        <w:bottom w:val="none" w:sz="0" w:space="0" w:color="auto"/>
        <w:right w:val="none" w:sz="0" w:space="0" w:color="auto"/>
      </w:divBdr>
      <w:divsChild>
        <w:div w:id="906888577">
          <w:marLeft w:val="0"/>
          <w:marRight w:val="0"/>
          <w:marTop w:val="0"/>
          <w:marBottom w:val="0"/>
          <w:divBdr>
            <w:top w:val="none" w:sz="0" w:space="0" w:color="auto"/>
            <w:left w:val="none" w:sz="0" w:space="0" w:color="auto"/>
            <w:bottom w:val="none" w:sz="0" w:space="0" w:color="auto"/>
            <w:right w:val="none" w:sz="0" w:space="0" w:color="auto"/>
          </w:divBdr>
        </w:div>
      </w:divsChild>
    </w:div>
    <w:div w:id="1884899543">
      <w:marLeft w:val="0"/>
      <w:marRight w:val="0"/>
      <w:marTop w:val="0"/>
      <w:marBottom w:val="200"/>
      <w:divBdr>
        <w:top w:val="none" w:sz="0" w:space="0" w:color="auto"/>
        <w:left w:val="none" w:sz="0" w:space="0" w:color="auto"/>
        <w:bottom w:val="none" w:sz="0" w:space="0" w:color="auto"/>
        <w:right w:val="none" w:sz="0" w:space="0" w:color="auto"/>
      </w:divBdr>
    </w:div>
    <w:div w:id="1888255928">
      <w:marLeft w:val="0"/>
      <w:marRight w:val="0"/>
      <w:marTop w:val="0"/>
      <w:marBottom w:val="0"/>
      <w:divBdr>
        <w:top w:val="none" w:sz="0" w:space="0" w:color="auto"/>
        <w:left w:val="none" w:sz="0" w:space="0" w:color="auto"/>
        <w:bottom w:val="none" w:sz="0" w:space="0" w:color="auto"/>
        <w:right w:val="none" w:sz="0" w:space="0" w:color="auto"/>
      </w:divBdr>
      <w:divsChild>
        <w:div w:id="187912918">
          <w:marLeft w:val="0"/>
          <w:marRight w:val="0"/>
          <w:marTop w:val="0"/>
          <w:marBottom w:val="0"/>
          <w:divBdr>
            <w:top w:val="none" w:sz="0" w:space="0" w:color="auto"/>
            <w:left w:val="none" w:sz="0" w:space="0" w:color="auto"/>
            <w:bottom w:val="none" w:sz="0" w:space="0" w:color="auto"/>
            <w:right w:val="none" w:sz="0" w:space="0" w:color="auto"/>
          </w:divBdr>
        </w:div>
      </w:divsChild>
    </w:div>
    <w:div w:id="1888488510">
      <w:marLeft w:val="0"/>
      <w:marRight w:val="0"/>
      <w:marTop w:val="240"/>
      <w:marBottom w:val="0"/>
      <w:divBdr>
        <w:top w:val="none" w:sz="0" w:space="0" w:color="auto"/>
        <w:left w:val="none" w:sz="0" w:space="0" w:color="auto"/>
        <w:bottom w:val="none" w:sz="0" w:space="0" w:color="auto"/>
        <w:right w:val="none" w:sz="0" w:space="0" w:color="auto"/>
      </w:divBdr>
    </w:div>
    <w:div w:id="1888638390">
      <w:marLeft w:val="0"/>
      <w:marRight w:val="0"/>
      <w:marTop w:val="0"/>
      <w:marBottom w:val="0"/>
      <w:divBdr>
        <w:top w:val="none" w:sz="0" w:space="0" w:color="auto"/>
        <w:left w:val="none" w:sz="0" w:space="0" w:color="auto"/>
        <w:bottom w:val="none" w:sz="0" w:space="0" w:color="auto"/>
        <w:right w:val="none" w:sz="0" w:space="0" w:color="auto"/>
      </w:divBdr>
      <w:divsChild>
        <w:div w:id="719090252">
          <w:marLeft w:val="0"/>
          <w:marRight w:val="0"/>
          <w:marTop w:val="0"/>
          <w:marBottom w:val="0"/>
          <w:divBdr>
            <w:top w:val="none" w:sz="0" w:space="0" w:color="auto"/>
            <w:left w:val="none" w:sz="0" w:space="0" w:color="auto"/>
            <w:bottom w:val="none" w:sz="0" w:space="0" w:color="auto"/>
            <w:right w:val="none" w:sz="0" w:space="0" w:color="auto"/>
          </w:divBdr>
        </w:div>
      </w:divsChild>
    </w:div>
    <w:div w:id="1889029710">
      <w:marLeft w:val="0"/>
      <w:marRight w:val="0"/>
      <w:marTop w:val="0"/>
      <w:marBottom w:val="0"/>
      <w:divBdr>
        <w:top w:val="none" w:sz="0" w:space="0" w:color="auto"/>
        <w:left w:val="none" w:sz="0" w:space="0" w:color="auto"/>
        <w:bottom w:val="none" w:sz="0" w:space="0" w:color="auto"/>
        <w:right w:val="none" w:sz="0" w:space="0" w:color="auto"/>
      </w:divBdr>
      <w:divsChild>
        <w:div w:id="1664968117">
          <w:marLeft w:val="0"/>
          <w:marRight w:val="0"/>
          <w:marTop w:val="0"/>
          <w:marBottom w:val="0"/>
          <w:divBdr>
            <w:top w:val="none" w:sz="0" w:space="0" w:color="auto"/>
            <w:left w:val="none" w:sz="0" w:space="0" w:color="auto"/>
            <w:bottom w:val="none" w:sz="0" w:space="0" w:color="auto"/>
            <w:right w:val="none" w:sz="0" w:space="0" w:color="auto"/>
          </w:divBdr>
        </w:div>
      </w:divsChild>
    </w:div>
    <w:div w:id="1901625110">
      <w:marLeft w:val="0"/>
      <w:marRight w:val="0"/>
      <w:marTop w:val="0"/>
      <w:marBottom w:val="60"/>
      <w:divBdr>
        <w:top w:val="none" w:sz="0" w:space="0" w:color="auto"/>
        <w:left w:val="none" w:sz="0" w:space="0" w:color="auto"/>
        <w:bottom w:val="none" w:sz="0" w:space="0" w:color="auto"/>
        <w:right w:val="none" w:sz="0" w:space="0" w:color="auto"/>
      </w:divBdr>
    </w:div>
    <w:div w:id="1903517438">
      <w:marLeft w:val="0"/>
      <w:marRight w:val="0"/>
      <w:marTop w:val="0"/>
      <w:marBottom w:val="120"/>
      <w:divBdr>
        <w:top w:val="none" w:sz="0" w:space="0" w:color="auto"/>
        <w:left w:val="none" w:sz="0" w:space="0" w:color="auto"/>
        <w:bottom w:val="none" w:sz="0" w:space="0" w:color="auto"/>
        <w:right w:val="none" w:sz="0" w:space="0" w:color="auto"/>
      </w:divBdr>
    </w:div>
    <w:div w:id="1913731632">
      <w:marLeft w:val="0"/>
      <w:marRight w:val="0"/>
      <w:marTop w:val="0"/>
      <w:marBottom w:val="0"/>
      <w:divBdr>
        <w:top w:val="none" w:sz="0" w:space="0" w:color="auto"/>
        <w:left w:val="none" w:sz="0" w:space="0" w:color="auto"/>
        <w:bottom w:val="none" w:sz="0" w:space="0" w:color="auto"/>
        <w:right w:val="none" w:sz="0" w:space="0" w:color="auto"/>
      </w:divBdr>
      <w:divsChild>
        <w:div w:id="1496191500">
          <w:marLeft w:val="0"/>
          <w:marRight w:val="0"/>
          <w:marTop w:val="0"/>
          <w:marBottom w:val="0"/>
          <w:divBdr>
            <w:top w:val="none" w:sz="0" w:space="0" w:color="auto"/>
            <w:left w:val="none" w:sz="0" w:space="0" w:color="auto"/>
            <w:bottom w:val="none" w:sz="0" w:space="0" w:color="auto"/>
            <w:right w:val="none" w:sz="0" w:space="0" w:color="auto"/>
          </w:divBdr>
        </w:div>
      </w:divsChild>
    </w:div>
    <w:div w:id="1920365857">
      <w:marLeft w:val="0"/>
      <w:marRight w:val="0"/>
      <w:marTop w:val="0"/>
      <w:marBottom w:val="200"/>
      <w:divBdr>
        <w:top w:val="none" w:sz="0" w:space="0" w:color="auto"/>
        <w:left w:val="none" w:sz="0" w:space="0" w:color="auto"/>
        <w:bottom w:val="none" w:sz="0" w:space="0" w:color="auto"/>
        <w:right w:val="none" w:sz="0" w:space="0" w:color="auto"/>
      </w:divBdr>
    </w:div>
    <w:div w:id="1925800564">
      <w:marLeft w:val="0"/>
      <w:marRight w:val="0"/>
      <w:marTop w:val="0"/>
      <w:marBottom w:val="120"/>
      <w:divBdr>
        <w:top w:val="none" w:sz="0" w:space="0" w:color="auto"/>
        <w:left w:val="none" w:sz="0" w:space="0" w:color="auto"/>
        <w:bottom w:val="none" w:sz="0" w:space="0" w:color="auto"/>
        <w:right w:val="none" w:sz="0" w:space="0" w:color="auto"/>
      </w:divBdr>
    </w:div>
    <w:div w:id="1945795489">
      <w:marLeft w:val="0"/>
      <w:marRight w:val="0"/>
      <w:marTop w:val="0"/>
      <w:marBottom w:val="200"/>
      <w:divBdr>
        <w:top w:val="none" w:sz="0" w:space="0" w:color="auto"/>
        <w:left w:val="none" w:sz="0" w:space="0" w:color="auto"/>
        <w:bottom w:val="none" w:sz="0" w:space="0" w:color="auto"/>
        <w:right w:val="none" w:sz="0" w:space="0" w:color="auto"/>
      </w:divBdr>
    </w:div>
    <w:div w:id="1947957565">
      <w:marLeft w:val="0"/>
      <w:marRight w:val="0"/>
      <w:marTop w:val="0"/>
      <w:marBottom w:val="0"/>
      <w:divBdr>
        <w:top w:val="none" w:sz="0" w:space="0" w:color="auto"/>
        <w:left w:val="none" w:sz="0" w:space="0" w:color="auto"/>
        <w:bottom w:val="none" w:sz="0" w:space="0" w:color="auto"/>
        <w:right w:val="none" w:sz="0" w:space="0" w:color="auto"/>
      </w:divBdr>
    </w:div>
    <w:div w:id="1955673608">
      <w:marLeft w:val="0"/>
      <w:marRight w:val="0"/>
      <w:marTop w:val="0"/>
      <w:marBottom w:val="60"/>
      <w:divBdr>
        <w:top w:val="none" w:sz="0" w:space="0" w:color="auto"/>
        <w:left w:val="none" w:sz="0" w:space="0" w:color="auto"/>
        <w:bottom w:val="none" w:sz="0" w:space="0" w:color="auto"/>
        <w:right w:val="none" w:sz="0" w:space="0" w:color="auto"/>
      </w:divBdr>
    </w:div>
    <w:div w:id="1958172401">
      <w:marLeft w:val="0"/>
      <w:marRight w:val="0"/>
      <w:marTop w:val="0"/>
      <w:marBottom w:val="0"/>
      <w:divBdr>
        <w:top w:val="none" w:sz="0" w:space="0" w:color="auto"/>
        <w:left w:val="none" w:sz="0" w:space="0" w:color="auto"/>
        <w:bottom w:val="none" w:sz="0" w:space="0" w:color="auto"/>
        <w:right w:val="none" w:sz="0" w:space="0" w:color="auto"/>
      </w:divBdr>
    </w:div>
    <w:div w:id="1968930460">
      <w:marLeft w:val="0"/>
      <w:marRight w:val="0"/>
      <w:marTop w:val="0"/>
      <w:marBottom w:val="0"/>
      <w:divBdr>
        <w:top w:val="none" w:sz="0" w:space="0" w:color="auto"/>
        <w:left w:val="none" w:sz="0" w:space="0" w:color="auto"/>
        <w:bottom w:val="none" w:sz="0" w:space="0" w:color="auto"/>
        <w:right w:val="none" w:sz="0" w:space="0" w:color="auto"/>
      </w:divBdr>
      <w:divsChild>
        <w:div w:id="652561610">
          <w:marLeft w:val="0"/>
          <w:marRight w:val="0"/>
          <w:marTop w:val="0"/>
          <w:marBottom w:val="0"/>
          <w:divBdr>
            <w:top w:val="none" w:sz="0" w:space="0" w:color="auto"/>
            <w:left w:val="none" w:sz="0" w:space="0" w:color="auto"/>
            <w:bottom w:val="none" w:sz="0" w:space="0" w:color="auto"/>
            <w:right w:val="none" w:sz="0" w:space="0" w:color="auto"/>
          </w:divBdr>
        </w:div>
      </w:divsChild>
    </w:div>
    <w:div w:id="1968974551">
      <w:marLeft w:val="0"/>
      <w:marRight w:val="0"/>
      <w:marTop w:val="0"/>
      <w:marBottom w:val="0"/>
      <w:divBdr>
        <w:top w:val="none" w:sz="0" w:space="0" w:color="auto"/>
        <w:left w:val="none" w:sz="0" w:space="0" w:color="auto"/>
        <w:bottom w:val="none" w:sz="0" w:space="0" w:color="auto"/>
        <w:right w:val="none" w:sz="0" w:space="0" w:color="auto"/>
      </w:divBdr>
    </w:div>
    <w:div w:id="1980572168">
      <w:marLeft w:val="0"/>
      <w:marRight w:val="0"/>
      <w:marTop w:val="0"/>
      <w:marBottom w:val="0"/>
      <w:divBdr>
        <w:top w:val="none" w:sz="0" w:space="0" w:color="auto"/>
        <w:left w:val="none" w:sz="0" w:space="0" w:color="auto"/>
        <w:bottom w:val="none" w:sz="0" w:space="0" w:color="auto"/>
        <w:right w:val="none" w:sz="0" w:space="0" w:color="auto"/>
      </w:divBdr>
      <w:divsChild>
        <w:div w:id="939947142">
          <w:marLeft w:val="0"/>
          <w:marRight w:val="0"/>
          <w:marTop w:val="0"/>
          <w:marBottom w:val="0"/>
          <w:divBdr>
            <w:top w:val="none" w:sz="0" w:space="0" w:color="auto"/>
            <w:left w:val="none" w:sz="0" w:space="0" w:color="auto"/>
            <w:bottom w:val="none" w:sz="0" w:space="0" w:color="auto"/>
            <w:right w:val="none" w:sz="0" w:space="0" w:color="auto"/>
          </w:divBdr>
        </w:div>
      </w:divsChild>
    </w:div>
    <w:div w:id="1985431078">
      <w:marLeft w:val="0"/>
      <w:marRight w:val="0"/>
      <w:marTop w:val="0"/>
      <w:marBottom w:val="0"/>
      <w:divBdr>
        <w:top w:val="none" w:sz="0" w:space="0" w:color="auto"/>
        <w:left w:val="none" w:sz="0" w:space="0" w:color="auto"/>
        <w:bottom w:val="none" w:sz="0" w:space="0" w:color="auto"/>
        <w:right w:val="none" w:sz="0" w:space="0" w:color="auto"/>
      </w:divBdr>
      <w:divsChild>
        <w:div w:id="459884368">
          <w:marLeft w:val="0"/>
          <w:marRight w:val="0"/>
          <w:marTop w:val="0"/>
          <w:marBottom w:val="0"/>
          <w:divBdr>
            <w:top w:val="none" w:sz="0" w:space="0" w:color="auto"/>
            <w:left w:val="none" w:sz="0" w:space="0" w:color="auto"/>
            <w:bottom w:val="none" w:sz="0" w:space="0" w:color="auto"/>
            <w:right w:val="none" w:sz="0" w:space="0" w:color="auto"/>
          </w:divBdr>
        </w:div>
      </w:divsChild>
    </w:div>
    <w:div w:id="2004234348">
      <w:marLeft w:val="0"/>
      <w:marRight w:val="0"/>
      <w:marTop w:val="0"/>
      <w:marBottom w:val="60"/>
      <w:divBdr>
        <w:top w:val="none" w:sz="0" w:space="0" w:color="auto"/>
        <w:left w:val="none" w:sz="0" w:space="0" w:color="auto"/>
        <w:bottom w:val="none" w:sz="0" w:space="0" w:color="auto"/>
        <w:right w:val="none" w:sz="0" w:space="0" w:color="auto"/>
      </w:divBdr>
    </w:div>
    <w:div w:id="2006542970">
      <w:marLeft w:val="0"/>
      <w:marRight w:val="0"/>
      <w:marTop w:val="0"/>
      <w:marBottom w:val="0"/>
      <w:divBdr>
        <w:top w:val="none" w:sz="0" w:space="0" w:color="auto"/>
        <w:left w:val="none" w:sz="0" w:space="0" w:color="auto"/>
        <w:bottom w:val="none" w:sz="0" w:space="0" w:color="auto"/>
        <w:right w:val="none" w:sz="0" w:space="0" w:color="auto"/>
      </w:divBdr>
      <w:divsChild>
        <w:div w:id="1392734085">
          <w:marLeft w:val="0"/>
          <w:marRight w:val="0"/>
          <w:marTop w:val="0"/>
          <w:marBottom w:val="0"/>
          <w:divBdr>
            <w:top w:val="none" w:sz="0" w:space="0" w:color="auto"/>
            <w:left w:val="none" w:sz="0" w:space="0" w:color="auto"/>
            <w:bottom w:val="none" w:sz="0" w:space="0" w:color="auto"/>
            <w:right w:val="none" w:sz="0" w:space="0" w:color="auto"/>
          </w:divBdr>
        </w:div>
      </w:divsChild>
    </w:div>
    <w:div w:id="2016759587">
      <w:marLeft w:val="0"/>
      <w:marRight w:val="0"/>
      <w:marTop w:val="0"/>
      <w:marBottom w:val="0"/>
      <w:divBdr>
        <w:top w:val="none" w:sz="0" w:space="0" w:color="auto"/>
        <w:left w:val="none" w:sz="0" w:space="0" w:color="auto"/>
        <w:bottom w:val="none" w:sz="0" w:space="0" w:color="auto"/>
        <w:right w:val="none" w:sz="0" w:space="0" w:color="auto"/>
      </w:divBdr>
    </w:div>
    <w:div w:id="2016766034">
      <w:marLeft w:val="0"/>
      <w:marRight w:val="0"/>
      <w:marTop w:val="0"/>
      <w:marBottom w:val="240"/>
      <w:divBdr>
        <w:top w:val="none" w:sz="0" w:space="0" w:color="auto"/>
        <w:left w:val="none" w:sz="0" w:space="0" w:color="auto"/>
        <w:bottom w:val="none" w:sz="0" w:space="0" w:color="auto"/>
        <w:right w:val="none" w:sz="0" w:space="0" w:color="auto"/>
      </w:divBdr>
    </w:div>
    <w:div w:id="2018187103">
      <w:marLeft w:val="0"/>
      <w:marRight w:val="0"/>
      <w:marTop w:val="0"/>
      <w:marBottom w:val="120"/>
      <w:divBdr>
        <w:top w:val="none" w:sz="0" w:space="0" w:color="auto"/>
        <w:left w:val="none" w:sz="0" w:space="0" w:color="auto"/>
        <w:bottom w:val="none" w:sz="0" w:space="0" w:color="auto"/>
        <w:right w:val="none" w:sz="0" w:space="0" w:color="auto"/>
      </w:divBdr>
    </w:div>
    <w:div w:id="2018843231">
      <w:marLeft w:val="0"/>
      <w:marRight w:val="0"/>
      <w:marTop w:val="0"/>
      <w:marBottom w:val="60"/>
      <w:divBdr>
        <w:top w:val="none" w:sz="0" w:space="0" w:color="auto"/>
        <w:left w:val="none" w:sz="0" w:space="0" w:color="auto"/>
        <w:bottom w:val="none" w:sz="0" w:space="0" w:color="auto"/>
        <w:right w:val="none" w:sz="0" w:space="0" w:color="auto"/>
      </w:divBdr>
    </w:div>
    <w:div w:id="2026589972">
      <w:marLeft w:val="0"/>
      <w:marRight w:val="0"/>
      <w:marTop w:val="0"/>
      <w:marBottom w:val="240"/>
      <w:divBdr>
        <w:top w:val="none" w:sz="0" w:space="0" w:color="auto"/>
        <w:left w:val="none" w:sz="0" w:space="0" w:color="auto"/>
        <w:bottom w:val="none" w:sz="0" w:space="0" w:color="auto"/>
        <w:right w:val="none" w:sz="0" w:space="0" w:color="auto"/>
      </w:divBdr>
    </w:div>
    <w:div w:id="2029407834">
      <w:marLeft w:val="0"/>
      <w:marRight w:val="0"/>
      <w:marTop w:val="0"/>
      <w:marBottom w:val="60"/>
      <w:divBdr>
        <w:top w:val="none" w:sz="0" w:space="0" w:color="auto"/>
        <w:left w:val="none" w:sz="0" w:space="0" w:color="auto"/>
        <w:bottom w:val="none" w:sz="0" w:space="0" w:color="auto"/>
        <w:right w:val="none" w:sz="0" w:space="0" w:color="auto"/>
      </w:divBdr>
    </w:div>
    <w:div w:id="2039694654">
      <w:marLeft w:val="0"/>
      <w:marRight w:val="0"/>
      <w:marTop w:val="0"/>
      <w:marBottom w:val="0"/>
      <w:divBdr>
        <w:top w:val="none" w:sz="0" w:space="0" w:color="auto"/>
        <w:left w:val="none" w:sz="0" w:space="0" w:color="auto"/>
        <w:bottom w:val="none" w:sz="0" w:space="0" w:color="auto"/>
        <w:right w:val="none" w:sz="0" w:space="0" w:color="auto"/>
      </w:divBdr>
    </w:div>
    <w:div w:id="2039893472">
      <w:marLeft w:val="0"/>
      <w:marRight w:val="0"/>
      <w:marTop w:val="0"/>
      <w:marBottom w:val="0"/>
      <w:divBdr>
        <w:top w:val="none" w:sz="0" w:space="0" w:color="auto"/>
        <w:left w:val="none" w:sz="0" w:space="0" w:color="auto"/>
        <w:bottom w:val="none" w:sz="0" w:space="0" w:color="auto"/>
        <w:right w:val="none" w:sz="0" w:space="0" w:color="auto"/>
      </w:divBdr>
      <w:divsChild>
        <w:div w:id="1794051873">
          <w:marLeft w:val="0"/>
          <w:marRight w:val="0"/>
          <w:marTop w:val="0"/>
          <w:marBottom w:val="0"/>
          <w:divBdr>
            <w:top w:val="none" w:sz="0" w:space="0" w:color="auto"/>
            <w:left w:val="none" w:sz="0" w:space="0" w:color="auto"/>
            <w:bottom w:val="none" w:sz="0" w:space="0" w:color="auto"/>
            <w:right w:val="none" w:sz="0" w:space="0" w:color="auto"/>
          </w:divBdr>
        </w:div>
      </w:divsChild>
    </w:div>
    <w:div w:id="2040662732">
      <w:marLeft w:val="0"/>
      <w:marRight w:val="0"/>
      <w:marTop w:val="0"/>
      <w:marBottom w:val="0"/>
      <w:divBdr>
        <w:top w:val="none" w:sz="0" w:space="0" w:color="auto"/>
        <w:left w:val="none" w:sz="0" w:space="0" w:color="auto"/>
        <w:bottom w:val="none" w:sz="0" w:space="0" w:color="auto"/>
        <w:right w:val="none" w:sz="0" w:space="0" w:color="auto"/>
      </w:divBdr>
    </w:div>
    <w:div w:id="2042779253">
      <w:marLeft w:val="0"/>
      <w:marRight w:val="0"/>
      <w:marTop w:val="0"/>
      <w:marBottom w:val="120"/>
      <w:divBdr>
        <w:top w:val="none" w:sz="0" w:space="0" w:color="auto"/>
        <w:left w:val="none" w:sz="0" w:space="0" w:color="auto"/>
        <w:bottom w:val="none" w:sz="0" w:space="0" w:color="auto"/>
        <w:right w:val="none" w:sz="0" w:space="0" w:color="auto"/>
      </w:divBdr>
    </w:div>
    <w:div w:id="2042977595">
      <w:marLeft w:val="0"/>
      <w:marRight w:val="0"/>
      <w:marTop w:val="240"/>
      <w:marBottom w:val="0"/>
      <w:divBdr>
        <w:top w:val="none" w:sz="0" w:space="0" w:color="auto"/>
        <w:left w:val="none" w:sz="0" w:space="0" w:color="auto"/>
        <w:bottom w:val="none" w:sz="0" w:space="0" w:color="auto"/>
        <w:right w:val="none" w:sz="0" w:space="0" w:color="auto"/>
      </w:divBdr>
    </w:div>
    <w:div w:id="2046103517">
      <w:marLeft w:val="0"/>
      <w:marRight w:val="0"/>
      <w:marTop w:val="0"/>
      <w:marBottom w:val="0"/>
      <w:divBdr>
        <w:top w:val="none" w:sz="0" w:space="0" w:color="auto"/>
        <w:left w:val="none" w:sz="0" w:space="0" w:color="auto"/>
        <w:bottom w:val="none" w:sz="0" w:space="0" w:color="auto"/>
        <w:right w:val="none" w:sz="0" w:space="0" w:color="auto"/>
      </w:divBdr>
    </w:div>
    <w:div w:id="2052411289">
      <w:marLeft w:val="0"/>
      <w:marRight w:val="0"/>
      <w:marTop w:val="0"/>
      <w:marBottom w:val="240"/>
      <w:divBdr>
        <w:top w:val="none" w:sz="0" w:space="0" w:color="auto"/>
        <w:left w:val="none" w:sz="0" w:space="0" w:color="auto"/>
        <w:bottom w:val="none" w:sz="0" w:space="0" w:color="auto"/>
        <w:right w:val="none" w:sz="0" w:space="0" w:color="auto"/>
      </w:divBdr>
    </w:div>
    <w:div w:id="2055540295">
      <w:marLeft w:val="0"/>
      <w:marRight w:val="0"/>
      <w:marTop w:val="0"/>
      <w:marBottom w:val="120"/>
      <w:divBdr>
        <w:top w:val="none" w:sz="0" w:space="0" w:color="auto"/>
        <w:left w:val="none" w:sz="0" w:space="0" w:color="auto"/>
        <w:bottom w:val="none" w:sz="0" w:space="0" w:color="auto"/>
        <w:right w:val="none" w:sz="0" w:space="0" w:color="auto"/>
      </w:divBdr>
    </w:div>
    <w:div w:id="2059041007">
      <w:marLeft w:val="0"/>
      <w:marRight w:val="0"/>
      <w:marTop w:val="0"/>
      <w:marBottom w:val="0"/>
      <w:divBdr>
        <w:top w:val="none" w:sz="0" w:space="0" w:color="auto"/>
        <w:left w:val="none" w:sz="0" w:space="0" w:color="auto"/>
        <w:bottom w:val="none" w:sz="0" w:space="0" w:color="auto"/>
        <w:right w:val="none" w:sz="0" w:space="0" w:color="auto"/>
      </w:divBdr>
      <w:divsChild>
        <w:div w:id="1240747380">
          <w:marLeft w:val="0"/>
          <w:marRight w:val="0"/>
          <w:marTop w:val="0"/>
          <w:marBottom w:val="0"/>
          <w:divBdr>
            <w:top w:val="none" w:sz="0" w:space="0" w:color="auto"/>
            <w:left w:val="none" w:sz="0" w:space="0" w:color="auto"/>
            <w:bottom w:val="none" w:sz="0" w:space="0" w:color="auto"/>
            <w:right w:val="none" w:sz="0" w:space="0" w:color="auto"/>
          </w:divBdr>
        </w:div>
      </w:divsChild>
    </w:div>
    <w:div w:id="2064597721">
      <w:marLeft w:val="0"/>
      <w:marRight w:val="0"/>
      <w:marTop w:val="0"/>
      <w:marBottom w:val="120"/>
      <w:divBdr>
        <w:top w:val="none" w:sz="0" w:space="0" w:color="auto"/>
        <w:left w:val="none" w:sz="0" w:space="0" w:color="auto"/>
        <w:bottom w:val="none" w:sz="0" w:space="0" w:color="auto"/>
        <w:right w:val="none" w:sz="0" w:space="0" w:color="auto"/>
      </w:divBdr>
    </w:div>
    <w:div w:id="2069500355">
      <w:marLeft w:val="0"/>
      <w:marRight w:val="0"/>
      <w:marTop w:val="0"/>
      <w:marBottom w:val="120"/>
      <w:divBdr>
        <w:top w:val="none" w:sz="0" w:space="0" w:color="auto"/>
        <w:left w:val="none" w:sz="0" w:space="0" w:color="auto"/>
        <w:bottom w:val="none" w:sz="0" w:space="0" w:color="auto"/>
        <w:right w:val="none" w:sz="0" w:space="0" w:color="auto"/>
      </w:divBdr>
    </w:div>
    <w:div w:id="2089569511">
      <w:marLeft w:val="0"/>
      <w:marRight w:val="0"/>
      <w:marTop w:val="0"/>
      <w:marBottom w:val="0"/>
      <w:divBdr>
        <w:top w:val="none" w:sz="0" w:space="0" w:color="auto"/>
        <w:left w:val="none" w:sz="0" w:space="0" w:color="auto"/>
        <w:bottom w:val="none" w:sz="0" w:space="0" w:color="auto"/>
        <w:right w:val="none" w:sz="0" w:space="0" w:color="auto"/>
      </w:divBdr>
    </w:div>
    <w:div w:id="2092505265">
      <w:marLeft w:val="0"/>
      <w:marRight w:val="0"/>
      <w:marTop w:val="0"/>
      <w:marBottom w:val="0"/>
      <w:divBdr>
        <w:top w:val="none" w:sz="0" w:space="0" w:color="auto"/>
        <w:left w:val="none" w:sz="0" w:space="0" w:color="auto"/>
        <w:bottom w:val="none" w:sz="0" w:space="0" w:color="auto"/>
        <w:right w:val="none" w:sz="0" w:space="0" w:color="auto"/>
      </w:divBdr>
    </w:div>
    <w:div w:id="2101218004">
      <w:marLeft w:val="0"/>
      <w:marRight w:val="0"/>
      <w:marTop w:val="0"/>
      <w:marBottom w:val="0"/>
      <w:divBdr>
        <w:top w:val="none" w:sz="0" w:space="0" w:color="auto"/>
        <w:left w:val="none" w:sz="0" w:space="0" w:color="auto"/>
        <w:bottom w:val="none" w:sz="0" w:space="0" w:color="auto"/>
        <w:right w:val="none" w:sz="0" w:space="0" w:color="auto"/>
      </w:divBdr>
    </w:div>
    <w:div w:id="2108841990">
      <w:marLeft w:val="0"/>
      <w:marRight w:val="0"/>
      <w:marTop w:val="0"/>
      <w:marBottom w:val="0"/>
      <w:divBdr>
        <w:top w:val="none" w:sz="0" w:space="0" w:color="auto"/>
        <w:left w:val="none" w:sz="0" w:space="0" w:color="auto"/>
        <w:bottom w:val="none" w:sz="0" w:space="0" w:color="auto"/>
        <w:right w:val="none" w:sz="0" w:space="0" w:color="auto"/>
      </w:divBdr>
    </w:div>
    <w:div w:id="2109693909">
      <w:marLeft w:val="0"/>
      <w:marRight w:val="0"/>
      <w:marTop w:val="0"/>
      <w:marBottom w:val="0"/>
      <w:divBdr>
        <w:top w:val="none" w:sz="0" w:space="0" w:color="auto"/>
        <w:left w:val="none" w:sz="0" w:space="0" w:color="auto"/>
        <w:bottom w:val="none" w:sz="0" w:space="0" w:color="auto"/>
        <w:right w:val="none" w:sz="0" w:space="0" w:color="auto"/>
      </w:divBdr>
    </w:div>
    <w:div w:id="2111388993">
      <w:marLeft w:val="0"/>
      <w:marRight w:val="0"/>
      <w:marTop w:val="0"/>
      <w:marBottom w:val="200"/>
      <w:divBdr>
        <w:top w:val="none" w:sz="0" w:space="0" w:color="auto"/>
        <w:left w:val="none" w:sz="0" w:space="0" w:color="auto"/>
        <w:bottom w:val="none" w:sz="0" w:space="0" w:color="auto"/>
        <w:right w:val="none" w:sz="0" w:space="0" w:color="auto"/>
      </w:divBdr>
    </w:div>
    <w:div w:id="2112429757">
      <w:marLeft w:val="0"/>
      <w:marRight w:val="0"/>
      <w:marTop w:val="0"/>
      <w:marBottom w:val="0"/>
      <w:divBdr>
        <w:top w:val="none" w:sz="0" w:space="0" w:color="auto"/>
        <w:left w:val="none" w:sz="0" w:space="0" w:color="auto"/>
        <w:bottom w:val="none" w:sz="0" w:space="0" w:color="auto"/>
        <w:right w:val="none" w:sz="0" w:space="0" w:color="auto"/>
      </w:divBdr>
      <w:divsChild>
        <w:div w:id="1935896287">
          <w:marLeft w:val="0"/>
          <w:marRight w:val="0"/>
          <w:marTop w:val="0"/>
          <w:marBottom w:val="0"/>
          <w:divBdr>
            <w:top w:val="none" w:sz="0" w:space="0" w:color="auto"/>
            <w:left w:val="none" w:sz="0" w:space="0" w:color="auto"/>
            <w:bottom w:val="none" w:sz="0" w:space="0" w:color="auto"/>
            <w:right w:val="none" w:sz="0" w:space="0" w:color="auto"/>
          </w:divBdr>
        </w:div>
      </w:divsChild>
    </w:div>
    <w:div w:id="2134058013">
      <w:marLeft w:val="0"/>
      <w:marRight w:val="0"/>
      <w:marTop w:val="0"/>
      <w:marBottom w:val="120"/>
      <w:divBdr>
        <w:top w:val="none" w:sz="0" w:space="0" w:color="auto"/>
        <w:left w:val="none" w:sz="0" w:space="0" w:color="auto"/>
        <w:bottom w:val="none" w:sz="0" w:space="0" w:color="auto"/>
        <w:right w:val="none" w:sz="0" w:space="0" w:color="auto"/>
      </w:divBdr>
    </w:div>
    <w:div w:id="2135321765">
      <w:marLeft w:val="0"/>
      <w:marRight w:val="0"/>
      <w:marTop w:val="0"/>
      <w:marBottom w:val="0"/>
      <w:divBdr>
        <w:top w:val="none" w:sz="0" w:space="0" w:color="auto"/>
        <w:left w:val="none" w:sz="0" w:space="0" w:color="auto"/>
        <w:bottom w:val="none" w:sz="0" w:space="0" w:color="auto"/>
        <w:right w:val="none" w:sz="0" w:space="0" w:color="auto"/>
      </w:divBdr>
      <w:divsChild>
        <w:div w:id="268436427">
          <w:marLeft w:val="0"/>
          <w:marRight w:val="0"/>
          <w:marTop w:val="0"/>
          <w:marBottom w:val="0"/>
          <w:divBdr>
            <w:top w:val="none" w:sz="0" w:space="0" w:color="auto"/>
            <w:left w:val="none" w:sz="0" w:space="0" w:color="auto"/>
            <w:bottom w:val="none" w:sz="0" w:space="0" w:color="auto"/>
            <w:right w:val="none" w:sz="0" w:space="0" w:color="auto"/>
          </w:divBdr>
        </w:div>
      </w:divsChild>
    </w:div>
    <w:div w:id="2140371358">
      <w:marLeft w:val="0"/>
      <w:marRight w:val="0"/>
      <w:marTop w:val="0"/>
      <w:marBottom w:val="0"/>
      <w:divBdr>
        <w:top w:val="none" w:sz="0" w:space="0" w:color="auto"/>
        <w:left w:val="none" w:sz="0" w:space="0" w:color="auto"/>
        <w:bottom w:val="none" w:sz="0" w:space="0" w:color="auto"/>
        <w:right w:val="none" w:sz="0" w:space="0" w:color="auto"/>
      </w:divBdr>
      <w:divsChild>
        <w:div w:id="70469360">
          <w:marLeft w:val="0"/>
          <w:marRight w:val="0"/>
          <w:marTop w:val="0"/>
          <w:marBottom w:val="0"/>
          <w:divBdr>
            <w:top w:val="none" w:sz="0" w:space="0" w:color="auto"/>
            <w:left w:val="none" w:sz="0" w:space="0" w:color="auto"/>
            <w:bottom w:val="none" w:sz="0" w:space="0" w:color="auto"/>
            <w:right w:val="none" w:sz="0" w:space="0" w:color="auto"/>
          </w:divBdr>
        </w:div>
      </w:divsChild>
    </w:div>
    <w:div w:id="2141024316">
      <w:marLeft w:val="0"/>
      <w:marRight w:val="0"/>
      <w:marTop w:val="0"/>
      <w:marBottom w:val="0"/>
      <w:divBdr>
        <w:top w:val="none" w:sz="0" w:space="0" w:color="auto"/>
        <w:left w:val="none" w:sz="0" w:space="0" w:color="auto"/>
        <w:bottom w:val="none" w:sz="0" w:space="0" w:color="auto"/>
        <w:right w:val="none" w:sz="0" w:space="0" w:color="auto"/>
      </w:divBdr>
    </w:div>
    <w:div w:id="214495714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2020q3ex321ng.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0q3ex312ng.htm" TargetMode="External"/><Relationship Id="rId5" Type="http://schemas.openxmlformats.org/officeDocument/2006/relationships/hyperlink" Target="a2020q3ex311ng.htm" TargetMode="External"/><Relationship Id="rId4" Type="http://schemas.openxmlformats.org/officeDocument/2006/relationships/image" Target="file:///E:\projects\LLMs\new_data_collection\data_new\htm\WORLD%20KINECT%20CORP\int-20200930_g1.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28659</Words>
  <Characters>163360</Characters>
  <Application>Microsoft Office Word</Application>
  <DocSecurity>0</DocSecurity>
  <Lines>1361</Lines>
  <Paragraphs>383</Paragraphs>
  <ScaleCrop>false</ScaleCrop>
  <Company/>
  <LinksUpToDate>false</LinksUpToDate>
  <CharactersWithSpaces>191636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int-20200930</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